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150" w:rsidRDefault="00F714D4">
      <w:pPr>
        <w:jc w:val="cente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A86150" w:rsidRDefault="00A86150">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A86150" w:rsidRDefault="00F714D4">
      <w:pPr>
        <w:rPr>
          <w:rFonts w:ascii="Calibri" w:eastAsia="Times New Roman" w:hAnsi="Calibri" w:cs="Calibri"/>
          <w:b/>
          <w:bCs/>
          <w:color w:val="333333"/>
          <w:sz w:val="31"/>
          <w:szCs w:val="31"/>
        </w:rPr>
      </w:pPr>
      <w:r>
        <w:rPr>
          <w:rFonts w:ascii="Calibri" w:eastAsia="Times New Roman" w:hAnsi="Calibri" w:cs="Calibri"/>
          <w:b/>
          <w:bCs/>
          <w:color w:val="333333"/>
          <w:sz w:val="31"/>
          <w:szCs w:val="31"/>
        </w:rPr>
        <w:br w:type="page"/>
      </w:r>
    </w:p>
    <w:p w:rsidR="00A86150" w:rsidRDefault="00F714D4">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eastAsia="Times New Roman" w:hAnsi="Calibri" w:cs="Calibri"/>
          <w:b/>
          <w:bCs/>
          <w:color w:val="333333"/>
          <w:sz w:val="31"/>
          <w:szCs w:val="31"/>
        </w:rPr>
        <w:lastRenderedPageBreak/>
        <w:t>Preface</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A86150" w:rsidRDefault="00F714D4">
      <w:bookmarkStart w:id="0" w:name="_GoBack"/>
      <w:bookmarkEnd w:id="0"/>
      <w: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A86150" w:rsidRDefault="0081777E">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25" style="width:468pt;height:1.5pt" o:hralign="center" o:hrstd="t" o:hr="t" fillcolor="#a0a0a0"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Law and Legal Systems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2"/>
        </w:numPr>
        <w:shd w:val="clear" w:color="auto" w:fill="EAE9DC"/>
        <w:tabs>
          <w:tab w:val="clear" w:pos="720"/>
          <w:tab w:val="left" w:pos="360"/>
          <w:tab w:val="num" w:pos="498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A86150" w:rsidRDefault="00F714D4">
      <w:pPr>
        <w:numPr>
          <w:ilvl w:val="0"/>
          <w:numId w:val="2"/>
        </w:numPr>
        <w:shd w:val="clear" w:color="auto" w:fill="EAE9DC"/>
        <w:tabs>
          <w:tab w:val="clear" w:pos="720"/>
          <w:tab w:val="left" w:pos="360"/>
          <w:tab w:val="num" w:pos="402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various aims that a functioning legal system can serve.</w:t>
      </w:r>
    </w:p>
    <w:p w:rsidR="00A86150" w:rsidRDefault="00F714D4">
      <w:pPr>
        <w:numPr>
          <w:ilvl w:val="0"/>
          <w:numId w:val="2"/>
        </w:numPr>
        <w:shd w:val="clear" w:color="auto" w:fill="EAE9DC"/>
        <w:tabs>
          <w:tab w:val="clear" w:pos="720"/>
          <w:tab w:val="left" w:pos="360"/>
          <w:tab w:val="num" w:pos="336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politics and law are related.</w:t>
      </w:r>
    </w:p>
    <w:p w:rsidR="00A86150" w:rsidRDefault="00F714D4">
      <w:pPr>
        <w:numPr>
          <w:ilvl w:val="0"/>
          <w:numId w:val="2"/>
        </w:numPr>
        <w:shd w:val="clear" w:color="auto" w:fill="EAE9DC"/>
        <w:tabs>
          <w:tab w:val="clear" w:pos="720"/>
          <w:tab w:val="left" w:pos="360"/>
          <w:tab w:val="num" w:pos="270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sources of law and which laws have priority over other laws.</w:t>
      </w:r>
    </w:p>
    <w:p w:rsidR="00A86150" w:rsidRDefault="00F714D4">
      <w:pPr>
        <w:numPr>
          <w:ilvl w:val="0"/>
          <w:numId w:val="2"/>
        </w:numPr>
        <w:shd w:val="clear" w:color="auto" w:fill="EAE9DC"/>
        <w:tabs>
          <w:tab w:val="clear" w:pos="720"/>
          <w:tab w:val="left" w:pos="360"/>
          <w:tab w:val="num" w:pos="2040"/>
        </w:tabs>
        <w:spacing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some basic differences between the US legal system and other legal systems.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A86150" w:rsidRDefault="00F714D4">
      <w: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 What Is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Law</w:t>
      </w:r>
      <w:r>
        <w:rPr>
          <w:rFonts w:ascii="Georgia" w:eastAsia="Times New Roman" w:hAnsi="Georgia" w:cs="Calibri"/>
          <w:color w:val="333333"/>
          <w:sz w:val="20"/>
          <w:szCs w:val="20"/>
          <w:lang w:val="en"/>
        </w:rPr>
        <w:t> is a word that means different things at different times. </w:t>
      </w:r>
      <w:r>
        <w:rPr>
          <w:rFonts w:ascii="Georgia" w:eastAsia="Times New Roman" w:hAnsi="Georgia" w:cs="Calibri"/>
          <w:i/>
          <w:iCs/>
          <w:color w:val="333333"/>
          <w:sz w:val="20"/>
          <w:szCs w:val="20"/>
          <w:lang w:val="en"/>
        </w:rPr>
        <w:t>Black’s Law Dictionary</w:t>
      </w:r>
      <w:r>
        <w:rPr>
          <w:rFonts w:ascii="Georgia" w:eastAsia="Times New Roman" w:hAnsi="Georgia" w:cs="Calibri"/>
          <w:color w:val="333333"/>
          <w:sz w:val="20"/>
          <w:szCs w:val="20"/>
          <w:lang w:val="en"/>
        </w:rPr>
        <w:t> says that law is “a body of rules of action or conduct prescribed by controlling authority, and having binding legal force. That which must be obeyed and followed by citizens subject to sanctions or legal consequence is a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bookmarkStart w:id="1" w:name="fn-1"/>
      <w:bookmarkEnd w:id="1"/>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Functions of the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Law and Politics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w:t>
      </w:r>
      <w:r>
        <w:rPr>
          <w:rFonts w:ascii="Georgia" w:eastAsia="Times New Roman" w:hAnsi="Georgia" w:cs="Calibri"/>
          <w:b/>
          <w:color w:val="333333"/>
          <w:sz w:val="20"/>
          <w:szCs w:val="20"/>
          <w:u w:val="single"/>
          <w:lang w:val="en"/>
        </w:rPr>
        <w:t>nation-states</w:t>
      </w:r>
      <w:r>
        <w:rPr>
          <w:rFonts w:ascii="Georgia" w:eastAsia="Times New Roman" w:hAnsi="Georgia" w:cs="Calibri"/>
          <w:color w:val="333333"/>
          <w:sz w:val="20"/>
          <w:szCs w:val="20"/>
          <w:lang w:val="en"/>
        </w:rPr>
        <w:t> (as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left="27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Law is the result of political action, and the political landscape is vastly different from nation to nation. Unstable or authoritarian governments often fail to serve the principal functions of law.</w:t>
      </w: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
        </w:numPr>
        <w:shd w:val="clear" w:color="auto" w:fill="E3EFF7"/>
        <w:tabs>
          <w:tab w:val="num" w:pos="30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Burma (named Myanmar by its military rulers). What political rights do you have that the average Burmese citizen does not?</w:t>
      </w:r>
    </w:p>
    <w:p w:rsidR="00A86150" w:rsidRDefault="00F714D4">
      <w:pPr>
        <w:numPr>
          <w:ilvl w:val="0"/>
          <w:numId w:val="3"/>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A86150" w:rsidRDefault="0081777E">
      <w:pPr>
        <w:spacing w:after="0"/>
        <w:jc w:val="center"/>
        <w:divId w:val="694303813"/>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26" style="width:468pt;height:1.5pt" o:hralign="center" o:hrstd="t" o:hr="t" fillcolor="#a0a0a0" stroked="f"/>
        </w:pict>
      </w:r>
    </w:p>
    <w:p w:rsidR="00A86150" w:rsidRDefault="00F714D4">
      <w:pPr>
        <w:spacing w:before="240"/>
        <w:rPr>
          <w:rFonts w:ascii="Calibri" w:hAnsi="Calibri" w:cs="Calibri"/>
          <w:color w:val="333333"/>
          <w:sz w:val="20"/>
          <w:szCs w:val="20"/>
          <w:shd w:val="clear" w:color="auto" w:fill="FFFFFF"/>
        </w:rPr>
      </w:pPr>
      <w:r>
        <w:rPr>
          <w:color w:val="2689C6"/>
        </w:rPr>
        <w:t>[1]</w:t>
      </w:r>
      <w:bookmarkStart w:id="2" w:name="ftn.fn-1"/>
      <w:bookmarkEnd w:id="2"/>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Black’s Law Dictionary</w:t>
      </w:r>
      <w:r>
        <w:rPr>
          <w:rFonts w:ascii="Calibri" w:hAnsi="Calibri" w:cs="Calibri"/>
          <w:color w:val="333333"/>
          <w:sz w:val="20"/>
          <w:szCs w:val="20"/>
          <w:shd w:val="clear" w:color="auto" w:fill="FFFFFF"/>
        </w:rPr>
        <w:t>, 6th ed., s.v. “law.”</w:t>
      </w:r>
    </w:p>
    <w:p w:rsidR="00A86150" w:rsidRDefault="00F714D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lastRenderedPageBreak/>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 Schools of Legal Thought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tabs>
          <w:tab w:val="left" w:pos="909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
        </w:numPr>
        <w:shd w:val="clear" w:color="auto" w:fill="EAE9DC"/>
        <w:tabs>
          <w:tab w:val="clear" w:pos="720"/>
          <w:tab w:val="num" w:pos="1080"/>
          <w:tab w:val="left" w:pos="909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different philosophies of law—schools of legal thought—and explain their relevance.</w:t>
      </w:r>
    </w:p>
    <w:p w:rsidR="00A86150" w:rsidRDefault="00F714D4">
      <w:pPr>
        <w:numPr>
          <w:ilvl w:val="0"/>
          <w:numId w:val="4"/>
        </w:numPr>
        <w:shd w:val="clear" w:color="auto" w:fill="EAE9DC"/>
        <w:tabs>
          <w:tab w:val="left" w:pos="909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natural law relates to the rights that the founders of the US political-legal system found important.</w:t>
      </w:r>
    </w:p>
    <w:p w:rsidR="00A86150" w:rsidRDefault="00F714D4">
      <w:pPr>
        <w:numPr>
          <w:ilvl w:val="0"/>
          <w:numId w:val="4"/>
        </w:numPr>
        <w:shd w:val="clear" w:color="auto" w:fill="EAE9DC"/>
        <w:tabs>
          <w:tab w:val="left" w:pos="909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legal positivism and explain how it differs from natural law.</w:t>
      </w:r>
    </w:p>
    <w:p w:rsidR="00A86150" w:rsidRDefault="00F714D4">
      <w:pPr>
        <w:numPr>
          <w:ilvl w:val="0"/>
          <w:numId w:val="4"/>
        </w:numPr>
        <w:shd w:val="clear" w:color="auto" w:fill="EAE9DC"/>
        <w:tabs>
          <w:tab w:val="left" w:pos="909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Differentiate critical legal studies and ecofeminist legal perspectives from both natural law and legal positivist perspectives.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different schools (or philosophies) concerning what law is all about. Philosophy of law is also called </w:t>
      </w:r>
      <w:r>
        <w:rPr>
          <w:rFonts w:ascii="Georgia" w:eastAsia="Times New Roman" w:hAnsi="Georgia" w:cs="Calibri"/>
          <w:b/>
          <w:color w:val="333333"/>
          <w:sz w:val="20"/>
          <w:szCs w:val="20"/>
          <w:u w:val="single"/>
          <w:lang w:val="en"/>
        </w:rPr>
        <w:t>jurisprudence</w:t>
      </w:r>
      <w:r>
        <w:rPr>
          <w:rFonts w:ascii="Georgia" w:eastAsia="Times New Roman" w:hAnsi="Georgia" w:cs="Calibri"/>
          <w:color w:val="333333"/>
          <w:sz w:val="20"/>
          <w:szCs w:val="20"/>
          <w:lang w:val="en"/>
        </w:rPr>
        <w:t xml:space="preserve">, and the two main schools are </w:t>
      </w:r>
      <w:r>
        <w:rPr>
          <w:rFonts w:ascii="Georgia" w:eastAsia="Times New Roman" w:hAnsi="Georgia" w:cs="Calibri"/>
          <w:b/>
          <w:color w:val="333333"/>
          <w:sz w:val="20"/>
          <w:szCs w:val="20"/>
          <w:u w:val="single"/>
          <w:lang w:val="en"/>
        </w:rPr>
        <w:t>legal positivism</w:t>
      </w:r>
      <w:r>
        <w:rPr>
          <w:rFonts w:ascii="Georgia" w:eastAsia="Times New Roman" w:hAnsi="Georgia" w:cs="Calibri"/>
          <w:color w:val="333333"/>
          <w:sz w:val="20"/>
          <w:szCs w:val="20"/>
          <w:lang w:val="en"/>
        </w:rPr>
        <w:t> and </w:t>
      </w:r>
      <w:r>
        <w:rPr>
          <w:rFonts w:ascii="Georgia" w:eastAsia="Times New Roman" w:hAnsi="Georgia" w:cs="Calibri"/>
          <w:b/>
          <w:color w:val="333333"/>
          <w:sz w:val="20"/>
          <w:szCs w:val="20"/>
          <w:u w:val="single"/>
          <w:lang w:val="en"/>
        </w:rPr>
        <w:t>natural law</w:t>
      </w:r>
      <w:r>
        <w:rPr>
          <w:rFonts w:ascii="Georgia" w:eastAsia="Times New Roman" w:hAnsi="Georgia" w:cs="Calibri"/>
          <w:color w:val="333333"/>
          <w:sz w:val="20"/>
          <w:szCs w:val="20"/>
          <w:lang w:val="en"/>
        </w:rPr>
        <w:t>. Although there are others (see </w:t>
      </w:r>
      <w:r>
        <w:rPr>
          <w:rFonts w:ascii="Georgia" w:eastAsia="Times New Roman" w:hAnsi="Georgia" w:cs="Calibri"/>
          <w:color w:val="2689C6"/>
          <w:sz w:val="20"/>
          <w:szCs w:val="20"/>
          <w:lang w:val="en"/>
        </w:rPr>
        <w:t>Section 1.2.3 "Other Schools of Legal Thought"</w:t>
      </w:r>
      <w:r>
        <w:rPr>
          <w:rFonts w:ascii="Georgia" w:eastAsia="Times New Roman" w:hAnsi="Georgia" w:cs="Calibri"/>
          <w:color w:val="333333"/>
          <w:sz w:val="20"/>
          <w:szCs w:val="20"/>
          <w:lang w:val="en"/>
        </w:rPr>
        <w:t>), these two are the most influential in how people think about the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Positivism: Law as Sovereign Command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legal philosopher John Austin concisely put it, “Law is the command of a sovereign.” Law is only law, in other words, if it comes from a recognized authority and can be enforced by that authority, or </w:t>
      </w:r>
      <w:r>
        <w:rPr>
          <w:rFonts w:ascii="Georgia" w:eastAsia="Times New Roman" w:hAnsi="Georgia" w:cs="Calibri"/>
          <w:b/>
          <w:color w:val="333333"/>
          <w:sz w:val="20"/>
          <w:szCs w:val="20"/>
          <w:u w:val="single"/>
          <w:lang w:val="en"/>
        </w:rPr>
        <w:t>sovereign</w:t>
      </w:r>
      <w:r>
        <w:rPr>
          <w:rFonts w:ascii="Georgia" w:eastAsia="Times New Roman" w:hAnsi="Georgia" w:cs="Calibri"/>
          <w:color w:val="333333"/>
          <w:sz w:val="20"/>
          <w:szCs w:val="20"/>
          <w:lang w:val="en"/>
        </w:rPr>
        <w:t>—such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could examine existing </w:t>
      </w:r>
      <w:r>
        <w:rPr>
          <w:rFonts w:ascii="Georgia" w:eastAsia="Times New Roman" w:hAnsi="Georgia" w:cs="Calibri"/>
          <w:b/>
          <w:color w:val="333333"/>
          <w:sz w:val="20"/>
          <w:szCs w:val="20"/>
          <w:u w:val="single"/>
          <w:lang w:val="en"/>
        </w:rPr>
        <w:t>statutes</w:t>
      </w:r>
      <w:r>
        <w:rPr>
          <w:rFonts w:ascii="Georgia" w:eastAsia="Times New Roman" w:hAnsi="Georgia" w:cs="Calibri"/>
          <w:color w:val="333333"/>
          <w:sz w:val="20"/>
          <w:szCs w:val="20"/>
          <w:lang w:val="en"/>
        </w:rPr>
        <w:t xml:space="preserve">—executive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empirical, even if not rigorously scientific. The first approach, examining in a precise way what the rule itself says, is sometimes known as the “positivist” school of legal thought. The second </w:t>
      </w:r>
      <w:r>
        <w:rPr>
          <w:rFonts w:ascii="Georgia" w:eastAsia="Times New Roman" w:hAnsi="Georgia" w:cs="Calibri"/>
          <w:color w:val="333333"/>
          <w:sz w:val="20"/>
          <w:szCs w:val="20"/>
          <w:lang w:val="en"/>
        </w:rPr>
        <w:lastRenderedPageBreak/>
        <w:t>approach—which relies on social context and the actual behavior of the principal actors who enforce the law—is akin to the “legal realist” school of thought (see </w:t>
      </w:r>
      <w:r>
        <w:rPr>
          <w:rFonts w:ascii="Georgia" w:eastAsia="Times New Roman" w:hAnsi="Georgia" w:cs="Calibri"/>
          <w:color w:val="2689C6"/>
          <w:sz w:val="20"/>
          <w:szCs w:val="20"/>
          <w:lang w:val="en"/>
        </w:rPr>
        <w:t>Section 1.2.3 "Other Schools of Legal Thought"</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Natural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 </w:t>
      </w:r>
      <w:r>
        <w:rPr>
          <w:rFonts w:ascii="Georgia" w:eastAsia="Times New Roman" w:hAnsi="Georgia" w:cs="Calibri"/>
          <w:i/>
          <w:iCs/>
          <w:color w:val="333333"/>
          <w:sz w:val="20"/>
          <w:szCs w:val="20"/>
          <w:lang w:val="en"/>
        </w:rPr>
        <w:t>Cambridge Dictionary of Philosophy</w:t>
      </w:r>
      <w:r>
        <w:rPr>
          <w:rFonts w:ascii="Georgia" w:eastAsia="Times New Roman" w:hAnsi="Georgia" w:cs="Calibri"/>
          <w:color w:val="333333"/>
          <w:sz w:val="20"/>
          <w:szCs w:val="20"/>
          <w:lang w:val="en"/>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A86150" w:rsidRDefault="00A86150">
      <w:pPr>
        <w:spacing w:after="0" w:line="264" w:lineRule="atLeast"/>
        <w:textAlignment w:val="baseline"/>
        <w:outlineLvl w:val="2"/>
        <w:rPr>
          <w:rFonts w:ascii="Calibri" w:eastAsia="Times New Roman" w:hAnsi="Calibri" w:cs="Calibri"/>
          <w:b/>
          <w:bCs/>
          <w:color w:val="333333"/>
          <w:sz w:val="30"/>
          <w:szCs w:val="3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Unanimous Declaration of the Thirteen United States of America</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July 4, 1776</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w:t>
      </w:r>
      <w:r>
        <w:rPr>
          <w:rFonts w:ascii="Georgia" w:eastAsia="Times New Roman" w:hAnsi="Georgia" w:cs="Calibri"/>
          <w:color w:val="333333"/>
          <w:sz w:val="20"/>
          <w:szCs w:val="20"/>
          <w:lang w:val="en"/>
        </w:rPr>
        <w:lastRenderedPageBreak/>
        <w:t>law.…One who breaks an unjust law must do so openly, lovingly, and with a willingness to accept the penalty.”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bookmarkStart w:id="3" w:name="fn-2"/>
      <w:bookmarkEnd w:id="3"/>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 </w:t>
      </w:r>
      <w:r>
        <w:rPr>
          <w:rFonts w:ascii="Georgia" w:eastAsia="Times New Roman" w:hAnsi="Georgia" w:cs="Calibri"/>
          <w:i/>
          <w:iCs/>
          <w:color w:val="333333"/>
          <w:sz w:val="20"/>
          <w:szCs w:val="20"/>
          <w:lang w:val="en"/>
        </w:rPr>
        <w:t>know</w:t>
      </w:r>
      <w:r>
        <w:rPr>
          <w:rFonts w:ascii="Georgia" w:eastAsia="Times New Roman" w:hAnsi="Georgia" w:cs="Calibri"/>
          <w:color w:val="333333"/>
          <w:sz w:val="20"/>
          <w:szCs w:val="20"/>
          <w:lang w:val="en"/>
        </w:rPr>
        <w:t> 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Fonts w:ascii="Georgia" w:eastAsia="Times New Roman" w:hAnsi="Georgia" w:cs="Calibri"/>
          <w:i/>
          <w:iCs/>
          <w:color w:val="333333"/>
          <w:sz w:val="20"/>
          <w:szCs w:val="20"/>
          <w:lang w:val="en"/>
        </w:rPr>
        <w:t>A priori</w:t>
      </w:r>
      <w:r>
        <w:rPr>
          <w:rFonts w:ascii="Georgia" w:eastAsia="Times New Roman" w:hAnsi="Georgia" w:cs="Calibri"/>
          <w:color w:val="333333"/>
          <w:sz w:val="20"/>
          <w:szCs w:val="20"/>
          <w:lang w:val="en"/>
        </w:rPr>
        <w:t> 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Other Schools of Legal Thought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historical school of law believes that societies should base their legal decisions today on the examples of the past. Precedent would be more important than moral arguments.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w:t>
      </w:r>
      <w:r>
        <w:rPr>
          <w:rFonts w:ascii="Georgia" w:eastAsia="Times New Roman" w:hAnsi="Georgia" w:cs="Calibri"/>
          <w:color w:val="333333"/>
          <w:sz w:val="20"/>
          <w:szCs w:val="20"/>
          <w:lang w:val="en"/>
        </w:rPr>
        <w:lastRenderedPageBreak/>
        <w:t>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 </w:t>
      </w:r>
      <w:r>
        <w:rPr>
          <w:rFonts w:ascii="Georgia" w:eastAsia="Times New Roman" w:hAnsi="Georgia" w:cs="Calibri"/>
          <w:color w:val="2689C6"/>
          <w:sz w:val="20"/>
          <w:szCs w:val="20"/>
          <w:lang w:val="en"/>
        </w:rPr>
        <w:t>Chapter 2 "Corporate Social Responsibility and Business Ethics"</w:t>
      </w:r>
      <w:r>
        <w:rPr>
          <w:rFonts w:ascii="Georgia" w:eastAsia="Times New Roman" w:hAnsi="Georgia" w:cs="Calibri"/>
          <w:color w:val="333333"/>
          <w:sz w:val="20"/>
          <w:szCs w:val="20"/>
          <w:lang w:val="en"/>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w:t>
      </w:r>
      <w:r>
        <w:rPr>
          <w:rFonts w:ascii="Calibri" w:eastAsia="Times New Roman" w:hAnsi="Calibri" w:cs="Calibri"/>
          <w:color w:val="333333"/>
          <w:sz w:val="20"/>
          <w:szCs w:val="20"/>
          <w:lang w:val="en"/>
        </w:rPr>
        <w:lastRenderedPageBreak/>
        <w:t>obey. Recent writings in the various legal schools of thought emphasize long-standing patterns of domination of the wealthy over others (the CLS school) and of men over women (ecofeminist legal theory).</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
        </w:numPr>
        <w:shd w:val="clear" w:color="auto" w:fill="E3EFF7"/>
        <w:tabs>
          <w:tab w:val="num" w:pos="-144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A86150" w:rsidRDefault="00F714D4">
      <w:pPr>
        <w:numPr>
          <w:ilvl w:val="0"/>
          <w:numId w:val="5"/>
        </w:numPr>
        <w:shd w:val="clear" w:color="auto" w:fill="E3EFF7"/>
        <w:tabs>
          <w:tab w:val="num" w:pos="-144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Anatole France said, “The law, in its majesty, forbids rich and poor alike from sleeping under bridges.” Which school of legal thought is represented by this quote?</w:t>
      </w:r>
    </w:p>
    <w:p w:rsidR="00A86150" w:rsidRDefault="00F714D4">
      <w:pPr>
        <w:numPr>
          <w:ilvl w:val="0"/>
          <w:numId w:val="5"/>
        </w:numPr>
        <w:shd w:val="clear" w:color="auto" w:fill="E3EFF7"/>
        <w:tabs>
          <w:tab w:val="num" w:pos="-72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A86150" w:rsidRDefault="0081777E">
      <w:pPr>
        <w:spacing w:after="0"/>
        <w:jc w:val="center"/>
        <w:divId w:val="1205019359"/>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27" style="width:468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Cambridge Dictionary of Philosophy</w:t>
      </w:r>
      <w:r>
        <w:rPr>
          <w:rFonts w:ascii="Calibri" w:hAnsi="Calibri" w:cs="Calibri"/>
          <w:color w:val="333333"/>
          <w:sz w:val="20"/>
          <w:szCs w:val="20"/>
        </w:rPr>
        <w:t>, s.v. “natural law.”</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4" w:name="ftn.fn-2"/>
      <w:bookmarkEnd w:id="4"/>
      <w:r>
        <w:rPr>
          <w:rStyle w:val="apple-converted-space"/>
          <w:rFonts w:ascii="Calibri" w:hAnsi="Calibri" w:cs="Calibri"/>
          <w:color w:val="333333"/>
          <w:sz w:val="20"/>
          <w:szCs w:val="20"/>
        </w:rPr>
        <w:t> </w:t>
      </w:r>
      <w:r>
        <w:rPr>
          <w:rFonts w:ascii="Calibri" w:hAnsi="Calibri" w:cs="Calibri"/>
          <w:color w:val="333333"/>
          <w:sz w:val="20"/>
          <w:szCs w:val="20"/>
        </w:rPr>
        <w:t>Martin Luther King Jr., “Letter from Birmingham Jail.”</w:t>
      </w:r>
    </w:p>
    <w:p w:rsidR="00A86150" w:rsidRDefault="00F714D4">
      <w: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1.3 Basic Concepts and Categories of US Positive Law</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general way, differentiate contract law from tort law.</w:t>
      </w:r>
    </w:p>
    <w:p w:rsidR="00A86150" w:rsidRDefault="00F714D4">
      <w:pPr>
        <w:numPr>
          <w:ilvl w:val="0"/>
          <w:numId w:val="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the role of law in supporting ethical norms in our society.</w:t>
      </w:r>
    </w:p>
    <w:p w:rsidR="00A86150" w:rsidRDefault="00F714D4">
      <w:pPr>
        <w:numPr>
          <w:ilvl w:val="0"/>
          <w:numId w:val="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differing roles of state law and federal law in the US legal system.</w:t>
      </w:r>
    </w:p>
    <w:p w:rsidR="00A86150" w:rsidRDefault="00F714D4">
      <w:pPr>
        <w:numPr>
          <w:ilvl w:val="0"/>
          <w:numId w:val="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difference between criminal cases and civil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what we discuss in this book is positive law—US positive law in particular. We will also consider the laws and legal systems of other nations. But first, it will be useful to cover some basic concepts and distinctions.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Law: The Moral Minimums in a Democratic Society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 </w:t>
      </w:r>
      <w:r>
        <w:rPr>
          <w:rFonts w:ascii="Georgia" w:eastAsia="Times New Roman" w:hAnsi="Georgia" w:cs="Calibri"/>
          <w:color w:val="2689C6"/>
          <w:sz w:val="20"/>
          <w:szCs w:val="20"/>
          <w:lang w:val="en"/>
        </w:rPr>
        <w:t>Chapter 6 "Criminal Law"</w:t>
      </w:r>
      <w:r>
        <w:rPr>
          <w:rFonts w:ascii="Georgia" w:eastAsia="Times New Roman" w:hAnsi="Georgia" w:cs="Calibri"/>
          <w:color w:val="333333"/>
          <w:sz w:val="20"/>
          <w:szCs w:val="20"/>
          <w:lang w:val="en"/>
        </w:rPr>
        <w:t>) but also torts (see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and broken promises (see </w:t>
      </w:r>
      <w:r>
        <w:rPr>
          <w:rFonts w:ascii="Georgia" w:eastAsia="Times New Roman" w:hAnsi="Georgia" w:cs="Calibri"/>
          <w:color w:val="2689C6"/>
          <w:sz w:val="20"/>
          <w:szCs w:val="20"/>
          <w:lang w:val="en"/>
        </w:rPr>
        <w:t>Chapter 8 "Introduction to Contract Law"</w:t>
      </w:r>
      <w:r>
        <w:rPr>
          <w:rFonts w:ascii="Georgia" w:eastAsia="Times New Roman" w:hAnsi="Georgia" w:cs="Calibri"/>
          <w:color w:val="333333"/>
          <w:sz w:val="20"/>
          <w:szCs w:val="20"/>
          <w:lang w:val="en"/>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w:t>
      </w:r>
      <w:r>
        <w:rPr>
          <w:rFonts w:ascii="Georgia" w:eastAsia="Times New Roman" w:hAnsi="Georgia" w:cs="Calibri"/>
          <w:color w:val="333333"/>
          <w:sz w:val="20"/>
          <w:szCs w:val="20"/>
          <w:lang w:val="en"/>
        </w:rPr>
        <w:lastRenderedPageBreak/>
        <w:t>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Common Law: Property, Torts, and Contracts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 </w:t>
      </w:r>
      <w:r>
        <w:rPr>
          <w:rFonts w:ascii="Georgia" w:eastAsia="Times New Roman" w:hAnsi="Georgia" w:cs="Calibri"/>
          <w:b/>
          <w:color w:val="333333"/>
          <w:sz w:val="20"/>
          <w:szCs w:val="20"/>
          <w:u w:val="single"/>
          <w:lang w:val="en"/>
        </w:rPr>
        <w:t>precedent</w:t>
      </w:r>
      <w:r>
        <w:rPr>
          <w:rFonts w:ascii="Georgia" w:eastAsia="Times New Roman" w:hAnsi="Georgia" w:cs="Calibri"/>
          <w:color w:val="333333"/>
          <w:sz w:val="20"/>
          <w:szCs w:val="20"/>
          <w:lang w:val="en"/>
        </w:rPr>
        <w:t xml:space="preserve"> in common-law cases came into being, and a doctrine of </w:t>
      </w:r>
      <w:r>
        <w:rPr>
          <w:rFonts w:ascii="Georgia" w:eastAsia="Times New Roman" w:hAnsi="Georgia" w:cs="Calibri"/>
          <w:b/>
          <w:color w:val="333333"/>
          <w:sz w:val="20"/>
          <w:szCs w:val="20"/>
          <w:u w:val="single"/>
          <w:lang w:val="en"/>
        </w:rPr>
        <w:t>stare decisis</w:t>
      </w:r>
      <w:r>
        <w:rPr>
          <w:rFonts w:ascii="Georgia" w:eastAsia="Times New Roman" w:hAnsi="Georgia" w:cs="Calibri"/>
          <w:color w:val="333333"/>
          <w:sz w:val="20"/>
          <w:szCs w:val="20"/>
          <w:lang w:val="en"/>
        </w:rPr>
        <w:t> (pronounced STAR-ay-de-SIGH-sus) became accepted in English courts.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means, in Latin, “let the decision stand.”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w:t>
      </w:r>
      <w:r>
        <w:rPr>
          <w:rFonts w:ascii="Georgia" w:eastAsia="Times New Roman" w:hAnsi="Georgia" w:cs="Calibri"/>
          <w:color w:val="333333"/>
          <w:sz w:val="20"/>
          <w:szCs w:val="20"/>
          <w:lang w:val="en"/>
        </w:rPr>
        <w:lastRenderedPageBreak/>
        <w:t>today a judicial opinion that refers to a seventeenth- or eighteenth-century English common-law case is quite rare.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Courts and the Domain of State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A86150" w:rsidRDefault="00F714D4">
      <w:pPr>
        <w:pStyle w:val="ListParagraph"/>
        <w:numPr>
          <w:ilvl w:val="0"/>
          <w:numId w:val="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including sales, commercial paper, letters of credit, and secured transactions</w:t>
      </w:r>
    </w:p>
    <w:p w:rsidR="00A86150" w:rsidRDefault="00F714D4">
      <w:pPr>
        <w:pStyle w:val="ListParagraph"/>
        <w:numPr>
          <w:ilvl w:val="0"/>
          <w:numId w:val="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Torts</w:t>
      </w:r>
    </w:p>
    <w:p w:rsidR="00A86150" w:rsidRDefault="00F714D4">
      <w:pPr>
        <w:pStyle w:val="ListParagraph"/>
        <w:numPr>
          <w:ilvl w:val="0"/>
          <w:numId w:val="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Property, including real property, bailments of personal property (such as when you check your coat at a theater or leave your clothes with a dry cleaner), trademarks, copyrights, and the estates of decedents (dead people)</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Corporations</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Partnerships</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Domestic matters, including marriage, divorce, custody, adoption, and visitation</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Securities law</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Environmental law</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Agency law, governing the relationship between principals and their agents.</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Banking</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Insurance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Over the past eighty years, however, federal law has become increasingly important in many of these areas, including banking, securities, and environmental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Civil versus Criminal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of the basic differences between </w:t>
      </w:r>
      <w:r>
        <w:rPr>
          <w:rFonts w:ascii="Georgia" w:eastAsia="Times New Roman" w:hAnsi="Georgia" w:cs="Calibri"/>
          <w:b/>
          <w:color w:val="333333"/>
          <w:sz w:val="20"/>
          <w:szCs w:val="20"/>
          <w:u w:val="single"/>
          <w:lang w:val="en"/>
        </w:rPr>
        <w:t>civil law</w:t>
      </w:r>
      <w:r>
        <w:rPr>
          <w:rFonts w:ascii="Georgia" w:eastAsia="Times New Roman" w:hAnsi="Georgia" w:cs="Calibri"/>
          <w:color w:val="333333"/>
          <w:sz w:val="20"/>
          <w:szCs w:val="20"/>
          <w:lang w:val="en"/>
        </w:rPr>
        <w:t> and </w:t>
      </w:r>
      <w:r>
        <w:rPr>
          <w:rFonts w:ascii="Georgia" w:eastAsia="Times New Roman" w:hAnsi="Georgia" w:cs="Calibri"/>
          <w:b/>
          <w:color w:val="333333"/>
          <w:sz w:val="20"/>
          <w:szCs w:val="20"/>
          <w:u w:val="single"/>
          <w:lang w:val="en"/>
        </w:rPr>
        <w:t>criminal law</w:t>
      </w:r>
      <w:r>
        <w:rPr>
          <w:rFonts w:ascii="Georgia" w:eastAsia="Times New Roman" w:hAnsi="Georgia" w:cs="Calibri"/>
          <w:color w:val="333333"/>
          <w:sz w:val="20"/>
          <w:szCs w:val="20"/>
          <w:lang w:val="en"/>
        </w:rPr>
        <w:t> cases are illustrated in </w:t>
      </w:r>
      <w:r>
        <w:rPr>
          <w:rFonts w:ascii="Georgia" w:eastAsia="Times New Roman" w:hAnsi="Georgia" w:cs="Calibri"/>
          <w:color w:val="2689C6"/>
          <w:sz w:val="20"/>
          <w:szCs w:val="20"/>
          <w:lang w:val="en"/>
        </w:rPr>
        <w:t>Table 1.1 "Differences between Civil and Criminal Cases"</w:t>
      </w:r>
      <w:r>
        <w:rPr>
          <w:rFonts w:ascii="Georgia" w:eastAsia="Times New Roman" w:hAnsi="Georgia" w:cs="Calibri"/>
          <w:color w:val="333333"/>
          <w:sz w:val="20"/>
          <w:szCs w:val="20"/>
          <w:lang w:val="en"/>
        </w:rPr>
        <w:t>.</w:t>
      </w:r>
    </w:p>
    <w:p w:rsidR="00A86150" w:rsidRDefault="00F714D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 Differences between Civil and Criminal Cases</w:t>
      </w:r>
    </w:p>
    <w:tbl>
      <w:tblPr>
        <w:tblW w:w="0" w:type="auto"/>
        <w:tblCellMar>
          <w:left w:w="0" w:type="dxa"/>
          <w:right w:w="0" w:type="dxa"/>
        </w:tblCellMar>
        <w:tblLook w:val="04A0" w:firstRow="1" w:lastRow="0" w:firstColumn="1" w:lastColumn="0" w:noHBand="0" w:noVBand="1"/>
      </w:tblPr>
      <w:tblGrid>
        <w:gridCol w:w="955"/>
        <w:gridCol w:w="4638"/>
        <w:gridCol w:w="3917"/>
      </w:tblGrid>
      <w:tr w:rsidR="00A8615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A86150">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Criminal Cases</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Prosecutor brings case; defendant may remain silent</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Beyond a reasonable doubt</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maintain order in society</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punish the most blameworthy</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deter serious wrongdoing</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Fines, jail, and forfeitures</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A86150">
            <w:pPr>
              <w:spacing w:after="0"/>
              <w:rPr>
                <w:rFonts w:cs="Times New Roman"/>
              </w:rPr>
            </w:pPr>
          </w:p>
        </w:tc>
      </w:tr>
    </w:tbl>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Regarding plaintiffs and prosecutors, you can often tell a civil case from a criminal case by looking at the caption of a case going to trial. If the government appears first in the caption of the case (e.g., </w:t>
      </w:r>
      <w:r>
        <w:rPr>
          <w:rFonts w:ascii="Georgia" w:eastAsia="Times New Roman" w:hAnsi="Georgia" w:cs="Calibri"/>
          <w:i/>
          <w:iCs/>
          <w:color w:val="333333"/>
          <w:sz w:val="20"/>
          <w:szCs w:val="20"/>
          <w:lang w:val="en"/>
        </w:rPr>
        <w:t>U.S. v. Lieberman</w:t>
      </w:r>
      <w:r>
        <w:rPr>
          <w:rFonts w:ascii="Georgia" w:eastAsia="Times New Roman" w:hAnsi="Georgia" w:cs="Calibri"/>
          <w:color w:val="333333"/>
          <w:sz w:val="20"/>
          <w:szCs w:val="20"/>
          <w:lang w:val="en"/>
        </w:rPr>
        <w:t>, it is likely that the United States is prosecuting on behalf of the people. The same is true of cases prosecuted by state district attorneys (e.g., </w:t>
      </w:r>
      <w:r>
        <w:rPr>
          <w:rFonts w:ascii="Georgia" w:eastAsia="Times New Roman" w:hAnsi="Georgia" w:cs="Calibri"/>
          <w:i/>
          <w:iCs/>
          <w:color w:val="333333"/>
          <w:sz w:val="20"/>
          <w:szCs w:val="20"/>
          <w:lang w:val="en"/>
        </w:rPr>
        <w:t>State v. Seidel</w:t>
      </w:r>
      <w:r>
        <w:rPr>
          <w:rFonts w:ascii="Georgia" w:eastAsia="Times New Roman" w:hAnsi="Georgia" w:cs="Calibri"/>
          <w:color w:val="333333"/>
          <w:sz w:val="20"/>
          <w:szCs w:val="20"/>
          <w:lang w:val="en"/>
        </w:rPr>
        <w:t xml:space="preserve">). But this is not a foolproof formula. </w:t>
      </w:r>
      <w:r>
        <w:rPr>
          <w:rFonts w:ascii="Georgia" w:eastAsia="Times New Roman" w:hAnsi="Georgia" w:cs="Calibri"/>
          <w:color w:val="333333"/>
          <w:sz w:val="20"/>
          <w:szCs w:val="20"/>
          <w:lang w:val="en"/>
        </w:rPr>
        <w:lastRenderedPageBreak/>
        <w:t>Governments will also bring civil actions to collect debts from or settle disputes with individuals, corporations, or other governments. Thus </w:t>
      </w:r>
      <w:r>
        <w:rPr>
          <w:rFonts w:ascii="Georgia" w:eastAsia="Times New Roman" w:hAnsi="Georgia" w:cs="Calibri"/>
          <w:i/>
          <w:iCs/>
          <w:color w:val="333333"/>
          <w:sz w:val="20"/>
          <w:szCs w:val="20"/>
          <w:lang w:val="en"/>
        </w:rPr>
        <w:t>U.S. v. Mayer</w:t>
      </w:r>
      <w:r>
        <w:rPr>
          <w:rFonts w:ascii="Georgia" w:eastAsia="Times New Roman" w:hAnsi="Georgia" w:cs="Calibri"/>
          <w:color w:val="333333"/>
          <w:sz w:val="20"/>
          <w:szCs w:val="20"/>
          <w:lang w:val="en"/>
        </w:rPr>
        <w:t> might be a collection action for unpaid taxes, or </w:t>
      </w:r>
      <w:r>
        <w:rPr>
          <w:rFonts w:ascii="Georgia" w:eastAsia="Times New Roman" w:hAnsi="Georgia" w:cs="Calibri"/>
          <w:i/>
          <w:iCs/>
          <w:color w:val="333333"/>
          <w:sz w:val="20"/>
          <w:szCs w:val="20"/>
          <w:lang w:val="en"/>
        </w:rPr>
        <w:t>U.S. v. Canada</w:t>
      </w:r>
      <w:r>
        <w:rPr>
          <w:rFonts w:ascii="Georgia" w:eastAsia="Times New Roman" w:hAnsi="Georgia" w:cs="Calibri"/>
          <w:color w:val="333333"/>
          <w:sz w:val="20"/>
          <w:szCs w:val="20"/>
          <w:lang w:val="en"/>
        </w:rPr>
        <w:t> might be a boundary dispute in the International Court of Justice. Governments can be sued, as well; people occasionally sue their state or federal government, but they can only get a trial if the government waives its sovereign immunity and allows such suits. </w:t>
      </w:r>
      <w:r>
        <w:rPr>
          <w:rFonts w:ascii="Georgia" w:eastAsia="Times New Roman" w:hAnsi="Georgia" w:cs="Calibri"/>
          <w:i/>
          <w:iCs/>
          <w:color w:val="333333"/>
          <w:sz w:val="20"/>
          <w:szCs w:val="20"/>
          <w:lang w:val="en"/>
        </w:rPr>
        <w:t>Warner v. U.S.</w:t>
      </w:r>
      <w:r>
        <w:rPr>
          <w:rFonts w:ascii="Georgia" w:eastAsia="Times New Roman" w:hAnsi="Georgia" w:cs="Calibri"/>
          <w:color w:val="333333"/>
          <w:sz w:val="20"/>
          <w:szCs w:val="20"/>
          <w:lang w:val="en"/>
        </w:rPr>
        <w:t>, for example, could be a claim for a tax refund wrongfully withheld or for damage caused to the Warner residence by a sonic boom from a US Air Force jet flying overhead.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Substance versus Procedure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Drive not more than fifty-five miles per hour where that speed limit is posted.</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conspire to fix prices with competitors in the US market.</w:t>
      </w:r>
    </w:p>
    <w:p w:rsidR="00A86150" w:rsidRDefault="00F714D4">
      <w:pPr>
        <w:pStyle w:val="ListParagraph"/>
        <w:numPr>
          <w:ilvl w:val="0"/>
          <w:numId w:val="8"/>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falsely represent the curative effects of your over-the-counter herbal remedy.</w:t>
      </w:r>
    </w:p>
    <w:p w:rsidR="00A86150" w:rsidRDefault="00F714D4">
      <w:pPr>
        <w:pStyle w:val="ListParagraph"/>
        <w:numPr>
          <w:ilvl w:val="0"/>
          <w:numId w:val="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drive your motor vehicle through an intersection while a red traffic signal faces the direction you are coming from.</w:t>
      </w:r>
    </w:p>
    <w:p w:rsidR="00A86150" w:rsidRDefault="00F714D4">
      <w:pPr>
        <w:pStyle w:val="ListParagraph"/>
        <w:numPr>
          <w:ilvl w:val="0"/>
          <w:numId w:val="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discriminate against job applicants or employees on the basis of their race, sex, religion, or national origin.</w:t>
      </w:r>
    </w:p>
    <w:p w:rsidR="00A86150" w:rsidRDefault="00F714D4">
      <w:pPr>
        <w:pStyle w:val="ListParagraph"/>
        <w:numPr>
          <w:ilvl w:val="0"/>
          <w:numId w:val="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discharge certain pollutants into the river without first getting a discharge permit.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w:t>
      </w:r>
      <w:r>
        <w:rPr>
          <w:rFonts w:ascii="Georgia" w:eastAsia="Times New Roman" w:hAnsi="Georgia" w:cs="Calibri"/>
          <w:color w:val="333333"/>
          <w:sz w:val="20"/>
          <w:szCs w:val="20"/>
          <w:lang w:val="en"/>
        </w:rPr>
        <w:lastRenderedPageBreak/>
        <w:t>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0"/>
        </w:numPr>
        <w:shd w:val="clear" w:color="auto" w:fill="E3EFF7"/>
        <w:tabs>
          <w:tab w:val="clear" w:pos="720"/>
          <w:tab w:val="num" w:pos="1440"/>
        </w:tabs>
        <w:spacing w:after="0" w:line="439" w:lineRule="atLeast"/>
        <w:ind w:left="36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Jenna gets a ticket for careless driving after the police come to investigate a car accident she had with you on Hanover Boulevard. Your car is badly damaged through no fault of your own. Is Jenna likely to face criminal charges, civil charges, or both?</w:t>
      </w:r>
    </w:p>
    <w:p w:rsidR="00A86150" w:rsidRDefault="00F714D4">
      <w:pPr>
        <w:numPr>
          <w:ilvl w:val="0"/>
          <w:numId w:val="10"/>
        </w:numPr>
        <w:shd w:val="clear" w:color="auto" w:fill="E3EFF7"/>
        <w:spacing w:line="439" w:lineRule="atLeast"/>
        <w:ind w:left="36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Jenna’s ticket says that she has thirty days in which to respond to the charges against her. The thirty days conforms to a state law that sets this time limit. Is the thirty-day limit procedural law or substantive law?</w:t>
      </w:r>
    </w:p>
    <w:p w:rsidR="00A86150" w:rsidRDefault="00F714D4">
      <w: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 Sources of Law and Their Priority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different sources of law in the US legal system and the principal institutions that create those laws.</w:t>
      </w:r>
    </w:p>
    <w:p w:rsidR="00A86150" w:rsidRDefault="00F714D4">
      <w:pPr>
        <w:numPr>
          <w:ilvl w:val="0"/>
          <w:numId w:val="11"/>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in what way a statute is like a treaty, and vice versa.</w:t>
      </w:r>
    </w:p>
    <w:p w:rsidR="00A86150" w:rsidRDefault="00F714D4">
      <w:pPr>
        <w:numPr>
          <w:ilvl w:val="0"/>
          <w:numId w:val="11"/>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 Constitution is “prior” and has priority over the legislative acts of a majority, whether in the US Congress or in a state legislature.</w:t>
      </w:r>
    </w:p>
    <w:p w:rsidR="00A86150" w:rsidRDefault="00F714D4">
      <w:pPr>
        <w:numPr>
          <w:ilvl w:val="0"/>
          <w:numId w:val="1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origins of the common-law system and what common law means.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Sources of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international legal systems, sources of law include </w:t>
      </w:r>
      <w:r>
        <w:rPr>
          <w:rFonts w:ascii="Georgia" w:eastAsia="Times New Roman" w:hAnsi="Georgia" w:cs="Calibri"/>
          <w:b/>
          <w:color w:val="333333"/>
          <w:sz w:val="20"/>
          <w:szCs w:val="20"/>
          <w:u w:val="single"/>
          <w:lang w:val="en"/>
        </w:rPr>
        <w:t>treaties</w:t>
      </w:r>
      <w:r>
        <w:rPr>
          <w:rFonts w:ascii="Georgia" w:eastAsia="Times New Roman" w:hAnsi="Georgia" w:cs="Calibri"/>
          <w:color w:val="333333"/>
          <w:sz w:val="20"/>
          <w:szCs w:val="20"/>
          <w:lang w:val="en"/>
        </w:rPr>
        <w:t> (agreements between states or countries) and what is known as customary international law (usually consisting of judicial decisions from national court systems where parties from two or more nations are in a dispute).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Constitutions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Constitutions</w:t>
      </w:r>
      <w:r>
        <w:rPr>
          <w:rFonts w:ascii="Georgia" w:eastAsia="Times New Roman" w:hAnsi="Georgia" w:cs="Calibri"/>
          <w:color w:val="333333"/>
          <w:sz w:val="20"/>
          <w:szCs w:val="20"/>
          <w:lang w:val="en"/>
        </w:rPr>
        <w:t xml:space="preserve"> 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w:t>
      </w:r>
      <w:r>
        <w:rPr>
          <w:rFonts w:ascii="Georgia" w:eastAsia="Times New Roman" w:hAnsi="Georgia" w:cs="Calibri"/>
          <w:color w:val="333333"/>
          <w:sz w:val="20"/>
          <w:szCs w:val="20"/>
          <w:lang w:val="en"/>
        </w:rPr>
        <w:lastRenderedPageBreak/>
        <w:t>following the first ten in 1789; two-thirds of the House and Senate must pass amendments, and three-fourths of the states must approve them.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 </w:t>
      </w:r>
      <w:r>
        <w:rPr>
          <w:rFonts w:ascii="Georgia" w:eastAsia="Times New Roman" w:hAnsi="Georgia" w:cs="Calibri"/>
          <w:color w:val="2689C6"/>
          <w:sz w:val="20"/>
          <w:szCs w:val="20"/>
          <w:lang w:val="en"/>
        </w:rPr>
        <w:t>Section 1.4.3 "Causes of Action, Precedent, and "</w:t>
      </w:r>
      <w:r>
        <w:rPr>
          <w:rFonts w:ascii="Georgia" w:eastAsia="Times New Roman" w:hAnsi="Georgia" w:cs="Calibri"/>
          <w:color w:val="333333"/>
          <w:sz w:val="20"/>
          <w:szCs w:val="20"/>
          <w:lang w:val="en"/>
        </w:rPr>
        <w:t> 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Statutes and Treaties in Congress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consider this to be antidemocratic. The House of Representatives, on the other hand, is directly proportioned by population, though no state can have less than one representative.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 </w:t>
      </w:r>
      <w:hyperlink r:id="rId10" w:tgtFrame="_blank" w:history="1">
        <w:r>
          <w:rPr>
            <w:rStyle w:val="Hyperlink"/>
            <w:rFonts w:ascii="Georgia" w:eastAsia="Times New Roman" w:hAnsi="Georgia" w:cs="Calibri"/>
            <w:color w:val="2689C6"/>
            <w:sz w:val="20"/>
            <w:szCs w:val="20"/>
            <w:lang w:val="en"/>
          </w:rPr>
          <w:t>http://uscode.house.gov</w:t>
        </w:r>
      </w:hyperlink>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Delegating Legislative Powers: Rules by Administrative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has found it necessary and useful to create government agencies to administer various laws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 The Constitution does not expressly provide for administrative agencies, but the US Supreme Court has upheld the delegation of power to create federal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Examples of administrative agencies would include the Occupational Safety and Health Administration (OSHA), the Environmental Protection Agency (EPA), and the Federal Trade Commission (FTC).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note that Congress does not have unlimited authority to delegate its lawmaking powers to an agency. It must delegate its authority with some guidelines for the agency and cannot altogether avoid its constitutional responsibilities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Agencies propose rules in the Federal Register, published each working day of the year. Rules that are formally adopted are published in the </w:t>
      </w:r>
      <w:r>
        <w:rPr>
          <w:rFonts w:ascii="Georgia" w:eastAsia="Times New Roman" w:hAnsi="Georgia" w:cs="Calibri"/>
          <w:i/>
          <w:iCs/>
          <w:color w:val="333333"/>
          <w:sz w:val="20"/>
          <w:szCs w:val="20"/>
          <w:lang w:val="en"/>
        </w:rPr>
        <w:t>Code of Federal Regulations</w:t>
      </w:r>
      <w:r>
        <w:rPr>
          <w:rFonts w:ascii="Georgia" w:eastAsia="Times New Roman" w:hAnsi="Georgia" w:cs="Calibri"/>
          <w:color w:val="333333"/>
          <w:sz w:val="20"/>
          <w:szCs w:val="20"/>
          <w:lang w:val="en"/>
        </w:rPr>
        <w:t>, or CFR, available online at</w:t>
      </w:r>
      <w:hyperlink r:id="rId11" w:tgtFrame="_blank" w:history="1">
        <w:r>
          <w:rPr>
            <w:rStyle w:val="Hyperlink"/>
            <w:rFonts w:ascii="Georgia" w:eastAsia="Times New Roman" w:hAnsi="Georgia" w:cs="Calibri"/>
            <w:color w:val="2689C6"/>
            <w:sz w:val="20"/>
            <w:szCs w:val="20"/>
            <w:lang w:val="en"/>
          </w:rPr>
          <w:t>http://www.access.gpo.gov/nara/cfr/cfr-table-search.html</w:t>
        </w:r>
      </w:hyperlink>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 Statutes and Agencies: Other Codified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Judicial Decisions: The Common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Common law</w:t>
      </w:r>
      <w:r>
        <w:rPr>
          <w:rFonts w:ascii="Georgia" w:eastAsia="Times New Roman" w:hAnsi="Georgia" w:cs="Calibri"/>
          <w:color w:val="333333"/>
          <w:sz w:val="20"/>
          <w:szCs w:val="20"/>
          <w:lang w:val="en"/>
        </w:rPr>
        <w:t> 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United States law comes primarily from the tradition of English common law. By the time England’s American colonies revolted in 1776, English common-law traditions were well established in the colonial </w:t>
      </w:r>
      <w:r>
        <w:rPr>
          <w:rFonts w:ascii="Georgia" w:eastAsia="Times New Roman" w:hAnsi="Georgia" w:cs="Calibri"/>
          <w:color w:val="333333"/>
          <w:sz w:val="20"/>
          <w:szCs w:val="20"/>
          <w:lang w:val="en"/>
        </w:rPr>
        <w:lastRenderedPageBreak/>
        <w:t>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Priority of Laws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Constitution as Preemptive Force in US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free speech has its limits; defamation was a cause of action at the time the First Amendment was added to the Constitution, and it has been understood that the free speech rights in the First Amendment did not negate existing common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Statutes and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w:t>
      </w:r>
      <w:r>
        <w:rPr>
          <w:rFonts w:ascii="Georgia" w:eastAsia="Times New Roman" w:hAnsi="Georgia" w:cs="Calibri"/>
          <w:color w:val="333333"/>
          <w:sz w:val="20"/>
          <w:szCs w:val="20"/>
          <w:lang w:val="en"/>
        </w:rPr>
        <w:lastRenderedPageBreak/>
        <w:t>Fair Labor Standards Act (1938) forbid the use of oppressive child labor and established a minimum pay wage and overtime pay rules.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Treaties as Statutes: The “Last in Time” Rule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Ultimately, whether the United States remains a supporter of free trade and continues to participate as a leader in the WTO will depend upon citizens electing leaders who support the process. Had Ross Perot </w:t>
      </w:r>
      <w:r>
        <w:rPr>
          <w:rFonts w:ascii="Georgia" w:eastAsia="Times New Roman" w:hAnsi="Georgia" w:cs="Calibri"/>
          <w:color w:val="333333"/>
          <w:sz w:val="20"/>
          <w:szCs w:val="20"/>
          <w:lang w:val="en"/>
        </w:rPr>
        <w:lastRenderedPageBreak/>
        <w:t>been elected in 1992, for example, NAFTA would have been politically (and legally) dead during his term of office.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Causes of Action, Precedent, and </w:t>
      </w:r>
      <w:r>
        <w:rPr>
          <w:rFonts w:ascii="Calibri" w:eastAsia="Times New Roman" w:hAnsi="Calibri" w:cs="Calibri"/>
          <w:b/>
          <w:bCs/>
          <w:i/>
          <w:iCs/>
          <w:color w:val="333333"/>
          <w:sz w:val="27"/>
          <w:szCs w:val="27"/>
          <w:lang w:val="en"/>
        </w:rPr>
        <w:t>Stare Decisis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matter how wrong someone’s actions may seem to you, the only wrongs you can right in a court are those that can be tied to one or more </w:t>
      </w:r>
      <w:r>
        <w:rPr>
          <w:rFonts w:ascii="Georgia" w:eastAsia="Times New Roman" w:hAnsi="Georgia" w:cs="Calibri"/>
          <w:b/>
          <w:color w:val="333333"/>
          <w:sz w:val="20"/>
          <w:szCs w:val="20"/>
          <w:u w:val="single"/>
          <w:lang w:val="en"/>
        </w:rPr>
        <w:t>causes of action</w:t>
      </w:r>
      <w:r>
        <w:rPr>
          <w:rFonts w:ascii="Georgia" w:eastAsia="Times New Roman" w:hAnsi="Georgia" w:cs="Calibri"/>
          <w:color w:val="333333"/>
          <w:sz w:val="20"/>
          <w:szCs w:val="20"/>
          <w:lang w:val="en"/>
        </w:rPr>
        <w:t>.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old saying in the law is that the law does not deal in trifles, or unimportant issues (in Latin, </w:t>
      </w:r>
      <w:r>
        <w:rPr>
          <w:rFonts w:ascii="Georgia" w:eastAsia="Times New Roman" w:hAnsi="Georgia" w:cs="Calibri"/>
          <w:i/>
          <w:iCs/>
          <w:color w:val="333333"/>
          <w:sz w:val="20"/>
          <w:szCs w:val="20"/>
          <w:lang w:val="en"/>
        </w:rPr>
        <w:t>de minimis non curat lex</w:t>
      </w:r>
      <w:r>
        <w:rPr>
          <w:rFonts w:ascii="Georgia" w:eastAsia="Times New Roman" w:hAnsi="Georgia" w:cs="Calibri"/>
          <w:color w:val="333333"/>
          <w:sz w:val="20"/>
          <w:szCs w:val="20"/>
          <w:lang w:val="en"/>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Your cause of action is thus based on existing laws, including decided cases. How closely your case “fits” with a prior decided case raises the question of precedent.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noted earlier in this chapter, the English common-law tradition placed great emphasis on precedent and what is called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each case (the general rule and its exception), the common-law tradition calls for the court to explain the reasons for its ruling. In the case of the general rule, “freedom of choice” might be the major reason. </w:t>
      </w:r>
      <w:r>
        <w:rPr>
          <w:rFonts w:ascii="Georgia" w:eastAsia="Times New Roman" w:hAnsi="Georgia" w:cs="Calibri"/>
          <w:color w:val="333333"/>
          <w:sz w:val="20"/>
          <w:szCs w:val="20"/>
          <w:lang w:val="en"/>
        </w:rPr>
        <w:lastRenderedPageBreak/>
        <w:t>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Written judicial opinions are thus a good playing field for developing critical thinking skills by identifying the issue in a case and examining the reasons for the court’s previous decision(s), or holding. What </w:t>
      </w:r>
      <w:r>
        <w:rPr>
          <w:rFonts w:ascii="Georgia" w:eastAsia="Times New Roman" w:hAnsi="Georgia" w:cs="Calibri"/>
          <w:i/>
          <w:iCs/>
          <w:color w:val="333333"/>
          <w:sz w:val="20"/>
          <w:szCs w:val="20"/>
          <w:lang w:val="en"/>
        </w:rPr>
        <w:t>has</w:t>
      </w:r>
      <w:r>
        <w:rPr>
          <w:rFonts w:ascii="Georgia" w:eastAsia="Times New Roman" w:hAnsi="Georgia" w:cs="Calibri"/>
          <w:color w:val="333333"/>
          <w:sz w:val="20"/>
          <w:szCs w:val="20"/>
          <w:lang w:val="en"/>
        </w:rPr>
        <w:t> 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Beyond the decision of the court, it is in looking at the court’s </w:t>
      </w:r>
      <w:r>
        <w:rPr>
          <w:rFonts w:ascii="Georgia" w:eastAsia="Times New Roman" w:hAnsi="Georgia" w:cs="Calibri"/>
          <w:i/>
          <w:iCs/>
          <w:color w:val="333333"/>
          <w:sz w:val="20"/>
          <w:szCs w:val="20"/>
          <w:lang w:val="en"/>
        </w:rPr>
        <w:t>reasoning</w:t>
      </w:r>
      <w:r>
        <w:rPr>
          <w:rFonts w:ascii="Georgia" w:eastAsia="Times New Roman" w:hAnsi="Georgia" w:cs="Calibri"/>
          <w:color w:val="333333"/>
          <w:sz w:val="20"/>
          <w:szCs w:val="20"/>
          <w:lang w:val="en"/>
        </w:rPr>
        <w:t> 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the federal government and the states have created administrative agencies. An agency only has the power that the legislature gives it. Within the scope of that power, an agency will often create regulations (see </w:t>
      </w:r>
      <w:r>
        <w:rPr>
          <w:rFonts w:ascii="Calibri" w:eastAsia="Times New Roman" w:hAnsi="Calibri" w:cs="Calibri"/>
          <w:color w:val="2689C6"/>
          <w:sz w:val="20"/>
          <w:szCs w:val="20"/>
          <w:lang w:val="en"/>
        </w:rPr>
        <w:t>Chapter 5 "Administrative Law"</w:t>
      </w:r>
      <w:r>
        <w:rPr>
          <w:rFonts w:ascii="Calibri" w:eastAsia="Times New Roman" w:hAnsi="Calibri" w:cs="Calibri"/>
          <w:color w:val="333333"/>
          <w:sz w:val="20"/>
          <w:szCs w:val="20"/>
          <w:lang w:val="en"/>
        </w:rPr>
        <w:t xml:space="preserve">), which have the same force and effect as statutes. Treaties are never negotiated and concluded by states, as the federal government has exclusive authority over relations with </w:t>
      </w:r>
      <w:r>
        <w:rPr>
          <w:rFonts w:ascii="Calibri" w:eastAsia="Times New Roman" w:hAnsi="Calibri" w:cs="Calibri"/>
          <w:color w:val="333333"/>
          <w:sz w:val="20"/>
          <w:szCs w:val="20"/>
          <w:lang w:val="en"/>
        </w:rPr>
        <w:lastRenderedPageBreak/>
        <w:t>other nation-states. A treaty, once ratified by the Senate, has the same force and effect as a statute passed by Congress and signed into law by the president.</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one example of where common law was overridden by the passage of a federal statute.</w:t>
      </w:r>
    </w:p>
    <w:p w:rsidR="00A86150" w:rsidRDefault="00F714D4">
      <w:pPr>
        <w:numPr>
          <w:ilvl w:val="0"/>
          <w:numId w:val="1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common law change or evolve without any action on the part of a legislature?</w:t>
      </w:r>
    </w:p>
    <w:p w:rsidR="00A86150" w:rsidRDefault="00F714D4">
      <w:pPr>
        <w:numPr>
          <w:ilvl w:val="0"/>
          <w:numId w:val="12"/>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A86150" w:rsidRDefault="0081777E">
      <w:pPr>
        <w:spacing w:after="0"/>
        <w:jc w:val="center"/>
        <w:divId w:val="771244365"/>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28" style="width:468pt;height:1.5pt" o:hralign="center" o:hrstd="t" o:hr="t" fillcolor="#a0a0a0" stroked="f"/>
        </w:pict>
      </w:r>
    </w:p>
    <w:p w:rsidR="00A86150" w:rsidRDefault="00F714D4">
      <w:pPr>
        <w:spacing w:before="240"/>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Rulon-Miller v. International Business Machines Corp.</w:t>
      </w:r>
      <w:r>
        <w:rPr>
          <w:rFonts w:ascii="Calibri" w:hAnsi="Calibri" w:cs="Calibri"/>
          <w:color w:val="333333"/>
          <w:sz w:val="20"/>
          <w:szCs w:val="20"/>
          <w:shd w:val="clear" w:color="auto" w:fill="FFFFFF"/>
        </w:rPr>
        <w:t>, 162 Cal. App.3d 241, 255 (1984).</w:t>
      </w:r>
    </w:p>
    <w:p w:rsidR="00A86150" w:rsidRDefault="00F714D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1.5 Legal and Political Systems of the World</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13"/>
        </w:numPr>
        <w:shd w:val="clear" w:color="auto" w:fill="EAE9DC"/>
        <w:tabs>
          <w:tab w:val="clear" w:pos="720"/>
          <w:tab w:val="num" w:pos="108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the common-law system differs from the civil-law system.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Comparing Common-Law Systems with Other Legal Systems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Civil-Law Systems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 </w:t>
      </w:r>
      <w:r>
        <w:rPr>
          <w:rFonts w:ascii="Georgia" w:eastAsia="Times New Roman" w:hAnsi="Georgia" w:cs="Calibri"/>
          <w:i/>
          <w:iCs/>
          <w:color w:val="333333"/>
          <w:sz w:val="20"/>
          <w:szCs w:val="20"/>
          <w:lang w:val="en"/>
        </w:rPr>
        <w:t>jurisprudence constante.</w:t>
      </w:r>
      <w:r>
        <w:rPr>
          <w:rFonts w:ascii="Georgia" w:eastAsia="Times New Roman" w:hAnsi="Georgia" w:cs="Calibri"/>
          <w:color w:val="333333"/>
          <w:sz w:val="20"/>
          <w:szCs w:val="20"/>
          <w:lang w:val="en"/>
        </w:rPr>
        <w:t> The major agency for growth and change, however, is the legislature, not the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Civil-law systems are used throughout Europe as well as in Central and South America. Some nations in Asia and Africa have also adopted codes based on European civil law. Germany, Holland, Spain, France, and Portugal all had colonies outside of Europe, and many of these colonies adopted the legal practices that were imposed on them by colonial rule, much like the original thirteen states of the United States, which adopted English common-law practices.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source of possible confusion at this point is that we have already referred to US civil law in contrast to criminal law. But the European civil law covers both civil and criminal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A86150" w:rsidRDefault="00F714D4">
      <w:pPr>
        <w:numPr>
          <w:ilvl w:val="0"/>
          <w:numId w:val="1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Use the Internet to identify some of the better-known nations with civil-law systems. Which Asian nations came to adopt all or part of civil-law traditions, and why?</w:t>
      </w:r>
    </w:p>
    <w:p w:rsidR="00A86150" w:rsidRDefault="00F714D4">
      <w: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 A Sample Case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Preliminary Note to Students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Title VII of the Civil Rights Act of 1964 is a federal statute that applies to all employers whose workforce exceeds fifteen people. The text of Title VII says that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it shall be an unlawful employment practice for an employer—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is a case from our federal court system, which has a trial or hearing in the federal district court, an appeal to the Sixth Circuit Court of Appeals, and a final appeal to the US Supreme Court. Teresa Harris, </w:t>
      </w:r>
      <w:r>
        <w:rPr>
          <w:rFonts w:ascii="Georgia" w:eastAsia="Times New Roman" w:hAnsi="Georgia" w:cs="Calibri"/>
          <w:color w:val="333333"/>
          <w:sz w:val="20"/>
          <w:szCs w:val="20"/>
          <w:lang w:val="en"/>
        </w:rPr>
        <w:lastRenderedPageBreak/>
        <w:t>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Harris v. Forklift Systems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510 U.S. 17 (U.S. Supreme Court 1992)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JUDGES: O’CONNOR, J., delivered the opinion for a unanimous Court. SCALIA, J., and GINSBURG, J., filed concurring opinions.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O’CONNOR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case we consider the definition of a discriminatorily “abusive work environment” (also known as a “hostile work environment”) under Title VII of the Civil Rights Act of 1964, 78 Stat. 253, as amended, 42 U.S.C. § 2000e et seq. (1988 ed., Supp. III).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Teresa Harris worked as a manager at Forklift Systems, Inc., an equipment rental company, from April 1985 until October 1987. Charles Hardy was Forklift’s president.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w:t>
      </w:r>
      <w:r>
        <w:rPr>
          <w:rFonts w:ascii="Georgia" w:eastAsia="Times New Roman" w:hAnsi="Georgia" w:cs="Calibri"/>
          <w:color w:val="333333"/>
          <w:sz w:val="20"/>
          <w:szCs w:val="20"/>
          <w:lang w:val="en"/>
        </w:rPr>
        <w:lastRenderedPageBreak/>
        <w:t>292 (CA Fed. 1985) (same), with Ellison v. Brady, 924 F.2d 872, 877–878 (CA9 1991) (rejecting such a requirement).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w:t>
      </w:r>
      <w:r>
        <w:rPr>
          <w:rFonts w:ascii="Georgia" w:eastAsia="Times New Roman" w:hAnsi="Georgia" w:cs="Calibri"/>
          <w:color w:val="333333"/>
          <w:sz w:val="20"/>
          <w:szCs w:val="20"/>
          <w:lang w:val="en"/>
        </w:rPr>
        <w:lastRenderedPageBreak/>
        <w:t>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Forklift, while conceding that a requirement that the conduct seriously affect psychological well-being is unfounded, argues that the District Court nonetheless correctly applied the Meritor standard. We </w:t>
      </w:r>
      <w:r>
        <w:rPr>
          <w:rFonts w:ascii="Georgia" w:eastAsia="Times New Roman" w:hAnsi="Georgia" w:cs="Calibri"/>
          <w:color w:val="333333"/>
          <w:sz w:val="20"/>
          <w:szCs w:val="20"/>
          <w:lang w:val="en"/>
        </w:rPr>
        <w:lastRenderedPageBreak/>
        <w:t>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therefore reverse the judgment of the Court of Appeals, and remand the case for further proceedings consistent with this opinion.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ordered.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Note to Students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this a criminal case or a civil-law case? How can you tell?</w:t>
      </w:r>
    </w:p>
    <w:p w:rsidR="00A86150" w:rsidRDefault="00F714D4">
      <w:pPr>
        <w:numPr>
          <w:ilvl w:val="0"/>
          <w:numId w:val="1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 court concerned with making a procedural rule here, or is the court making a statement about the substantive law?</w:t>
      </w:r>
    </w:p>
    <w:p w:rsidR="00A86150" w:rsidRDefault="00F714D4">
      <w:pPr>
        <w:numPr>
          <w:ilvl w:val="0"/>
          <w:numId w:val="1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this a case where the court is interpreting the Constitution, a federal statute, a state statute, or the common law?</w:t>
      </w:r>
    </w:p>
    <w:p w:rsidR="00A86150" w:rsidRDefault="00F714D4">
      <w:pPr>
        <w:numPr>
          <w:ilvl w:val="0"/>
          <w:numId w:val="1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w:t>
      </w:r>
      <w:r>
        <w:rPr>
          <w:rFonts w:ascii="Calibri" w:eastAsia="Times New Roman" w:hAnsi="Calibri" w:cs="Calibri"/>
          <w:i/>
          <w:iCs/>
          <w:color w:val="333333"/>
          <w:sz w:val="20"/>
          <w:szCs w:val="20"/>
          <w:lang w:val="en"/>
        </w:rPr>
        <w:t>Harris v. Forklift</w:t>
      </w:r>
      <w:r>
        <w:rPr>
          <w:rFonts w:ascii="Calibri" w:eastAsia="Times New Roman" w:hAnsi="Calibri" w:cs="Calibri"/>
          <w:color w:val="333333"/>
          <w:sz w:val="20"/>
          <w:szCs w:val="20"/>
          <w:lang w:val="en"/>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A86150" w:rsidRDefault="00F714D4">
      <w:pPr>
        <w:numPr>
          <w:ilvl w:val="0"/>
          <w:numId w:val="15"/>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What was the employer’s argument in this case? Do you agree or disagree with it? What if those who legislated Title VII gave no thought to the question of seriousness of injury at all?</w:t>
      </w:r>
    </w:p>
    <w:p w:rsidR="00A86150" w:rsidRDefault="00A86150">
      <w:pPr>
        <w:rPr>
          <w:rFonts w:ascii="Times New Roman" w:eastAsia="Times New Roman" w:hAnsi="Times New Roman" w:cs="Times New Roman"/>
          <w:sz w:val="24"/>
          <w:szCs w:val="24"/>
        </w:rPr>
      </w:pPr>
    </w:p>
    <w:p w:rsidR="00A86150" w:rsidRDefault="00F714D4">
      <w:pPr>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common law? Where do the courts get the authority to interpret it and to change it?</w:t>
      </w:r>
    </w:p>
    <w:p w:rsidR="00A86150" w:rsidRDefault="00F714D4">
      <w:pPr>
        <w:numPr>
          <w:ilvl w:val="0"/>
          <w:numId w:val="1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A86150" w:rsidRDefault="00F714D4">
      <w:pPr>
        <w:numPr>
          <w:ilvl w:val="0"/>
          <w:numId w:val="1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w:t>
      </w:r>
      <w:r>
        <w:rPr>
          <w:rFonts w:ascii="Calibri" w:eastAsia="Times New Roman" w:hAnsi="Calibri" w:cs="Calibri"/>
          <w:i/>
          <w:iCs/>
          <w:color w:val="333333"/>
          <w:sz w:val="20"/>
          <w:szCs w:val="20"/>
          <w:lang w:val="en"/>
        </w:rPr>
        <w:t>stare decisis</w:t>
      </w:r>
      <w:r>
        <w:rPr>
          <w:rFonts w:ascii="Calibri" w:eastAsia="Times New Roman" w:hAnsi="Calibri" w:cs="Calibri"/>
          <w:color w:val="333333"/>
          <w:sz w:val="20"/>
          <w:szCs w:val="20"/>
          <w:lang w:val="en"/>
        </w:rPr>
        <w:t> mean, and why is it so basic to common-law legal tradition?</w:t>
      </w:r>
    </w:p>
    <w:p w:rsidR="00A86150" w:rsidRDefault="00F714D4">
      <w:pPr>
        <w:numPr>
          <w:ilvl w:val="0"/>
          <w:numId w:val="1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following situations, which source of law takes priority, and why?</w:t>
      </w:r>
    </w:p>
    <w:p w:rsidR="00A86150" w:rsidRDefault="00F714D4">
      <w:pPr>
        <w:numPr>
          <w:ilvl w:val="1"/>
          <w:numId w:val="17"/>
        </w:numPr>
        <w:shd w:val="clear" w:color="auto" w:fill="E3EFF7"/>
        <w:spacing w:after="0" w:line="439" w:lineRule="atLeast"/>
        <w:ind w:left="60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 statute conflicts with the common law of that state.</w:t>
      </w:r>
    </w:p>
    <w:p w:rsidR="00A86150" w:rsidRDefault="00F714D4">
      <w:pPr>
        <w:numPr>
          <w:ilvl w:val="1"/>
          <w:numId w:val="17"/>
        </w:numPr>
        <w:shd w:val="clear" w:color="auto" w:fill="E3EFF7"/>
        <w:spacing w:after="0" w:line="439" w:lineRule="atLeast"/>
        <w:ind w:left="60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federal statute conflicts with the US Constitution.</w:t>
      </w:r>
    </w:p>
    <w:p w:rsidR="00A86150" w:rsidRDefault="00F714D4">
      <w:pPr>
        <w:numPr>
          <w:ilvl w:val="1"/>
          <w:numId w:val="17"/>
        </w:numPr>
        <w:shd w:val="clear" w:color="auto" w:fill="E3EFF7"/>
        <w:spacing w:after="0" w:line="439" w:lineRule="atLeast"/>
        <w:ind w:left="60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common-law decision in one state conflicts with the US Constitution.</w:t>
      </w:r>
    </w:p>
    <w:p w:rsidR="00A86150" w:rsidRDefault="00F714D4">
      <w:pPr>
        <w:numPr>
          <w:ilvl w:val="1"/>
          <w:numId w:val="17"/>
        </w:numPr>
        <w:shd w:val="clear" w:color="auto" w:fill="E3EFF7"/>
        <w:spacing w:line="439" w:lineRule="atLeast"/>
        <w:ind w:left="60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 federal statute conflicts with a state constitution.</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18"/>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source of law that is foundational in the US legal system is</w:t>
      </w:r>
    </w:p>
    <w:p w:rsidR="00A86150" w:rsidRDefault="00F714D4">
      <w:pPr>
        <w:numPr>
          <w:ilvl w:val="1"/>
          <w:numId w:val="19"/>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common law</w:t>
      </w:r>
    </w:p>
    <w:p w:rsidR="00A86150" w:rsidRDefault="00F714D4">
      <w:pPr>
        <w:numPr>
          <w:ilvl w:val="1"/>
          <w:numId w:val="19"/>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statutory law</w:t>
      </w:r>
    </w:p>
    <w:p w:rsidR="00A86150" w:rsidRDefault="00F714D4">
      <w:pPr>
        <w:numPr>
          <w:ilvl w:val="1"/>
          <w:numId w:val="19"/>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constitutional law</w:t>
      </w:r>
    </w:p>
    <w:p w:rsidR="00A86150" w:rsidRDefault="00F714D4">
      <w:pPr>
        <w:numPr>
          <w:ilvl w:val="1"/>
          <w:numId w:val="19"/>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administrative law</w:t>
      </w:r>
    </w:p>
    <w:p w:rsidR="00A86150" w:rsidRDefault="00F714D4">
      <w:pPr>
        <w:numPr>
          <w:ilvl w:val="0"/>
          <w:numId w:val="19"/>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“Law is the command of a sovereign” represents what school of legal thought?</w:t>
      </w:r>
    </w:p>
    <w:p w:rsidR="00A86150" w:rsidRDefault="00F714D4">
      <w:pPr>
        <w:numPr>
          <w:ilvl w:val="0"/>
          <w:numId w:val="20"/>
        </w:numPr>
        <w:shd w:val="clear" w:color="auto" w:fill="E3EFF7"/>
        <w:tabs>
          <w:tab w:val="left" w:pos="720"/>
          <w:tab w:val="num" w:pos="810"/>
        </w:tabs>
        <w:spacing w:after="0" w:line="366" w:lineRule="atLeast"/>
        <w:ind w:left="39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civil law</w:t>
      </w:r>
    </w:p>
    <w:p w:rsidR="00A86150" w:rsidRDefault="00F714D4">
      <w:pPr>
        <w:numPr>
          <w:ilvl w:val="0"/>
          <w:numId w:val="20"/>
        </w:numPr>
        <w:shd w:val="clear" w:color="auto" w:fill="E3EFF7"/>
        <w:tabs>
          <w:tab w:val="left" w:pos="720"/>
          <w:tab w:val="num" w:pos="810"/>
        </w:tabs>
        <w:spacing w:after="0" w:line="366" w:lineRule="atLeast"/>
        <w:ind w:left="39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constitutional law</w:t>
      </w:r>
    </w:p>
    <w:p w:rsidR="00A86150" w:rsidRDefault="00F714D4">
      <w:pPr>
        <w:numPr>
          <w:ilvl w:val="0"/>
          <w:numId w:val="20"/>
        </w:numPr>
        <w:shd w:val="clear" w:color="auto" w:fill="E3EFF7"/>
        <w:tabs>
          <w:tab w:val="left" w:pos="720"/>
          <w:tab w:val="num" w:pos="810"/>
        </w:tabs>
        <w:spacing w:after="0" w:line="366" w:lineRule="atLeast"/>
        <w:ind w:left="39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natural law</w:t>
      </w:r>
    </w:p>
    <w:p w:rsidR="00A86150" w:rsidRDefault="00F714D4">
      <w:pPr>
        <w:numPr>
          <w:ilvl w:val="0"/>
          <w:numId w:val="20"/>
        </w:numPr>
        <w:shd w:val="clear" w:color="auto" w:fill="E3EFF7"/>
        <w:tabs>
          <w:tab w:val="left" w:pos="720"/>
          <w:tab w:val="num" w:pos="810"/>
        </w:tabs>
        <w:spacing w:after="0" w:line="366" w:lineRule="atLeast"/>
        <w:ind w:left="39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ecofeminist law</w:t>
      </w:r>
    </w:p>
    <w:p w:rsidR="00A86150" w:rsidRDefault="00F714D4">
      <w:pPr>
        <w:numPr>
          <w:ilvl w:val="0"/>
          <w:numId w:val="20"/>
        </w:numPr>
        <w:shd w:val="clear" w:color="auto" w:fill="E3EFF7"/>
        <w:tabs>
          <w:tab w:val="left" w:pos="720"/>
          <w:tab w:val="num" w:pos="810"/>
        </w:tabs>
        <w:spacing w:after="0" w:line="366" w:lineRule="atLeast"/>
        <w:ind w:left="39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positive law</w:t>
      </w:r>
    </w:p>
    <w:p w:rsidR="00A86150" w:rsidRDefault="00F714D4">
      <w:pPr>
        <w:numPr>
          <w:ilvl w:val="0"/>
          <w:numId w:val="21"/>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kinds of law are most often found in state law rather than federal law?</w:t>
      </w:r>
    </w:p>
    <w:p w:rsidR="00A86150" w:rsidRDefault="00F714D4">
      <w:pPr>
        <w:numPr>
          <w:ilvl w:val="0"/>
          <w:numId w:val="22"/>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torts and contracts</w:t>
      </w:r>
    </w:p>
    <w:p w:rsidR="00A86150" w:rsidRDefault="00F714D4">
      <w:pPr>
        <w:numPr>
          <w:ilvl w:val="0"/>
          <w:numId w:val="22"/>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bankruptcy</w:t>
      </w:r>
    </w:p>
    <w:p w:rsidR="00A86150" w:rsidRDefault="00F714D4">
      <w:pPr>
        <w:numPr>
          <w:ilvl w:val="0"/>
          <w:numId w:val="22"/>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maritime law</w:t>
      </w:r>
    </w:p>
    <w:p w:rsidR="00A86150" w:rsidRDefault="00F714D4">
      <w:pPr>
        <w:numPr>
          <w:ilvl w:val="0"/>
          <w:numId w:val="22"/>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international law</w:t>
      </w:r>
    </w:p>
    <w:p w:rsidR="00A86150" w:rsidRDefault="00F714D4">
      <w:pPr>
        <w:numPr>
          <w:ilvl w:val="0"/>
          <w:numId w:val="23"/>
        </w:numPr>
        <w:shd w:val="clear" w:color="auto" w:fill="E3EFF7"/>
        <w:spacing w:after="0" w:line="439" w:lineRule="atLeast"/>
        <w:ind w:left="360" w:right="720" w:hanging="3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Where was natural law discovered?</w:t>
      </w:r>
    </w:p>
    <w:p w:rsidR="00A86150" w:rsidRDefault="00F714D4">
      <w:pPr>
        <w:numPr>
          <w:ilvl w:val="0"/>
          <w:numId w:val="24"/>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nature</w:t>
      </w:r>
    </w:p>
    <w:p w:rsidR="00A86150" w:rsidRDefault="00F714D4">
      <w:pPr>
        <w:numPr>
          <w:ilvl w:val="0"/>
          <w:numId w:val="24"/>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constitutions and statutes</w:t>
      </w:r>
    </w:p>
    <w:p w:rsidR="00A86150" w:rsidRDefault="00F714D4">
      <w:pPr>
        <w:numPr>
          <w:ilvl w:val="0"/>
          <w:numId w:val="24"/>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exercise of human reason</w:t>
      </w:r>
    </w:p>
    <w:p w:rsidR="00A86150" w:rsidRDefault="00F714D4">
      <w:pPr>
        <w:numPr>
          <w:ilvl w:val="0"/>
          <w:numId w:val="24"/>
        </w:numPr>
        <w:shd w:val="clear" w:color="auto" w:fill="E3EFF7"/>
        <w:spacing w:after="0" w:line="366" w:lineRule="atLeast"/>
        <w:ind w:left="480" w:right="375" w:hanging="4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Wall Street Journal</w:t>
      </w:r>
    </w:p>
    <w:p w:rsidR="00A86150" w:rsidRDefault="00F714D4">
      <w:pPr>
        <w:numPr>
          <w:ilvl w:val="0"/>
          <w:numId w:val="25"/>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Wolfe is a state court judge in California. In the case of </w:t>
      </w:r>
      <w:r>
        <w:rPr>
          <w:rFonts w:ascii="Calibri" w:eastAsia="Times New Roman" w:hAnsi="Calibri" w:cs="Calibri"/>
          <w:i/>
          <w:iCs/>
          <w:color w:val="333333"/>
          <w:sz w:val="20"/>
          <w:szCs w:val="20"/>
          <w:lang w:val="en"/>
        </w:rPr>
        <w:t>Riddick v. Clouse</w:t>
      </w:r>
      <w:r>
        <w:rPr>
          <w:rFonts w:ascii="Calibri" w:eastAsia="Times New Roman" w:hAnsi="Calibri" w:cs="Calibri"/>
          <w:color w:val="333333"/>
          <w:sz w:val="20"/>
          <w:szCs w:val="20"/>
          <w:lang w:val="en"/>
        </w:rPr>
        <w:t>, which involves a contract dispute, Wolfe must follow precedent. She establishes a logical relationship between the Riddick case and a case decided by the California Supreme Court, </w:t>
      </w:r>
      <w:r>
        <w:rPr>
          <w:rFonts w:ascii="Calibri" w:eastAsia="Times New Roman" w:hAnsi="Calibri" w:cs="Calibri"/>
          <w:i/>
          <w:iCs/>
          <w:color w:val="333333"/>
          <w:sz w:val="20"/>
          <w:szCs w:val="20"/>
          <w:lang w:val="en"/>
        </w:rPr>
        <w:t>Zhu v. Patel Enterprises, Inc.</w:t>
      </w:r>
      <w:r>
        <w:rPr>
          <w:rFonts w:ascii="Calibri" w:eastAsia="Times New Roman" w:hAnsi="Calibri" w:cs="Calibri"/>
          <w:color w:val="333333"/>
          <w:sz w:val="20"/>
          <w:szCs w:val="20"/>
          <w:lang w:val="en"/>
        </w:rPr>
        <w:t> She compares the facts of Riddick to the facts in Zhu and to the extent the facts are similar, applies the same rule to reach her decision. This is</w:t>
      </w:r>
    </w:p>
    <w:p w:rsidR="00A86150" w:rsidRDefault="00F714D4">
      <w:pPr>
        <w:numPr>
          <w:ilvl w:val="0"/>
          <w:numId w:val="26"/>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deductive reasoning</w:t>
      </w:r>
    </w:p>
    <w:p w:rsidR="00A86150" w:rsidRDefault="00F714D4">
      <w:pPr>
        <w:numPr>
          <w:ilvl w:val="0"/>
          <w:numId w:val="26"/>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faulty reasoning</w:t>
      </w:r>
    </w:p>
    <w:p w:rsidR="00A86150" w:rsidRDefault="00F714D4">
      <w:pPr>
        <w:numPr>
          <w:ilvl w:val="0"/>
          <w:numId w:val="26"/>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linear reasoning</w:t>
      </w:r>
    </w:p>
    <w:p w:rsidR="00A86150" w:rsidRDefault="00F714D4">
      <w:pPr>
        <w:numPr>
          <w:ilvl w:val="0"/>
          <w:numId w:val="26"/>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reasoning by analogy</w:t>
      </w:r>
    </w:p>
    <w:p w:rsidR="00A86150" w:rsidRDefault="00F714D4">
      <w:pPr>
        <w:numPr>
          <w:ilvl w:val="0"/>
          <w:numId w:val="27"/>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is a state court judge in Colorado. In the case of </w:t>
      </w:r>
      <w:r>
        <w:rPr>
          <w:rFonts w:ascii="Calibri" w:eastAsia="Times New Roman" w:hAnsi="Calibri" w:cs="Calibri"/>
          <w:i/>
          <w:iCs/>
          <w:color w:val="333333"/>
          <w:sz w:val="20"/>
          <w:szCs w:val="20"/>
          <w:lang w:val="en"/>
        </w:rPr>
        <w:t>Cassidy v. Seawell</w:t>
      </w:r>
      <w:r>
        <w:rPr>
          <w:rFonts w:ascii="Calibri" w:eastAsia="Times New Roman" w:hAnsi="Calibri" w:cs="Calibri"/>
          <w:color w:val="333333"/>
          <w:sz w:val="20"/>
          <w:szCs w:val="20"/>
          <w:lang w:val="en"/>
        </w:rPr>
        <w:t>, also a contract dispute, there is no Colorado Supreme Court or court of appeals decision that sets forth a rule that could be applied. However, the California case of </w:t>
      </w:r>
      <w:r>
        <w:rPr>
          <w:rFonts w:ascii="Calibri" w:eastAsia="Times New Roman" w:hAnsi="Calibri" w:cs="Calibri"/>
          <w:i/>
          <w:iCs/>
          <w:color w:val="333333"/>
          <w:sz w:val="20"/>
          <w:szCs w:val="20"/>
          <w:lang w:val="en"/>
        </w:rPr>
        <w:t>Zhu v. Patel Enterprises, Inc.</w:t>
      </w:r>
      <w:r>
        <w:rPr>
          <w:rFonts w:ascii="Calibri" w:eastAsia="Times New Roman" w:hAnsi="Calibri" w:cs="Calibri"/>
          <w:color w:val="333333"/>
          <w:sz w:val="20"/>
          <w:szCs w:val="20"/>
          <w:lang w:val="en"/>
        </w:rPr>
        <w:t> is “very close” on the facts and sets forth a rule of law that could be applied to the Cassidy case. What process must Moore follow in considering whether to use the Zhu case as precedent?</w:t>
      </w:r>
    </w:p>
    <w:p w:rsidR="00A86150" w:rsidRDefault="00F714D4">
      <w:pPr>
        <w:numPr>
          <w:ilvl w:val="0"/>
          <w:numId w:val="28"/>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is free to decide the case any way he wants, but he may not look at decisions and reasons in similar cases from other states.</w:t>
      </w:r>
    </w:p>
    <w:p w:rsidR="00A86150" w:rsidRDefault="00F714D4">
      <w:pPr>
        <w:numPr>
          <w:ilvl w:val="0"/>
          <w:numId w:val="28"/>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must wait for the Colorado legislature and the governor to pass a law that addresses the issues raised in the Cassidy case.</w:t>
      </w:r>
    </w:p>
    <w:p w:rsidR="00A86150" w:rsidRDefault="00F714D4">
      <w:pPr>
        <w:numPr>
          <w:ilvl w:val="0"/>
          <w:numId w:val="28"/>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must follow the California case if that is the best precedent.</w:t>
      </w:r>
    </w:p>
    <w:p w:rsidR="00A86150" w:rsidRDefault="00F714D4">
      <w:pPr>
        <w:numPr>
          <w:ilvl w:val="0"/>
          <w:numId w:val="28"/>
        </w:numPr>
        <w:shd w:val="clear" w:color="auto" w:fill="E3EFF7"/>
        <w:spacing w:after="0" w:line="366" w:lineRule="atLeast"/>
        <w:ind w:left="4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may follow the California case if he believes that it offers the best reasoning for a similar case.</w:t>
      </w:r>
    </w:p>
    <w:p w:rsidR="00A86150" w:rsidRDefault="00A86150">
      <w:pPr>
        <w:spacing w:after="0" w:line="366" w:lineRule="atLeast"/>
        <w:ind w:left="36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left="12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29"/>
        </w:numPr>
        <w:shd w:val="clear" w:color="auto" w:fill="E3EFF7"/>
        <w:tabs>
          <w:tab w:val="num" w:pos="600"/>
        </w:tabs>
        <w:spacing w:after="0"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9"/>
        </w:numPr>
        <w:shd w:val="clear" w:color="auto" w:fill="E3EFF7"/>
        <w:spacing w:after="0"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A86150" w:rsidRDefault="00F714D4">
      <w:pPr>
        <w:numPr>
          <w:ilvl w:val="0"/>
          <w:numId w:val="29"/>
        </w:numPr>
        <w:shd w:val="clear" w:color="auto" w:fill="E3EFF7"/>
        <w:spacing w:after="0"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29"/>
        </w:numPr>
        <w:shd w:val="clear" w:color="auto" w:fill="E3EFF7"/>
        <w:spacing w:after="0"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9"/>
        </w:numPr>
        <w:shd w:val="clear" w:color="auto" w:fill="E3EFF7"/>
        <w:spacing w:after="0"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29"/>
        </w:numPr>
        <w:shd w:val="clear" w:color="auto" w:fill="E3EFF7"/>
        <w:spacing w:line="439" w:lineRule="atLeast"/>
        <w:ind w:left="48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w:t>
      </w:r>
    </w:p>
    <w:p w:rsidR="00A86150" w:rsidRDefault="0081777E">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29" style="width:468pt;height:1.5pt" o:hralign="center" o:hrstd="t" o:hr="t" fillcolor="#a0a0a0"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Corporate Social Responsibility and Business Ethics</w:t>
      </w:r>
    </w:p>
    <w:p w:rsidR="00A86150" w:rsidRDefault="00F714D4">
      <w:pPr>
        <w:shd w:val="clear" w:color="auto" w:fill="FFFFFF"/>
        <w:spacing w:before="240"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great society is a society in which [leaders] of business think greatly about their functions.</w:t>
      </w:r>
    </w:p>
    <w:p w:rsidR="00A86150" w:rsidRDefault="00F714D4">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-Alfred North Whitehead</w:t>
      </w:r>
    </w:p>
    <w:p w:rsidR="00A86150" w:rsidRDefault="00A86150">
      <w:pPr>
        <w:shd w:val="clear" w:color="auto" w:fill="FFFFFF"/>
        <w:spacing w:before="240" w:after="0" w:line="439" w:lineRule="atLeast"/>
        <w:ind w:left="150"/>
        <w:textAlignment w:val="baseline"/>
        <w:rPr>
          <w:rFonts w:ascii="Georgia" w:eastAsia="Times New Roman" w:hAnsi="Georgia" w:cs="Calibri"/>
          <w:i/>
          <w:iCs/>
          <w:color w:val="333333"/>
          <w:sz w:val="20"/>
          <w:szCs w:val="20"/>
        </w:rPr>
      </w:pPr>
    </w:p>
    <w:p w:rsidR="00A86150" w:rsidRDefault="00F714D4">
      <w:pPr>
        <w:shd w:val="clear" w:color="auto" w:fill="D2D1C2"/>
        <w:spacing w:after="0" w:line="264" w:lineRule="atLeast"/>
        <w:ind w:left="15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15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30"/>
        </w:numPr>
        <w:shd w:val="clear" w:color="auto" w:fill="EAE9DC"/>
        <w:tabs>
          <w:tab w:val="clear" w:pos="720"/>
          <w:tab w:val="num" w:pos="870"/>
        </w:tabs>
        <w:spacing w:after="0" w:line="439" w:lineRule="atLeast"/>
        <w:ind w:left="51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ethics and explain the importance of good ethics for business people and business organizations.</w:t>
      </w:r>
    </w:p>
    <w:p w:rsidR="00A86150" w:rsidRDefault="00F714D4">
      <w:pPr>
        <w:numPr>
          <w:ilvl w:val="0"/>
          <w:numId w:val="30"/>
        </w:numPr>
        <w:shd w:val="clear" w:color="auto" w:fill="EAE9DC"/>
        <w:spacing w:after="0" w:line="439" w:lineRule="atLeast"/>
        <w:ind w:left="51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principal philosophies of ethics, including utilitarianism, duty-based ethics, and virtue ethics.</w:t>
      </w:r>
    </w:p>
    <w:p w:rsidR="00A86150" w:rsidRDefault="00F714D4">
      <w:pPr>
        <w:numPr>
          <w:ilvl w:val="0"/>
          <w:numId w:val="30"/>
        </w:numPr>
        <w:shd w:val="clear" w:color="auto" w:fill="EAE9DC"/>
        <w:spacing w:after="0" w:line="439" w:lineRule="atLeast"/>
        <w:ind w:left="51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the ethical merits of various choices by using an ethical decision model.</w:t>
      </w:r>
    </w:p>
    <w:p w:rsidR="00A86150" w:rsidRDefault="00F714D4">
      <w:pPr>
        <w:numPr>
          <w:ilvl w:val="0"/>
          <w:numId w:val="30"/>
        </w:numPr>
        <w:shd w:val="clear" w:color="auto" w:fill="EAE9DC"/>
        <w:spacing w:after="0" w:line="439" w:lineRule="atLeast"/>
        <w:ind w:left="51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difference between shareholder and stakeholder models of ethical corporate governance.</w:t>
      </w:r>
    </w:p>
    <w:p w:rsidR="00A86150" w:rsidRDefault="00F714D4">
      <w:pPr>
        <w:numPr>
          <w:ilvl w:val="0"/>
          <w:numId w:val="30"/>
        </w:numPr>
        <w:shd w:val="clear" w:color="auto" w:fill="EAE9DC"/>
        <w:spacing w:line="439" w:lineRule="atLeast"/>
        <w:ind w:left="51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it is difficult to establish and maintain an ethical corporate culture in a business organization.</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2.1</w:t>
      </w:r>
      <w:r>
        <w:rPr>
          <w:rFonts w:ascii="Calibri" w:eastAsia="Times New Roman" w:hAnsi="Calibri" w:cs="Calibri"/>
          <w:b/>
          <w:bCs/>
          <w:color w:val="333333"/>
          <w:sz w:val="36"/>
          <w:szCs w:val="36"/>
        </w:rPr>
        <w:t> What Is Ethics?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31"/>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both individuals and institutions can be viewed as ethical or unethical.</w:t>
      </w:r>
    </w:p>
    <w:p w:rsidR="00A86150" w:rsidRDefault="00F714D4">
      <w:pPr>
        <w:numPr>
          <w:ilvl w:val="0"/>
          <w:numId w:val="31"/>
        </w:numPr>
        <w:shd w:val="clear" w:color="auto" w:fill="EAE9DC"/>
        <w:tabs>
          <w:tab w:val="left" w:pos="900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law and ethics are different, and why a good reputation can be more important than legal compliance.</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 </w:t>
      </w:r>
      <w:r>
        <w:rPr>
          <w:rFonts w:ascii="Georgia" w:eastAsia="Times New Roman" w:hAnsi="Georgia" w:cs="Times New Roman"/>
          <w:i/>
          <w:iCs/>
          <w:color w:val="333333"/>
          <w:sz w:val="20"/>
          <w:szCs w:val="20"/>
        </w:rPr>
        <w:t>ethics</w:t>
      </w:r>
      <w:r>
        <w:rPr>
          <w:rFonts w:ascii="Georgia" w:eastAsia="Times New Roman" w:hAnsi="Georgia" w:cs="Times New Roman"/>
          <w:color w:val="333333"/>
          <w:sz w:val="21"/>
          <w:szCs w:val="21"/>
        </w:rPr>
        <w:t>, but for our purposes</w:t>
      </w:r>
      <w:r>
        <w:rPr>
          <w:rFonts w:ascii="Georgia" w:eastAsia="Times New Roman" w:hAnsi="Georgia" w:cs="Times New Roman"/>
          <w:i/>
          <w:iCs/>
          <w:color w:val="333333"/>
          <w:sz w:val="20"/>
          <w:szCs w:val="20"/>
        </w:rPr>
        <w:t>, ethics</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morality</w:t>
      </w:r>
      <w:r>
        <w:rPr>
          <w:rFonts w:ascii="Georgia" w:eastAsia="Times New Roman" w:hAnsi="Georgia" w:cs="Times New Roman"/>
          <w:color w:val="333333"/>
          <w:sz w:val="21"/>
          <w:szCs w:val="21"/>
        </w:rPr>
        <w:t> will be used as equivalent terms.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talking about morality, we often use the word </w:t>
      </w:r>
      <w:r>
        <w:rPr>
          <w:rFonts w:ascii="Georgia" w:eastAsia="Times New Roman" w:hAnsi="Georgia" w:cs="Times New Roman"/>
          <w:i/>
          <w:iCs/>
          <w:color w:val="333333"/>
          <w:sz w:val="20"/>
          <w:szCs w:val="20"/>
        </w:rPr>
        <w:t>good</w:t>
      </w:r>
      <w:r>
        <w:rPr>
          <w:rFonts w:ascii="Georgia" w:eastAsia="Times New Roman" w:hAnsi="Georgia" w:cs="Times New Roman"/>
          <w:color w:val="333333"/>
          <w:sz w:val="21"/>
          <w:szCs w:val="21"/>
        </w:rPr>
        <w:t xml:space="preserve">;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w:t>
      </w:r>
      <w:r>
        <w:rPr>
          <w:rFonts w:ascii="Georgia" w:eastAsia="Times New Roman" w:hAnsi="Georgia" w:cs="Times New Roman"/>
          <w:color w:val="333333"/>
          <w:sz w:val="21"/>
          <w:szCs w:val="21"/>
        </w:rPr>
        <w:lastRenderedPageBreak/>
        <w:t>the civic virtue and corporate social responsibility of Microsoft. In the first set of judgments, we use the word </w:t>
      </w:r>
      <w:r>
        <w:rPr>
          <w:rFonts w:ascii="Georgia" w:eastAsia="Times New Roman" w:hAnsi="Georgia" w:cs="Times New Roman"/>
          <w:i/>
          <w:iCs/>
          <w:color w:val="333333"/>
          <w:sz w:val="20"/>
          <w:szCs w:val="20"/>
        </w:rPr>
        <w:t>good</w:t>
      </w:r>
      <w:r>
        <w:rPr>
          <w:rFonts w:ascii="Georgia" w:eastAsia="Times New Roman" w:hAnsi="Georgia" w:cs="Times New Roman"/>
          <w:color w:val="333333"/>
          <w:sz w:val="21"/>
          <w:szCs w:val="21"/>
        </w:rPr>
        <w:t> but mean something other than ethical or moral; only in the second instance are we using the word </w:t>
      </w:r>
      <w:r>
        <w:rPr>
          <w:rFonts w:ascii="Georgia" w:eastAsia="Times New Roman" w:hAnsi="Georgia" w:cs="Times New Roman"/>
          <w:i/>
          <w:iCs/>
          <w:color w:val="333333"/>
          <w:sz w:val="20"/>
          <w:szCs w:val="20"/>
        </w:rPr>
        <w:t>good</w:t>
      </w:r>
      <w:r>
        <w:rPr>
          <w:rFonts w:ascii="Georgia" w:eastAsia="Times New Roman" w:hAnsi="Georgia" w:cs="Times New Roman"/>
          <w:color w:val="333333"/>
          <w:sz w:val="21"/>
          <w:szCs w:val="21"/>
        </w:rPr>
        <w:t> in its ethical or moral sense.</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word such as </w:t>
      </w:r>
      <w:r>
        <w:rPr>
          <w:rFonts w:ascii="Georgia" w:eastAsia="Times New Roman" w:hAnsi="Georgia" w:cs="Times New Roman"/>
          <w:i/>
          <w:iCs/>
          <w:color w:val="333333"/>
          <w:sz w:val="20"/>
          <w:szCs w:val="20"/>
        </w:rPr>
        <w:t>good</w:t>
      </w:r>
      <w:r>
        <w:rPr>
          <w:rFonts w:ascii="Georgia" w:eastAsia="Times New Roman" w:hAnsi="Georgia" w:cs="Times New Roman"/>
          <w:color w:val="333333"/>
          <w:sz w:val="21"/>
          <w:szCs w:val="21"/>
        </w:rPr>
        <w:t> 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are three key points here:</w:t>
      </w:r>
    </w:p>
    <w:p w:rsidR="00A86150" w:rsidRDefault="00F714D4">
      <w:pPr>
        <w:pStyle w:val="ListParagraph"/>
        <w:numPr>
          <w:ilvl w:val="0"/>
          <w:numId w:val="32"/>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Although morals and ethics are not precisely measurable, people generally have similar reactions about what actions or conduct can rightly be called ethical or moral.</w:t>
      </w:r>
    </w:p>
    <w:p w:rsidR="00A86150" w:rsidRDefault="00F714D4">
      <w:pPr>
        <w:pStyle w:val="ListParagraph"/>
        <w:numPr>
          <w:ilvl w:val="0"/>
          <w:numId w:val="32"/>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humans, we need and value ethical people and want to be around them.</w:t>
      </w:r>
    </w:p>
    <w:p w:rsidR="00A86150" w:rsidRDefault="00F714D4">
      <w:pPr>
        <w:pStyle w:val="ListParagraph"/>
        <w:numPr>
          <w:ilvl w:val="0"/>
          <w:numId w:val="32"/>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Saying that someone or some organization is law-abiding does not mean the same as saying a person or company is ethical.</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Before talking about how ethics relates to law, we can conclude that ethics is the study of morality—“right” and “wrong”—in the context of everyday life, organizational behaviors, and even how society operates and is governed.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Do Law and Ethics Differ?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two propositions about business and ethics. Consider whether they strike you as true or whether you would need to know more in order to make a judgment.</w:t>
      </w:r>
    </w:p>
    <w:p w:rsidR="00A86150" w:rsidRDefault="00F714D4">
      <w:pPr>
        <w:pStyle w:val="ListParagraph"/>
        <w:numPr>
          <w:ilvl w:val="0"/>
          <w:numId w:val="33"/>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A86150" w:rsidRDefault="00F714D4">
      <w:pPr>
        <w:pStyle w:val="ListParagraph"/>
        <w:numPr>
          <w:ilvl w:val="0"/>
          <w:numId w:val="33"/>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w:t>
      </w:r>
      <w:r>
        <w:rPr>
          <w:rFonts w:ascii="Georgia" w:eastAsia="Times New Roman" w:hAnsi="Georgia" w:cs="Calibri"/>
          <w:color w:val="333333"/>
          <w:sz w:val="20"/>
          <w:szCs w:val="20"/>
        </w:rPr>
        <w:lastRenderedPageBreak/>
        <w:t>for a business and will even lessen the value of the company’s stock as bad legal news comes to the public’s attention.)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group decision that doing so is immoral. Thus the law provides some important cues as to what society regards as right or wrong.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Should an Individual or a Business Entity Be Ethical?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market does respond to unethical behavior. In </w:t>
      </w:r>
      <w:r>
        <w:rPr>
          <w:rFonts w:ascii="Georgia" w:eastAsia="Times New Roman" w:hAnsi="Georgia" w:cs="Calibri"/>
          <w:color w:val="2689C6"/>
          <w:sz w:val="20"/>
          <w:szCs w:val="20"/>
        </w:rPr>
        <w:t>Section 2.4 "Corporations and Corporate Governance"</w:t>
      </w:r>
      <w:r>
        <w:rPr>
          <w:rFonts w:ascii="Georgia" w:eastAsia="Times New Roman" w:hAnsi="Georgia" w:cs="Calibri"/>
          <w:color w:val="333333"/>
          <w:sz w:val="20"/>
          <w:szCs w:val="20"/>
        </w:rPr>
        <w:t>, you will read about the Sears Auto Centers case. The loss of goodwill toward Sears Auto Centers was real, 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w:t>
      </w:r>
      <w:r>
        <w:rPr>
          <w:rFonts w:ascii="Georgia" w:eastAsia="Times New Roman" w:hAnsi="Georgia" w:cs="Calibri"/>
          <w:color w:val="333333"/>
          <w:sz w:val="20"/>
          <w:szCs w:val="20"/>
        </w:rPr>
        <w:lastRenderedPageBreak/>
        <w:t>often learned that in the long term they are not actually satisfying the market, the shareholders, the suppliers, or the community generally.</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Legal compliance is not the same as acting ethically. Your reputation, individually or corporately, depends on how others regard your actions. Goodwill is hard to measure or quantify, but it is real nonetheless and can best be protected by acting ethically.</w:t>
      </w:r>
    </w:p>
    <w:p w:rsidR="00A86150" w:rsidRDefault="00A86150">
      <w:pPr>
        <w:spacing w:after="0" w:line="439" w:lineRule="atLeast"/>
        <w:ind w:right="360"/>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34"/>
        </w:numPr>
        <w:shd w:val="clear" w:color="auto" w:fill="E3EFF7"/>
        <w:spacing w:after="0" w:line="439" w:lineRule="atLeast"/>
        <w:ind w:left="3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A86150" w:rsidRDefault="00F714D4">
      <w:pPr>
        <w:numPr>
          <w:ilvl w:val="0"/>
          <w:numId w:val="34"/>
        </w:numPr>
        <w:shd w:val="clear" w:color="auto" w:fill="E3EFF7"/>
        <w:spacing w:after="0" w:line="439" w:lineRule="atLeast"/>
        <w:ind w:left="3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A86150" w:rsidRDefault="00F714D4">
      <w:pPr>
        <w:numPr>
          <w:ilvl w:val="0"/>
          <w:numId w:val="34"/>
        </w:numPr>
        <w:shd w:val="clear" w:color="auto" w:fill="E3EFF7"/>
        <w:spacing w:after="0" w:line="439" w:lineRule="atLeast"/>
        <w:ind w:left="3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an action by a business organization (sole proprietor, partnership, or corporation) that was legal but still strikes you as wrong. What was it? Why do you think it was wrong?</w:t>
      </w:r>
    </w:p>
    <w:p w:rsidR="00A86150" w:rsidRDefault="00F714D4">
      <w:pPr>
        <w:numPr>
          <w:ilvl w:val="0"/>
          <w:numId w:val="34"/>
        </w:numPr>
        <w:shd w:val="clear" w:color="auto" w:fill="E3EFF7"/>
        <w:spacing w:line="439" w:lineRule="atLeast"/>
        <w:ind w:left="3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an act by an individual or a corporation that is ethical but not legal. Compare your answer with those of your classmates: were you more likely to find an example from individual action or corporate action? Do you have any thoughts as to why?</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2.2 Major Ethical Perspectives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5"/>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various major theories about ethics in human decision making.</w:t>
      </w:r>
    </w:p>
    <w:p w:rsidR="00A86150" w:rsidRDefault="00F714D4">
      <w:pPr>
        <w:numPr>
          <w:ilvl w:val="0"/>
          <w:numId w:val="35"/>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Begin considering how the major theories about ethics apply to difficult choices in life and business.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Utilitarianism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Utilitarianism</w:t>
      </w:r>
      <w:r>
        <w:rPr>
          <w:rFonts w:ascii="Georgia" w:eastAsia="Times New Roman" w:hAnsi="Georgia" w:cs="Calibri"/>
          <w:color w:val="333333"/>
          <w:sz w:val="20"/>
          <w:szCs w:val="20"/>
          <w:lang w:val="en"/>
        </w:rPr>
        <w:t> 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 </w:t>
      </w:r>
      <w:r>
        <w:rPr>
          <w:rFonts w:ascii="Georgia" w:eastAsia="Times New Roman" w:hAnsi="Georgia" w:cs="Calibri"/>
          <w:i/>
          <w:iCs/>
          <w:color w:val="333333"/>
          <w:sz w:val="20"/>
          <w:szCs w:val="20"/>
          <w:lang w:val="en"/>
        </w:rPr>
        <w:t>On Liberty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Utilitarianism</w:t>
      </w:r>
      <w:r>
        <w:rPr>
          <w:rFonts w:ascii="Georgia" w:eastAsia="Times New Roman" w:hAnsi="Georgia" w:cs="Calibri"/>
          <w:color w:val="333333"/>
          <w:sz w:val="20"/>
          <w:szCs w:val="20"/>
          <w:lang w:val="en"/>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This statement describes “act utilitarianism”—which action among various options will deliver the greatest good to society? “Rule utilitarianism” is a slightly different version; it asks, what rule or principle, if followed regularly, will create the greatest good?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that the greatest good for you or your company is in fact the greatest good for all—that is, looking at situations subjectively or with your own interests primarily in mind.</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Underestimating the cost or harm of a certain decision to someone else or some other group of people.</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Favoring short-term benefits, even though the long-term costs are greater.</w:t>
      </w:r>
    </w:p>
    <w:p w:rsidR="00A86150" w:rsidRDefault="00F714D4">
      <w:pPr>
        <w:pStyle w:val="ListParagraph"/>
        <w:numPr>
          <w:ilvl w:val="0"/>
          <w:numId w:val="3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Rules and Duty: Deontology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w:t>
      </w:r>
      <w:r>
        <w:rPr>
          <w:rFonts w:ascii="Georgia" w:eastAsia="Times New Roman" w:hAnsi="Georgia" w:cs="Calibri"/>
          <w:color w:val="333333"/>
          <w:sz w:val="20"/>
          <w:szCs w:val="20"/>
          <w:lang w:val="en"/>
        </w:rPr>
        <w:lastRenderedPageBreak/>
        <w:t>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 </w:t>
      </w:r>
      <w:r>
        <w:rPr>
          <w:rFonts w:ascii="Georgia" w:eastAsia="Times New Roman" w:hAnsi="Georgia" w:cs="Calibri"/>
          <w:b/>
          <w:color w:val="333333"/>
          <w:sz w:val="20"/>
          <w:szCs w:val="20"/>
          <w:u w:val="single"/>
          <w:lang w:val="en"/>
        </w:rPr>
        <w:t>deontology</w:t>
      </w:r>
      <w:r>
        <w:rPr>
          <w:rFonts w:ascii="Georgia" w:eastAsia="Times New Roman" w:hAnsi="Georgia" w:cs="Calibri"/>
          <w:color w:val="333333"/>
          <w:sz w:val="20"/>
          <w:szCs w:val="20"/>
          <w:lang w:val="en"/>
        </w:rPr>
        <w:t> requires that we put duty first, act rationally, and give moral weight to the inherent equality of all human beings.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Social Justice Theory and Social Contract Theory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 </w:t>
      </w:r>
      <w:r>
        <w:rPr>
          <w:rFonts w:ascii="Georgia" w:eastAsia="Times New Roman" w:hAnsi="Georgia" w:cs="Calibri"/>
          <w:color w:val="2689C6"/>
          <w:sz w:val="20"/>
          <w:szCs w:val="20"/>
          <w:lang w:val="en"/>
        </w:rPr>
        <w:t>Section 2.4 "Corporations and Corporate Governance"</w:t>
      </w:r>
      <w:r>
        <w:rPr>
          <w:rFonts w:ascii="Georgia" w:eastAsia="Times New Roman" w:hAnsi="Georgia" w:cs="Calibri"/>
          <w:color w:val="333333"/>
          <w:sz w:val="20"/>
          <w:szCs w:val="20"/>
          <w:lang w:val="en"/>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who do not see the need for </w:t>
      </w:r>
      <w:r>
        <w:rPr>
          <w:rFonts w:ascii="Georgia" w:eastAsia="Times New Roman" w:hAnsi="Georgia" w:cs="Calibri"/>
          <w:b/>
          <w:color w:val="333333"/>
          <w:sz w:val="20"/>
          <w:szCs w:val="20"/>
          <w:u w:val="single"/>
          <w:lang w:val="en"/>
        </w:rPr>
        <w:t>public goods</w:t>
      </w:r>
      <w:r>
        <w:rPr>
          <w:rFonts w:ascii="Georgia" w:eastAsia="Times New Roman" w:hAnsi="Georgia" w:cs="Calibri"/>
          <w:color w:val="333333"/>
          <w:sz w:val="20"/>
          <w:szCs w:val="20"/>
          <w:lang w:val="en"/>
        </w:rPr>
        <w:t> (including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 </w:t>
      </w:r>
      <w:r>
        <w:rPr>
          <w:rFonts w:ascii="Georgia" w:eastAsia="Times New Roman" w:hAnsi="Georgia" w:cs="Calibri"/>
          <w:b/>
          <w:color w:val="333333"/>
          <w:sz w:val="20"/>
          <w:szCs w:val="20"/>
          <w:u w:val="single"/>
          <w:lang w:val="en"/>
        </w:rPr>
        <w:t>social contract</w:t>
      </w:r>
      <w:r>
        <w:rPr>
          <w:rFonts w:ascii="Georgia" w:eastAsia="Times New Roman" w:hAnsi="Georgia" w:cs="Calibri"/>
          <w:color w:val="333333"/>
          <w:sz w:val="20"/>
          <w:szCs w:val="20"/>
          <w:lang w:val="en"/>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Modern social contract theorists, such as Thomas Donaldson and Thomas Dunfee (</w:t>
      </w:r>
      <w:r>
        <w:rPr>
          <w:rFonts w:ascii="Georgia" w:eastAsia="Times New Roman" w:hAnsi="Georgia" w:cs="Calibri"/>
          <w:i/>
          <w:iCs/>
          <w:color w:val="333333"/>
          <w:sz w:val="20"/>
          <w:szCs w:val="20"/>
          <w:lang w:val="en"/>
        </w:rPr>
        <w:t>Ties that Bind</w:t>
      </w:r>
      <w:r>
        <w:rPr>
          <w:rFonts w:ascii="Georgia" w:eastAsia="Times New Roman" w:hAnsi="Georgia" w:cs="Calibri"/>
          <w:color w:val="333333"/>
          <w:sz w:val="20"/>
          <w:szCs w:val="20"/>
          <w:lang w:val="en"/>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relationship between rights and duties—in both law and ethics—calls for some explanations:</w:t>
      </w:r>
    </w:p>
    <w:p w:rsidR="00A86150" w:rsidRDefault="00F714D4">
      <w:pPr>
        <w:pStyle w:val="ListParagraph"/>
        <w:numPr>
          <w:ilvl w:val="0"/>
          <w:numId w:val="3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w:t>
      </w:r>
      <w:r>
        <w:rPr>
          <w:rFonts w:ascii="Georgia" w:eastAsia="Times New Roman" w:hAnsi="Georgia" w:cs="Calibri"/>
          <w:color w:val="333333"/>
          <w:sz w:val="20"/>
          <w:szCs w:val="20"/>
          <w:lang w:val="en"/>
        </w:rPr>
        <w:lastRenderedPageBreak/>
        <w:t>speak freely. In Singapore during the 1990s, even indirect criticisms—mere hints—of the political leadership were enough to land you in jail or at least silence you with a libel suit.</w:t>
      </w:r>
    </w:p>
    <w:p w:rsidR="00A86150" w:rsidRDefault="00F714D4">
      <w:pPr>
        <w:pStyle w:val="ListParagraph"/>
        <w:numPr>
          <w:ilvl w:val="0"/>
          <w:numId w:val="3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A86150" w:rsidRDefault="00F714D4">
      <w:pPr>
        <w:pStyle w:val="ListParagraph"/>
        <w:numPr>
          <w:ilvl w:val="0"/>
          <w:numId w:val="3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Your right in legal terms is only as good as your society’s willingness to provide legal remedies through the courts and political institutions of society.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Aristotle and Virtue Theory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Virtue theory</w:t>
      </w:r>
      <w:r>
        <w:rPr>
          <w:rFonts w:ascii="Georgia" w:eastAsia="Times New Roman" w:hAnsi="Georgia" w:cs="Calibri"/>
          <w:color w:val="333333"/>
          <w:sz w:val="20"/>
          <w:szCs w:val="20"/>
          <w:lang w:val="en"/>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w:t>
      </w:r>
      <w:r>
        <w:rPr>
          <w:rFonts w:ascii="Georgia" w:eastAsia="Times New Roman" w:hAnsi="Georgia" w:cs="Calibri"/>
          <w:color w:val="333333"/>
          <w:sz w:val="20"/>
          <w:szCs w:val="20"/>
          <w:lang w:val="en"/>
        </w:rPr>
        <w:lastRenderedPageBreak/>
        <w:t>be associated with reason. Thus happiness is living according to the active (rather than passive) use of reason. The use of reason leads to excellence, and so happiness can be defined as the active, rational pursuit of personal excellence, or virtue.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the first two questions regarding virtues, a look at Michael Josephson’s core values may prove helpful.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Josephson’s Core Values Analysis and Decision Process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Michael Josephson, a noted American ethicist, believes that a current set of </w:t>
      </w:r>
      <w:r>
        <w:rPr>
          <w:rFonts w:ascii="Georgia" w:eastAsia="Times New Roman" w:hAnsi="Georgia" w:cs="Calibri"/>
          <w:i/>
          <w:iCs/>
          <w:color w:val="333333"/>
          <w:sz w:val="20"/>
          <w:szCs w:val="20"/>
          <w:lang w:val="en"/>
        </w:rPr>
        <w:t>core values</w:t>
      </w:r>
      <w:r>
        <w:rPr>
          <w:rFonts w:ascii="Georgia" w:eastAsia="Times New Roman" w:hAnsi="Georgia" w:cs="Calibri"/>
          <w:color w:val="333333"/>
          <w:sz w:val="20"/>
          <w:szCs w:val="20"/>
          <w:lang w:val="en"/>
        </w:rPr>
        <w:t> has been identified and that the values can be meaningfully applied to a variety of personal and corporate decisions.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virtues, are any especially important? Studies from the Josephson Institute of Ethics in Marina del Rey, California, have identified six core values 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w:t>
      </w:r>
      <w:r>
        <w:rPr>
          <w:rFonts w:ascii="Georgia" w:eastAsia="Times New Roman" w:hAnsi="Georgia" w:cs="Calibri"/>
          <w:color w:val="333333"/>
          <w:sz w:val="20"/>
          <w:szCs w:val="20"/>
          <w:lang w:val="en"/>
        </w:rPr>
        <w:lastRenderedPageBreak/>
        <w:t>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Throughout history, people have pondered what it means “to do what is right.” Some of the main answers have come from the differing perspectives of utilitarian thought; duty-based, or deontological, thought; social contract theory; and virtue ethics.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A86150" w:rsidRDefault="00F714D4">
      <w:pPr>
        <w:shd w:val="clear" w:color="auto" w:fill="E3EFF7"/>
        <w:spacing w:before="15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A86150" w:rsidRDefault="00F714D4">
      <w:pPr>
        <w:shd w:val="clear" w:color="auto" w:fill="E3EFF7"/>
        <w:spacing w:before="15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A86150" w:rsidRDefault="00F714D4">
      <w:pPr>
        <w:shd w:val="clear" w:color="auto" w:fill="E3EFF7"/>
        <w:spacing w:before="15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A86150" w:rsidRDefault="00F714D4">
      <w:pPr>
        <w:numPr>
          <w:ilvl w:val="0"/>
          <w:numId w:val="3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XYZ’s approach to this problem be justified under utilitarian theory? If so, how? If not, why not?</w:t>
      </w:r>
    </w:p>
    <w:p w:rsidR="00A86150" w:rsidRDefault="00F714D4">
      <w:pPr>
        <w:numPr>
          <w:ilvl w:val="0"/>
          <w:numId w:val="3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Kant advise XYZ to do? Explain.</w:t>
      </w:r>
    </w:p>
    <w:p w:rsidR="00A86150" w:rsidRDefault="00F714D4">
      <w:pPr>
        <w:numPr>
          <w:ilvl w:val="0"/>
          <w:numId w:val="38"/>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the “virtuous” approach be for XYZ in this situation?</w:t>
      </w:r>
    </w:p>
    <w:p w:rsidR="00A86150" w:rsidRDefault="0081777E">
      <w:pPr>
        <w:spacing w:after="0" w:line="240" w:lineRule="auto"/>
        <w:jc w:val="cente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0" style="width:414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LaRue Tone Hosmer,</w:t>
      </w:r>
      <w:r>
        <w:rPr>
          <w:rStyle w:val="apple-converted-space"/>
          <w:rFonts w:ascii="Calibri" w:hAnsi="Calibri" w:cs="Calibri"/>
          <w:color w:val="333333"/>
          <w:sz w:val="20"/>
          <w:szCs w:val="20"/>
        </w:rPr>
        <w:t> </w:t>
      </w:r>
      <w:r>
        <w:rPr>
          <w:rStyle w:val="Emphasis"/>
          <w:rFonts w:ascii="Calibri" w:hAnsi="Calibri" w:cs="Calibri"/>
          <w:color w:val="333333"/>
          <w:sz w:val="20"/>
          <w:szCs w:val="20"/>
        </w:rPr>
        <w:t>Moral Leadership in Business</w:t>
      </w:r>
      <w:r>
        <w:rPr>
          <w:rStyle w:val="apple-converted-space"/>
          <w:rFonts w:ascii="Calibri" w:hAnsi="Calibri" w:cs="Calibri"/>
          <w:color w:val="333333"/>
          <w:sz w:val="20"/>
          <w:szCs w:val="20"/>
        </w:rPr>
        <w:t> </w:t>
      </w:r>
      <w:r>
        <w:rPr>
          <w:rFonts w:ascii="Calibri" w:hAnsi="Calibri" w:cs="Calibri"/>
          <w:color w:val="333333"/>
          <w:sz w:val="20"/>
          <w:szCs w:val="20"/>
        </w:rPr>
        <w:t>(Chicago: Irwin Professional Publishing, 1994), 72.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James O’Toole and Don Mayer, eds.,</w:t>
      </w:r>
      <w:r>
        <w:rPr>
          <w:rStyle w:val="apple-converted-space"/>
          <w:rFonts w:ascii="Calibri" w:hAnsi="Calibri" w:cs="Calibri"/>
          <w:color w:val="333333"/>
          <w:sz w:val="20"/>
          <w:szCs w:val="20"/>
        </w:rPr>
        <w:t> </w:t>
      </w:r>
      <w:r>
        <w:rPr>
          <w:rStyle w:val="Emphasis"/>
          <w:rFonts w:ascii="Calibri" w:hAnsi="Calibri" w:cs="Calibri"/>
          <w:color w:val="333333"/>
          <w:sz w:val="20"/>
          <w:szCs w:val="20"/>
        </w:rPr>
        <w:t>Good Business: Exercising Effective and Ethical Leadership</w:t>
      </w:r>
      <w:r>
        <w:rPr>
          <w:rStyle w:val="apple-converted-space"/>
          <w:rFonts w:ascii="Calibri" w:hAnsi="Calibri" w:cs="Calibri"/>
          <w:color w:val="333333"/>
          <w:sz w:val="20"/>
          <w:szCs w:val="20"/>
        </w:rPr>
        <w:t> </w:t>
      </w:r>
      <w:r>
        <w:rPr>
          <w:rFonts w:ascii="Calibri" w:hAnsi="Calibri" w:cs="Calibri"/>
          <w:color w:val="333333"/>
          <w:sz w:val="20"/>
          <w:szCs w:val="20"/>
        </w:rPr>
        <w:t>(London: Routledge, 2010).</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2.3</w:t>
      </w:r>
      <w:r>
        <w:rPr>
          <w:rFonts w:ascii="Calibri" w:eastAsia="Times New Roman" w:hAnsi="Calibri" w:cs="Calibri"/>
          <w:b/>
          <w:bCs/>
          <w:color w:val="333333"/>
          <w:sz w:val="36"/>
          <w:szCs w:val="36"/>
        </w:rPr>
        <w:t> An Ethical Decision Model</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A86150" w:rsidRDefault="00F714D4">
      <w:pPr>
        <w:numPr>
          <w:ilvl w:val="0"/>
          <w:numId w:val="39"/>
        </w:numPr>
        <w:shd w:val="clear" w:color="auto" w:fill="EAE9DC"/>
        <w:tabs>
          <w:tab w:val="clear" w:pos="720"/>
          <w:tab w:val="num" w:pos="108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one model for ethical decision making: a process to arrive at the most ethical option for an individual or a business organization, using a virtue ethics approach combined with some elements of stakeholder analysis and utilitarianism.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Josephson’s Core Values Model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A86150" w:rsidRDefault="00F714D4">
      <w:pPr>
        <w:pStyle w:val="ListParagraph"/>
        <w:numPr>
          <w:ilvl w:val="0"/>
          <w:numId w:val="40"/>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the stakeholders. That is, who are the potential gainers and losers in the various decisions that might be made here?</w:t>
      </w:r>
    </w:p>
    <w:p w:rsidR="00A86150" w:rsidRDefault="00F714D4">
      <w:pPr>
        <w:pStyle w:val="ListParagraph"/>
        <w:numPr>
          <w:ilvl w:val="0"/>
          <w:numId w:val="40"/>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several likely or reasonable decisions that could be made.</w:t>
      </w:r>
    </w:p>
    <w:p w:rsidR="00A86150" w:rsidRDefault="00F714D4">
      <w:pPr>
        <w:pStyle w:val="ListParagraph"/>
        <w:numPr>
          <w:ilvl w:val="0"/>
          <w:numId w:val="40"/>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 which stakeholders gain or lose with each decision.</w:t>
      </w:r>
    </w:p>
    <w:p w:rsidR="00A86150" w:rsidRDefault="00F714D4">
      <w:pPr>
        <w:pStyle w:val="ListParagraph"/>
        <w:numPr>
          <w:ilvl w:val="0"/>
          <w:numId w:val="40"/>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Determine which decision satisfies the greatest number of core values.</w:t>
      </w:r>
    </w:p>
    <w:p w:rsidR="00A86150" w:rsidRDefault="00F714D4">
      <w:pPr>
        <w:pStyle w:val="ListParagraph"/>
        <w:numPr>
          <w:ilvl w:val="0"/>
          <w:numId w:val="40"/>
        </w:num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there is no decision that satisfies the greatest number of core values, try to determine which decision delivers the greatest good to the various stakeholders.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 </w:t>
      </w:r>
      <w:r>
        <w:rPr>
          <w:rFonts w:ascii="Georgia" w:eastAsia="Times New Roman" w:hAnsi="Georgia" w:cs="Calibri"/>
          <w:color w:val="2689C6"/>
          <w:sz w:val="20"/>
          <w:szCs w:val="20"/>
        </w:rPr>
        <w:t>Section 2.4 "Corporations and Corporate Governance"</w:t>
      </w:r>
      <w:r>
        <w:rPr>
          <w:rFonts w:ascii="Georgia" w:eastAsia="Times New Roman" w:hAnsi="Georgia" w:cs="Calibri"/>
          <w:color w:val="333333"/>
          <w:sz w:val="20"/>
          <w:szCs w:val="20"/>
        </w:rPr>
        <w: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Core Values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the core values and their subcomponents as developed by the Josephson Institute of Ethics.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lastRenderedPageBreak/>
        <w:t>Trustworthiness: </w:t>
      </w:r>
      <w:r>
        <w:rPr>
          <w:rFonts w:ascii="Georgia" w:eastAsia="Times New Roman" w:hAnsi="Georgia" w:cs="Calibri"/>
          <w:i/>
          <w:iCs/>
          <w:color w:val="333333"/>
          <w:sz w:val="20"/>
          <w:szCs w:val="20"/>
        </w:rPr>
        <w:t>Be honest</w:t>
      </w:r>
      <w:r>
        <w:rPr>
          <w:rFonts w:ascii="Georgia" w:eastAsia="Times New Roman" w:hAnsi="Georgia" w:cs="Calibri"/>
          <w:color w:val="333333"/>
          <w:sz w:val="20"/>
          <w:szCs w:val="20"/>
        </w:rPr>
        <w:t>—tell the truth, the whole truth, and nothing but the truth; be sincere, forthright; don’t deceive, mislead, or be tricky with the truth; don’t cheat or steal, and don’t betray a trust. </w:t>
      </w:r>
      <w:r>
        <w:rPr>
          <w:rFonts w:ascii="Georgia" w:eastAsia="Times New Roman" w:hAnsi="Georgia" w:cs="Calibri"/>
          <w:i/>
          <w:iCs/>
          <w:color w:val="333333"/>
          <w:sz w:val="20"/>
          <w:szCs w:val="20"/>
        </w:rPr>
        <w:t>Demonstrate integrity</w:t>
      </w:r>
      <w:r>
        <w:rPr>
          <w:rFonts w:ascii="Georgia" w:eastAsia="Times New Roman" w:hAnsi="Georgia" w:cs="Calibri"/>
          <w:color w:val="333333"/>
          <w:sz w:val="20"/>
          <w:szCs w:val="20"/>
        </w:rPr>
        <w:t>—stand up for what you believe, walk the walk as well as talking the talk; be what you seem to be; show commitment and courage. </w:t>
      </w:r>
      <w:r>
        <w:rPr>
          <w:rFonts w:ascii="Georgia" w:eastAsia="Times New Roman" w:hAnsi="Georgia" w:cs="Calibri"/>
          <w:i/>
          <w:iCs/>
          <w:color w:val="333333"/>
          <w:sz w:val="20"/>
          <w:szCs w:val="20"/>
        </w:rPr>
        <w:t>Be loyal</w:t>
      </w:r>
      <w:r>
        <w:rPr>
          <w:rFonts w:ascii="Georgia" w:eastAsia="Times New Roman" w:hAnsi="Georgia" w:cs="Calibri"/>
          <w:color w:val="333333"/>
          <w:sz w:val="20"/>
          <w:szCs w:val="20"/>
        </w:rPr>
        <w:t xml:space="preserve">—stand by your family, friends, co-workers, community, and nation; be discreet with information that comes into your hands; don’t spread rumors or engage in harmful gossip; don’t violate your principles just to win friendship or approval; don’t ask a friend to do something that is wrong. </w:t>
      </w:r>
      <w:r>
        <w:rPr>
          <w:rFonts w:ascii="Georgia" w:eastAsia="Times New Roman" w:hAnsi="Georgia" w:cs="Calibri"/>
          <w:i/>
          <w:iCs/>
          <w:color w:val="333333"/>
          <w:sz w:val="20"/>
          <w:szCs w:val="20"/>
        </w:rPr>
        <w:t>Keep promises</w:t>
      </w:r>
      <w:r>
        <w:rPr>
          <w:rFonts w:ascii="Georgia" w:eastAsia="Times New Roman" w:hAnsi="Georgia" w:cs="Calibri"/>
          <w:color w:val="333333"/>
          <w:sz w:val="20"/>
          <w:szCs w:val="20"/>
        </w:rPr>
        <w:t>—keep your word, honor your commitments, and pay your debts; return what you borrow.</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Respect:</w:t>
      </w:r>
      <w:r>
        <w:rPr>
          <w:rFonts w:ascii="Georgia" w:eastAsia="Times New Roman" w:hAnsi="Georgia" w:cs="Calibri"/>
          <w:color w:val="333333"/>
          <w:sz w:val="20"/>
          <w:szCs w:val="20"/>
        </w:rPr>
        <w:t> 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Responsibility:</w:t>
      </w:r>
      <w:r>
        <w:rPr>
          <w:rFonts w:ascii="Georgia" w:eastAsia="Times New Roman" w:hAnsi="Georgia" w:cs="Calibri"/>
          <w:color w:val="333333"/>
          <w:sz w:val="20"/>
          <w:szCs w:val="20"/>
        </w:rPr>
        <w:t> 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Fairness:</w:t>
      </w:r>
      <w:r>
        <w:rPr>
          <w:rFonts w:ascii="Georgia" w:eastAsia="Times New Roman" w:hAnsi="Georgia" w:cs="Calibri"/>
          <w:color w:val="333333"/>
          <w:sz w:val="20"/>
          <w:szCs w:val="20"/>
        </w:rPr>
        <w:t> 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Caring:</w:t>
      </w:r>
      <w:r>
        <w:rPr>
          <w:rFonts w:ascii="Georgia" w:eastAsia="Times New Roman" w:hAnsi="Georgia" w:cs="Calibri"/>
          <w:color w:val="333333"/>
          <w:sz w:val="20"/>
          <w:szCs w:val="20"/>
        </w:rPr>
        <w:t> Show you care about others through kindness, caring, sharing, compassion, and empathy; treat others the way you want to be treated; don’t be selfish, mean, cruel, or insensitive to others’ feelings.</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Citizenship:</w:t>
      </w:r>
      <w:r>
        <w:rPr>
          <w:rFonts w:ascii="Georgia" w:eastAsia="Times New Roman" w:hAnsi="Georgia" w:cs="Calibri"/>
          <w:color w:val="333333"/>
          <w:sz w:val="20"/>
          <w:szCs w:val="20"/>
        </w:rPr>
        <w:t> Play by the rules, obey laws; do your share, respect authority, stay informed, vote, protect your neighbors, pay your taxes; be charitable, help your community; protect the environment, conserve resources.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Having a step-by-step process to analyze difficult moral dilemmas is useful. One such process is offered here, based on the core values of trustworthiness, caring, respect, fairness, responsibility, and citizenship.</w:t>
      </w:r>
    </w:p>
    <w:p w:rsidR="00A86150" w:rsidRDefault="00A86150">
      <w:pPr>
        <w:spacing w:after="0" w:line="439" w:lineRule="atLeast"/>
        <w:ind w:right="360"/>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A86150" w:rsidRDefault="00F714D4">
      <w:pPr>
        <w:numPr>
          <w:ilvl w:val="0"/>
          <w:numId w:val="41"/>
        </w:numPr>
        <w:shd w:val="clear" w:color="auto" w:fill="E3EFF7"/>
        <w:spacing w:after="0" w:line="439" w:lineRule="atLeast"/>
        <w:ind w:left="3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XYZ in the exercises for </w:t>
      </w:r>
      <w:r>
        <w:rPr>
          <w:rFonts w:ascii="Calibri" w:eastAsia="Times New Roman" w:hAnsi="Calibri" w:cs="Calibri"/>
          <w:color w:val="2689C6"/>
          <w:sz w:val="20"/>
          <w:szCs w:val="20"/>
        </w:rPr>
        <w:t>Section 2.2.5 "Josephson’s Core Values Analysis and Decision Process"</w:t>
      </w:r>
      <w:r>
        <w:rPr>
          <w:rFonts w:ascii="Calibri" w:eastAsia="Times New Roman" w:hAnsi="Calibri" w:cs="Calibri"/>
          <w:color w:val="333333"/>
          <w:sz w:val="20"/>
          <w:szCs w:val="20"/>
        </w:rPr>
        <w:t> 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2.4 Corporations and Corporate Governance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basic structure of the typical corporation and how the shareholders own the company and elect directors to run it.</w:t>
      </w:r>
    </w:p>
    <w:p w:rsidR="00A86150" w:rsidRDefault="00F714D4">
      <w:pPr>
        <w:numPr>
          <w:ilvl w:val="0"/>
          <w:numId w:val="4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shareholder profit-maximization model is different from stakeholder theory.</w:t>
      </w:r>
    </w:p>
    <w:p w:rsidR="00A86150" w:rsidRDefault="00F714D4">
      <w:pPr>
        <w:numPr>
          <w:ilvl w:val="0"/>
          <w:numId w:val="4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Discern and describe the ethical challenges for corporate cultures.</w:t>
      </w:r>
    </w:p>
    <w:p w:rsidR="00A86150" w:rsidRDefault="00F714D4">
      <w:pPr>
        <w:numPr>
          <w:ilvl w:val="0"/>
          <w:numId w:val="4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conscious capitalism is and how it differs from stakeholder theory.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Organization of the Corporation</w:t>
      </w:r>
    </w:p>
    <w:p w:rsidR="00A86150" w:rsidRDefault="00F714D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2.1</w:t>
      </w:r>
      <w:r>
        <w:rPr>
          <w:rFonts w:ascii="Georgia" w:eastAsia="Times New Roman" w:hAnsi="Georgia" w:cs="Calibri"/>
          <w:i/>
          <w:iCs/>
          <w:color w:val="BB9966"/>
          <w:sz w:val="21"/>
          <w:szCs w:val="21"/>
          <w:lang w:val="en"/>
        </w:rPr>
        <w:t> Corporate Legal Structure</w:t>
      </w:r>
    </w:p>
    <w:p w:rsidR="00A86150" w:rsidRDefault="00F714D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019425"/>
            <wp:effectExtent l="0" t="0" r="0" b="9525"/>
            <wp:docPr id="7" name="Picture 5" descr="http://images.flatworldknowledge.com/mayerlawentrep/mayerlawentrep-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mayerlawentrep/mayerlawentrep-fig02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19425"/>
                    </a:xfrm>
                    <a:prstGeom prst="rect">
                      <a:avLst/>
                    </a:prstGeom>
                    <a:noFill/>
                    <a:ln>
                      <a:noFill/>
                    </a:ln>
                  </pic:spPr>
                </pic:pic>
              </a:graphicData>
            </a:graphic>
          </wp:inline>
        </w:drawing>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2.1 "Corporate Legal Structure"</w:t>
      </w:r>
      <w:r>
        <w:rPr>
          <w:rFonts w:ascii="Georgia" w:eastAsia="Times New Roman" w:hAnsi="Georgia" w:cs="Calibri"/>
          <w:color w:val="333333"/>
          <w:sz w:val="20"/>
          <w:szCs w:val="20"/>
          <w:lang w:val="en"/>
        </w:rPr>
        <w:t xml:space="preserve">,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w:t>
      </w:r>
      <w:r>
        <w:rPr>
          <w:rFonts w:ascii="Georgia" w:eastAsia="Times New Roman" w:hAnsi="Georgia" w:cs="Calibri"/>
          <w:color w:val="333333"/>
          <w:sz w:val="20"/>
          <w:szCs w:val="20"/>
          <w:lang w:val="en"/>
        </w:rPr>
        <w:lastRenderedPageBreak/>
        <w:t>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interests; for example, board members might resist hostile takeover bids because they would likely lose their perks (short for </w:t>
      </w:r>
      <w:r>
        <w:rPr>
          <w:rFonts w:ascii="Georgia" w:eastAsia="Times New Roman" w:hAnsi="Georgia" w:cs="Calibri"/>
          <w:i/>
          <w:iCs/>
          <w:color w:val="333333"/>
          <w:sz w:val="20"/>
          <w:szCs w:val="20"/>
          <w:lang w:val="en"/>
        </w:rPr>
        <w:t>perquisites</w:t>
      </w:r>
      <w:r>
        <w:rPr>
          <w:rFonts w:ascii="Georgia" w:eastAsia="Times New Roman" w:hAnsi="Georgia" w:cs="Calibri"/>
          <w:color w:val="333333"/>
          <w:sz w:val="20"/>
          <w:szCs w:val="20"/>
          <w:lang w:val="en"/>
        </w:rPr>
        <w:t>)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replace nonperforming or underperforming directors, which usually results in changes at the C-suite level as well.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Shareholders and Stakeholders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Maximizing Profits: Milton Friedman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Economist Milton Friedman is often quoted as having said that the only moral duty a corporation has is to make the most possible money, or to maximize profits, for its stockholders. Friedman’s beliefs are noted at length (see sidebar on Friedman’s article from the </w:t>
      </w:r>
      <w:r>
        <w:rPr>
          <w:rFonts w:ascii="Georgia" w:eastAsia="Times New Roman" w:hAnsi="Georgia" w:cs="Calibri"/>
          <w:i/>
          <w:iCs/>
          <w:color w:val="333333"/>
          <w:sz w:val="20"/>
          <w:szCs w:val="20"/>
          <w:lang w:val="en"/>
        </w:rPr>
        <w:t>New York Times</w:t>
      </w:r>
      <w:r>
        <w:rPr>
          <w:rFonts w:ascii="Georgia" w:eastAsia="Times New Roman" w:hAnsi="Georgia" w:cs="Calibri"/>
          <w:color w:val="333333"/>
          <w:sz w:val="20"/>
          <w:szCs w:val="20"/>
          <w:lang w:val="en"/>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Social Responsibility of Business Is to Increase Its Profits”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Milton Friedman, </w:t>
      </w:r>
      <w:r>
        <w:rPr>
          <w:rFonts w:ascii="Georgia" w:eastAsia="Times New Roman" w:hAnsi="Georgia" w:cs="Calibri"/>
          <w:i/>
          <w:iCs/>
          <w:color w:val="333333"/>
          <w:sz w:val="20"/>
          <w:szCs w:val="20"/>
          <w:lang w:val="en"/>
        </w:rPr>
        <w:t>New York Times Magazine</w:t>
      </w:r>
      <w:r>
        <w:rPr>
          <w:rFonts w:ascii="Georgia" w:eastAsia="Times New Roman" w:hAnsi="Georgia" w:cs="Calibri"/>
          <w:color w:val="333333"/>
          <w:sz w:val="20"/>
          <w:szCs w:val="20"/>
          <w:lang w:val="en"/>
        </w:rPr>
        <w:t>, September 13, 1970</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manager is that agent of the individuals who own the corporation or establish the eleemosynary institution, and his primary responsibility is to them…</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w:t>
      </w:r>
      <w:r>
        <w:rPr>
          <w:rFonts w:ascii="Georgia" w:eastAsia="Times New Roman" w:hAnsi="Georgia" w:cs="Calibri"/>
          <w:color w:val="333333"/>
          <w:sz w:val="20"/>
          <w:szCs w:val="20"/>
          <w:lang w:val="en"/>
        </w:rPr>
        <w:lastRenderedPageBreak/>
        <w:t>or time or energy, not the money of his employers or the time or energy he has contracted to devote to their purposes. If these are “social responsibilities,” they are the social responsibilities of individuals, not of business.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Others have challenged the notion that corporate managers have no real duties except toward the owners (shareholders). By changing two letters in </w:t>
      </w:r>
      <w:r>
        <w:rPr>
          <w:rFonts w:ascii="Georgia" w:eastAsia="Times New Roman" w:hAnsi="Georgia" w:cs="Calibri"/>
          <w:i/>
          <w:iCs/>
          <w:color w:val="333333"/>
          <w:sz w:val="20"/>
          <w:szCs w:val="20"/>
          <w:lang w:val="en"/>
        </w:rPr>
        <w:t>shareholder</w:t>
      </w:r>
      <w:r>
        <w:rPr>
          <w:rFonts w:ascii="Georgia" w:eastAsia="Times New Roman" w:hAnsi="Georgia" w:cs="Calibri"/>
          <w:color w:val="333333"/>
          <w:sz w:val="20"/>
          <w:szCs w:val="20"/>
          <w:lang w:val="en"/>
        </w:rPr>
        <w:t>, stakeholder theorists widened the range of people and institutions that a corporation should pay moral consideration to. Thus they contend that a corporation, through its management, has a set of responsibilities toward nonshareholder interests.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Stakeholder Theory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Stakeholders of a corporation include its employees, suppliers, customers, and the community. Stakeholder is a deliberate play on the word </w:t>
      </w:r>
      <w:r>
        <w:rPr>
          <w:rFonts w:ascii="Georgia" w:eastAsia="Times New Roman" w:hAnsi="Georgia" w:cs="Calibri"/>
          <w:i/>
          <w:iCs/>
          <w:color w:val="333333"/>
          <w:sz w:val="20"/>
          <w:szCs w:val="20"/>
          <w:lang w:val="en"/>
        </w:rPr>
        <w:t>shareholder</w:t>
      </w:r>
      <w:r>
        <w:rPr>
          <w:rFonts w:ascii="Georgia" w:eastAsia="Times New Roman" w:hAnsi="Georgia" w:cs="Calibri"/>
          <w:color w:val="333333"/>
          <w:sz w:val="20"/>
          <w:szCs w:val="20"/>
          <w:lang w:val="en"/>
        </w:rPr>
        <w:t>, to emphasize that corporations have obligations that extend beyond the bottom-line aim of maximizing profits. A stakeholder is anyone who most would agree is significantly affected (positively or negatively) by the decision of another moral agent.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w:t>
      </w:r>
      <w:r>
        <w:rPr>
          <w:rFonts w:ascii="Georgia" w:eastAsia="Times New Roman" w:hAnsi="Georgia" w:cs="Calibri"/>
          <w:b/>
          <w:color w:val="333333"/>
          <w:sz w:val="20"/>
          <w:szCs w:val="20"/>
          <w:u w:val="single"/>
          <w:lang w:val="en"/>
        </w:rPr>
        <w:t>stakeholder theory</w:t>
      </w:r>
      <w:r>
        <w:rPr>
          <w:rFonts w:ascii="Georgia" w:eastAsia="Times New Roman" w:hAnsi="Georgia" w:cs="Calibri"/>
          <w:color w:val="333333"/>
          <w:sz w:val="20"/>
          <w:szCs w:val="20"/>
          <w:lang w:val="en"/>
        </w:rPr>
        <w:t xml:space="preserve">) who would say that a corporation’s social responsibilities go beyond just staying within the law and go beyond the </w:t>
      </w:r>
      <w:r>
        <w:rPr>
          <w:rFonts w:ascii="Georgia" w:eastAsia="Times New Roman" w:hAnsi="Georgia" w:cs="Calibri"/>
          <w:color w:val="333333"/>
          <w:sz w:val="20"/>
          <w:szCs w:val="20"/>
          <w:lang w:val="en"/>
        </w:rPr>
        <w:lastRenderedPageBreak/>
        <w:t>corporation’s shareholders to include a number of other important stakeholders, those whose lives can be affected by corporate decisions.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 </w:t>
      </w:r>
      <w:r>
        <w:rPr>
          <w:rFonts w:ascii="Georgia" w:eastAsia="Times New Roman" w:hAnsi="Georgia" w:cs="Calibri"/>
          <w:color w:val="2689C6"/>
          <w:sz w:val="20"/>
          <w:szCs w:val="20"/>
          <w:lang w:val="en"/>
        </w:rPr>
        <w:t>Table 2.1 "The Stakes of Various Stakeholders"</w:t>
      </w:r>
      <w:r>
        <w:rPr>
          <w:rFonts w:ascii="Georgia" w:eastAsia="Times New Roman" w:hAnsi="Georgia" w:cs="Calibri"/>
          <w:color w:val="333333"/>
          <w:sz w:val="20"/>
          <w:szCs w:val="20"/>
          <w:lang w:val="en"/>
        </w:rPr>
        <w:t> indicates, stakeholders have very different kinds of interests (“stakes”) in the actions of a corporation.</w:t>
      </w:r>
    </w:p>
    <w:p w:rsidR="00A86150" w:rsidRDefault="00F714D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2.1 The Stakes of Various Stakeholders</w:t>
      </w:r>
    </w:p>
    <w:tbl>
      <w:tblPr>
        <w:tblW w:w="0" w:type="auto"/>
        <w:tblCellMar>
          <w:left w:w="0" w:type="dxa"/>
          <w:right w:w="0" w:type="dxa"/>
        </w:tblCellMar>
        <w:tblLook w:val="04A0" w:firstRow="1" w:lastRow="0" w:firstColumn="1" w:lastColumn="0" w:noHBand="0" w:noVBand="1"/>
      </w:tblPr>
      <w:tblGrid>
        <w:gridCol w:w="1544"/>
        <w:gridCol w:w="6294"/>
        <w:gridCol w:w="1672"/>
      </w:tblGrid>
      <w:tr w:rsidR="00A8615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Managers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Directors who own stock</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Shareholders</w:t>
            </w:r>
          </w:p>
        </w:tc>
      </w:tr>
      <w:tr w:rsidR="00A8615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Salaried managers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Creditors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Suppliers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Employees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Local communities</w:t>
            </w:r>
          </w:p>
        </w:tc>
      </w:tr>
      <w:tr w:rsidR="00A8615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Communities</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Government</w:t>
            </w:r>
          </w:p>
        </w:tc>
      </w:tr>
      <w:tr w:rsidR="00A86150">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86150" w:rsidRDefault="00A86150">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Media</w:t>
            </w:r>
          </w:p>
        </w:tc>
      </w:tr>
    </w:tbl>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Corporate Culture and Codes of Ethics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w:t>
      </w:r>
      <w:r>
        <w:rPr>
          <w:rFonts w:ascii="Georgia" w:eastAsia="Times New Roman" w:hAnsi="Georgia" w:cs="Calibri"/>
          <w:color w:val="333333"/>
          <w:sz w:val="20"/>
          <w:szCs w:val="20"/>
          <w:lang w:val="en"/>
        </w:rPr>
        <w:lastRenderedPageBreak/>
        <w:t>culture of a corporation is the best defense against individuals within that firm who may be tempted to break the law or commit serious ethical misdeeds.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follows is a series of observations about corporations, ethics, and corporate culture.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Ethical Leadership Is Top-Down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Accountability Is Often Weak</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Clever managers can learn to shift blame to others, take credit for others’ work, and move on before “funny numbers” or other earnings management tricks come to light.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Again, we see that the manager is often an agent for himself or herself and will often act more in his or her self-interest than for the corporate interest.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Killing the Messenger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When Sherron Watkins sent Ken Lay a letter warning him about Enron’s accounting practices, CFO Andrew Fastow tried to fire 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bookmarkStart w:id="5" w:name="fn-3"/>
      <w:bookmarkEnd w:id="5"/>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Ethics Codes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bookmarkStart w:id="6" w:name="fn-4"/>
      <w:bookmarkEnd w:id="6"/>
      <w:r>
        <w:rPr>
          <w:rFonts w:ascii="Georgia" w:eastAsia="Times New Roman" w:hAnsi="Georgia" w:cs="Calibri"/>
          <w:color w:val="333333"/>
          <w:sz w:val="20"/>
          <w:szCs w:val="20"/>
          <w:lang w:val="en"/>
        </w:rPr>
        <w:t> The corporate response was consistent with that code, which was lived and modeled by the top of the organization.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bookmarkStart w:id="7" w:name="fn-5"/>
      <w:bookmarkEnd w:id="7"/>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Ethics Hotlines and Federal Sentencing Guidelines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Managing by the Numbers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bookmarkStart w:id="8" w:name="fn-6"/>
      <w:bookmarkEnd w:id="8"/>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Managing by Numbers: The Sears Auto Center Story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winning is the most important thing in your life, then you must be prepared to do anything to win.</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—Michael Josephson</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in boosting sales by performing unnecessary services, Sears suffered very bad publicity. Losses were incalculable. The short-term gains were easy to measure; long-term consequences seldom are. The case illustrates a number of important lessons:</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generally choose short-term gains over potential long-term losses.</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often justify the harm to others as being minimal or “necessary” to achieve the desired sales quota or financial goal.</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long-term losses to Sears are difficult to quantify, while the short-term gains were easy to measure and (at least for a brief while) quite satisfying financially.</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A86150" w:rsidRDefault="00F714D4">
      <w:pPr>
        <w:pStyle w:val="ListParagraph"/>
        <w:numPr>
          <w:ilvl w:val="0"/>
          <w:numId w:val="4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in the organization probably thought that the actions they took were necessary.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Noting this last point, we can assume that these key people were motivated by maximizing profits and had lost sight of other goals for the organization.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Conscious Capitalism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effort to integrate the two viewpoints of stakeholder theory and shareholder primacy is the conscious capitalism movement. Companies that practice </w:t>
      </w:r>
      <w:r>
        <w:rPr>
          <w:rFonts w:ascii="Georgia" w:eastAsia="Times New Roman" w:hAnsi="Georgia" w:cs="Calibri"/>
          <w:b/>
          <w:color w:val="333333"/>
          <w:sz w:val="20"/>
          <w:szCs w:val="20"/>
          <w:u w:val="single"/>
          <w:lang w:val="en"/>
        </w:rPr>
        <w:t>conscious capitalism</w:t>
      </w:r>
      <w:r>
        <w:rPr>
          <w:rFonts w:ascii="Georgia" w:eastAsia="Times New Roman" w:hAnsi="Georgia" w:cs="Calibri"/>
          <w:color w:val="333333"/>
          <w:sz w:val="20"/>
          <w:szCs w:val="20"/>
          <w:lang w:val="en"/>
        </w:rPr>
        <w:t> 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bookmarkStart w:id="9" w:name="fn-7"/>
      <w:bookmarkEnd w:id="9"/>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w:t>
      </w:r>
      <w:r>
        <w:rPr>
          <w:rFonts w:ascii="Georgia" w:eastAsia="Times New Roman" w:hAnsi="Georgia" w:cs="Calibri"/>
          <w:color w:val="333333"/>
          <w:sz w:val="20"/>
          <w:szCs w:val="20"/>
          <w:lang w:val="en"/>
        </w:rPr>
        <w:lastRenderedPageBreak/>
        <w:t>“servant leadership” role, serving as stewards to the company’s deeper purpose and to the company’s stakeholders.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A86150" w:rsidRDefault="0081777E">
      <w:pPr>
        <w:spacing w:after="0" w:line="240" w:lineRule="auto"/>
        <w:jc w:val="cente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1" style="width:468pt;height:1.5pt" o:hralign="center" o:hrstd="t" o:hr="t" fillcolor="#a0a0a0"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See Robert Jackall, </w:t>
      </w:r>
      <w:r>
        <w:rPr>
          <w:rFonts w:ascii="Calibri" w:eastAsia="Times New Roman" w:hAnsi="Calibri" w:cs="Calibri"/>
          <w:i/>
          <w:iCs/>
          <w:color w:val="333333"/>
          <w:sz w:val="20"/>
          <w:szCs w:val="20"/>
        </w:rPr>
        <w:t>Moral Mazes: The World of Corporate Managers</w:t>
      </w:r>
      <w:r>
        <w:rPr>
          <w:rFonts w:ascii="Calibri" w:eastAsia="Times New Roman" w:hAnsi="Calibri" w:cs="Calibri"/>
          <w:color w:val="333333"/>
          <w:sz w:val="20"/>
          <w:szCs w:val="20"/>
        </w:rPr>
        <w:t> (New York: Oxford University Press, 1988).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John Schwartz, “An Enron Unit Chief Warned, and Was Rebuffed,”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20, 2002.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bookmarkStart w:id="10" w:name="ftn.fn-3"/>
      <w:bookmarkEnd w:id="10"/>
      <w:r>
        <w:rPr>
          <w:rFonts w:ascii="Calibri" w:eastAsia="Times New Roman" w:hAnsi="Calibri" w:cs="Calibri"/>
          <w:color w:val="333333"/>
          <w:sz w:val="20"/>
          <w:szCs w:val="20"/>
        </w:rPr>
        <w:t> Warren Bennis, “A Corporate Fear of Too Much Truth,”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17, 2002.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bookmarkStart w:id="11" w:name="ftn.fn-4"/>
      <w:bookmarkEnd w:id="11"/>
      <w:r>
        <w:rPr>
          <w:rFonts w:ascii="Calibri" w:eastAsia="Times New Roman" w:hAnsi="Calibri" w:cs="Calibri"/>
          <w:color w:val="333333"/>
          <w:sz w:val="20"/>
          <w:szCs w:val="20"/>
        </w:rPr>
        <w:t> University of Oklahoma Department of Defense Joint Course in Communication, </w:t>
      </w:r>
      <w:r>
        <w:rPr>
          <w:rFonts w:ascii="Calibri" w:eastAsia="Times New Roman" w:hAnsi="Calibri" w:cs="Calibri"/>
          <w:i/>
          <w:iCs/>
          <w:color w:val="333333"/>
          <w:sz w:val="20"/>
          <w:szCs w:val="20"/>
        </w:rPr>
        <w:t>Case Study: The Johnson &amp; Johnson Tylenol Crisis</w:t>
      </w:r>
      <w:r>
        <w:rPr>
          <w:rFonts w:ascii="Calibri" w:eastAsia="Times New Roman" w:hAnsi="Calibri" w:cs="Calibri"/>
          <w:color w:val="333333"/>
          <w:sz w:val="20"/>
          <w:szCs w:val="20"/>
        </w:rPr>
        <w:t>, accessed April 5, 2011.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bookmarkStart w:id="12" w:name="ftn.fn-5"/>
      <w:bookmarkEnd w:id="12"/>
      <w:r>
        <w:rPr>
          <w:rFonts w:ascii="Calibri" w:eastAsia="Times New Roman" w:hAnsi="Calibri" w:cs="Calibri"/>
          <w:color w:val="333333"/>
          <w:sz w:val="20"/>
          <w:szCs w:val="20"/>
        </w:rPr>
        <w:t> FindLaw, </w:t>
      </w:r>
      <w:r>
        <w:rPr>
          <w:rFonts w:ascii="Calibri" w:eastAsia="Times New Roman" w:hAnsi="Calibri" w:cs="Calibri"/>
          <w:i/>
          <w:iCs/>
          <w:color w:val="333333"/>
          <w:sz w:val="20"/>
          <w:szCs w:val="20"/>
        </w:rPr>
        <w:t>Report of Investigation by the Special Investigative Committee of the Board of Directors of Enron Corp.</w:t>
      </w:r>
      <w:r>
        <w:rPr>
          <w:rFonts w:ascii="Calibri" w:eastAsia="Times New Roman" w:hAnsi="Calibri" w:cs="Calibri"/>
          <w:color w:val="333333"/>
          <w:sz w:val="20"/>
          <w:szCs w:val="20"/>
        </w:rPr>
        <w:t>, February 1, 2002, accessed April 5, 2011,</w:t>
      </w:r>
      <w:hyperlink r:id="rId13" w:tgtFrame="_blank" w:history="1">
        <w:r>
          <w:rPr>
            <w:rStyle w:val="Hyperlink"/>
            <w:rFonts w:ascii="Calibri" w:eastAsia="Times New Roman" w:hAnsi="Calibri" w:cs="Calibri"/>
            <w:color w:val="2689C6"/>
            <w:sz w:val="20"/>
            <w:szCs w:val="20"/>
          </w:rPr>
          <w:t>http://news.findlaw.com/wsj/docs/enron/sicreport</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bookmarkStart w:id="13" w:name="ftn.fn-6"/>
      <w:bookmarkEnd w:id="13"/>
      <w:r>
        <w:rPr>
          <w:rFonts w:ascii="Calibri" w:eastAsia="Times New Roman" w:hAnsi="Calibri" w:cs="Calibri"/>
          <w:color w:val="333333"/>
          <w:sz w:val="20"/>
          <w:szCs w:val="20"/>
        </w:rPr>
        <w:t> Steven Pearlstein, “Debating the Enron Effect,” </w:t>
      </w:r>
      <w:r>
        <w:rPr>
          <w:rFonts w:ascii="Calibri" w:eastAsia="Times New Roman" w:hAnsi="Calibri" w:cs="Calibri"/>
          <w:i/>
          <w:iCs/>
          <w:color w:val="333333"/>
          <w:sz w:val="20"/>
          <w:szCs w:val="20"/>
        </w:rPr>
        <w:t>Washington Post</w:t>
      </w:r>
      <w:r>
        <w:rPr>
          <w:rFonts w:ascii="Calibri" w:eastAsia="Times New Roman" w:hAnsi="Calibri" w:cs="Calibri"/>
          <w:color w:val="333333"/>
          <w:sz w:val="20"/>
          <w:szCs w:val="20"/>
        </w:rPr>
        <w:t>, February 17, 2002.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bookmarkStart w:id="14" w:name="ftn.fn-7"/>
      <w:bookmarkEnd w:id="14"/>
      <w:r>
        <w:rPr>
          <w:rFonts w:ascii="Calibri" w:eastAsia="Times New Roman" w:hAnsi="Calibri" w:cs="Calibri"/>
          <w:color w:val="333333"/>
          <w:sz w:val="20"/>
          <w:szCs w:val="20"/>
        </w:rPr>
        <w:t> Milton Friedman, John Mackey, and T. J. Rodgers, “Rethinking the Social Responsibility of Business,” Reason.com, October 2005,</w:t>
      </w:r>
      <w:hyperlink r:id="rId14" w:tgtFrame="_blank" w:history="1">
        <w:r>
          <w:rPr>
            <w:rStyle w:val="Hyperlink"/>
            <w:rFonts w:ascii="Calibri" w:eastAsia="Times New Roman" w:hAnsi="Calibri" w:cs="Calibri"/>
            <w:color w:val="2689C6"/>
            <w:sz w:val="20"/>
            <w:szCs w:val="20"/>
          </w:rPr>
          <w:t>http://reason.com/archives/2005/10/01/rethinking-the-social-responsi</w:t>
        </w:r>
      </w:hyperlink>
      <w:r>
        <w:rPr>
          <w:rFonts w:ascii="Calibri" w:eastAsia="Times New Roman" w:hAnsi="Calibri" w:cs="Calibri"/>
          <w:color w:val="333333"/>
          <w:sz w:val="20"/>
          <w:szCs w:val="20"/>
        </w:rPr>
        <w:t>.</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4"/>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again Milton Friedman’s article.</w:t>
      </w:r>
    </w:p>
    <w:p w:rsidR="00A86150" w:rsidRDefault="00F714D4">
      <w:pPr>
        <w:numPr>
          <w:ilvl w:val="1"/>
          <w:numId w:val="45"/>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Friedman mean by “ethical custom”?</w:t>
      </w:r>
    </w:p>
    <w:p w:rsidR="00A86150" w:rsidRDefault="00F714D4">
      <w:pPr>
        <w:numPr>
          <w:ilvl w:val="1"/>
          <w:numId w:val="45"/>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laws of the society are limiting the company’s profitability, would the company be within its rights to disobey the law?</w:t>
      </w:r>
    </w:p>
    <w:p w:rsidR="00A86150" w:rsidRDefault="00F714D4">
      <w:pPr>
        <w:numPr>
          <w:ilvl w:val="1"/>
          <w:numId w:val="45"/>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A86150" w:rsidRDefault="00F714D4">
      <w:pPr>
        <w:numPr>
          <w:ilvl w:val="0"/>
          <w:numId w:val="45"/>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again the </w:t>
      </w:r>
      <w:r>
        <w:rPr>
          <w:rFonts w:ascii="Calibri" w:eastAsia="Times New Roman" w:hAnsi="Calibri" w:cs="Calibri"/>
          <w:i/>
          <w:iCs/>
          <w:color w:val="333333"/>
          <w:sz w:val="20"/>
          <w:szCs w:val="20"/>
          <w:lang w:val="en"/>
        </w:rPr>
        <w:t>Harris v. Forklift</w:t>
      </w:r>
      <w:r>
        <w:rPr>
          <w:rFonts w:ascii="Calibri" w:eastAsia="Times New Roman" w:hAnsi="Calibri" w:cs="Calibri"/>
          <w:color w:val="333333"/>
          <w:sz w:val="20"/>
          <w:szCs w:val="20"/>
          <w:lang w:val="en"/>
        </w:rPr>
        <w:t> case at the end of </w:t>
      </w:r>
      <w:r>
        <w:rPr>
          <w:rFonts w:ascii="Calibri" w:eastAsia="Times New Roman" w:hAnsi="Calibri" w:cs="Calibri"/>
          <w:color w:val="2689C6"/>
          <w:sz w:val="20"/>
          <w:szCs w:val="20"/>
          <w:lang w:val="en"/>
        </w:rPr>
        <w:t>Chapter 1 "Introduction to Law and Legal Systems"</w:t>
      </w:r>
      <w:r>
        <w:rPr>
          <w:rFonts w:ascii="Calibri" w:eastAsia="Times New Roman" w:hAnsi="Calibri" w:cs="Calibri"/>
          <w:color w:val="333333"/>
          <w:sz w:val="20"/>
          <w:szCs w:val="20"/>
          <w:lang w:val="en"/>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A86150" w:rsidRDefault="00F714D4">
      <w:pPr>
        <w:numPr>
          <w:ilvl w:val="1"/>
          <w:numId w:val="4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his actions, if any, were contrary to utilitarian thinking?</w:t>
      </w:r>
    </w:p>
    <w:p w:rsidR="00A86150" w:rsidRDefault="00F714D4">
      <w:pPr>
        <w:numPr>
          <w:ilvl w:val="1"/>
          <w:numId w:val="46"/>
        </w:numPr>
        <w:shd w:val="clear" w:color="auto" w:fill="E3EFF7"/>
        <w:spacing w:after="0" w:line="439" w:lineRule="atLeast"/>
        <w:ind w:left="36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If Kant were his second-in-command and advising him on ethical matters, would he have approved of Mr. Hardy’s behavior? Why or why not?</w:t>
      </w:r>
    </w:p>
    <w:p w:rsidR="00A86150" w:rsidRDefault="00F714D4">
      <w:pPr>
        <w:numPr>
          <w:ilvl w:val="0"/>
          <w:numId w:val="4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the behaviors alleged by Ms. Harris and assume for a moment that they are all true. In terms of core values, which of these behaviors are not consistent with the core values Josephson points to? Be specific.</w:t>
      </w:r>
    </w:p>
    <w:p w:rsidR="00A86150" w:rsidRDefault="00F714D4">
      <w:pPr>
        <w:numPr>
          <w:ilvl w:val="0"/>
          <w:numId w:val="46"/>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Forklift Systems is a large public corporation and that the CEO engages in these kinds of behaviors. Assume also that the board of directors knows about it. What action should the board take, and why?</w:t>
      </w:r>
    </w:p>
    <w:p w:rsidR="00A86150" w:rsidRDefault="00F714D4">
      <w:pPr>
        <w:numPr>
          <w:ilvl w:val="0"/>
          <w:numId w:val="46"/>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A86150" w:rsidRDefault="00F714D4">
      <w:pPr>
        <w:shd w:val="clear" w:color="auto" w:fill="E3EFF7"/>
        <w:spacing w:before="15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47"/>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Milton Friedman would have been most likely to agree to which of the following statements?</w:t>
      </w:r>
    </w:p>
    <w:p w:rsidR="00A86150" w:rsidRDefault="00F714D4">
      <w:pPr>
        <w:numPr>
          <w:ilvl w:val="1"/>
          <w:numId w:val="48"/>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the corporation is to find a path to sustainable corporate profits by paying careful attention to key stakeholders.</w:t>
      </w:r>
    </w:p>
    <w:p w:rsidR="00A86150" w:rsidRDefault="00F714D4">
      <w:pPr>
        <w:numPr>
          <w:ilvl w:val="1"/>
          <w:numId w:val="48"/>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business of business is business.</w:t>
      </w:r>
    </w:p>
    <w:p w:rsidR="00A86150" w:rsidRDefault="00F714D4">
      <w:pPr>
        <w:numPr>
          <w:ilvl w:val="1"/>
          <w:numId w:val="48"/>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CEO and the board should have a single-minded focus on delivering maximum value to shareholders of the business.</w:t>
      </w:r>
    </w:p>
    <w:p w:rsidR="00A86150" w:rsidRDefault="00F714D4">
      <w:pPr>
        <w:numPr>
          <w:ilvl w:val="1"/>
          <w:numId w:val="48"/>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is fair in love, war, and business.</w:t>
      </w:r>
    </w:p>
    <w:p w:rsidR="00A86150" w:rsidRDefault="00F714D4">
      <w:pPr>
        <w:numPr>
          <w:ilvl w:val="0"/>
          <w:numId w:val="48"/>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Milton Friedman meant (using the material quoted in this chapter) that companies should</w:t>
      </w:r>
    </w:p>
    <w:p w:rsidR="00A86150" w:rsidRDefault="00F714D4">
      <w:pPr>
        <w:numPr>
          <w:ilvl w:val="0"/>
          <w:numId w:val="4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Find a path to sustainable profits by looking at the interconnected needs and desires of all the stakeholders.</w:t>
      </w:r>
    </w:p>
    <w:p w:rsidR="00A86150" w:rsidRDefault="00F714D4">
      <w:pPr>
        <w:numPr>
          <w:ilvl w:val="0"/>
          <w:numId w:val="4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Always remember that the business of business is business.</w:t>
      </w:r>
    </w:p>
    <w:p w:rsidR="00A86150" w:rsidRDefault="00F714D4">
      <w:pPr>
        <w:numPr>
          <w:ilvl w:val="0"/>
          <w:numId w:val="4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Remind the CEO that he or she has one duty: to maximize shareholder wealth by any means possible.</w:t>
      </w:r>
    </w:p>
    <w:p w:rsidR="00A86150" w:rsidRDefault="00F714D4">
      <w:pPr>
        <w:numPr>
          <w:ilvl w:val="0"/>
          <w:numId w:val="4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Maximize shareholder wealth by engaging in open competition without fraud or deceit.</w:t>
      </w:r>
    </w:p>
    <w:p w:rsidR="00A86150" w:rsidRDefault="00F714D4">
      <w:pPr>
        <w:numPr>
          <w:ilvl w:val="0"/>
          <w:numId w:val="50"/>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some key drawbacks to utilitarian thinking at the corporate level?</w:t>
      </w:r>
    </w:p>
    <w:p w:rsidR="00A86150" w:rsidRDefault="00F714D4">
      <w:pPr>
        <w:numPr>
          <w:ilvl w:val="0"/>
          <w:numId w:val="5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corporation may do a cost-benefit analysis that puts the greatest good of the firm above all other considerations.</w:t>
      </w:r>
    </w:p>
    <w:p w:rsidR="00A86150" w:rsidRDefault="00F714D4">
      <w:pPr>
        <w:numPr>
          <w:ilvl w:val="0"/>
          <w:numId w:val="5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is difficult to predict future consequences; decision makers in for-profit organizations will tend to overestimate the upside of certain decisions and underestimate the downside.</w:t>
      </w:r>
    </w:p>
    <w:p w:rsidR="00A86150" w:rsidRDefault="00F714D4">
      <w:pPr>
        <w:numPr>
          <w:ilvl w:val="0"/>
          <w:numId w:val="5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Short-term interests will be favored over long-term consequences.</w:t>
      </w:r>
    </w:p>
    <w:p w:rsidR="00A86150" w:rsidRDefault="00F714D4">
      <w:pPr>
        <w:numPr>
          <w:ilvl w:val="0"/>
          <w:numId w:val="5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 only</w:t>
      </w:r>
    </w:p>
    <w:p w:rsidR="00A86150" w:rsidRDefault="00F714D4">
      <w:pPr>
        <w:numPr>
          <w:ilvl w:val="0"/>
          <w:numId w:val="52"/>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ethical perspective would allow that under certain circumstances, it might be ethical to lie to a liar?</w:t>
      </w:r>
    </w:p>
    <w:p w:rsidR="00A86150" w:rsidRDefault="00F714D4">
      <w:pPr>
        <w:numPr>
          <w:ilvl w:val="0"/>
          <w:numId w:val="5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deontology</w:t>
      </w:r>
    </w:p>
    <w:p w:rsidR="00A86150" w:rsidRDefault="00F714D4">
      <w:pPr>
        <w:numPr>
          <w:ilvl w:val="0"/>
          <w:numId w:val="5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virtue ethics</w:t>
      </w:r>
    </w:p>
    <w:p w:rsidR="00A86150" w:rsidRDefault="00F714D4">
      <w:pPr>
        <w:numPr>
          <w:ilvl w:val="0"/>
          <w:numId w:val="5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utilitarianism</w:t>
      </w:r>
    </w:p>
    <w:p w:rsidR="00A86150" w:rsidRDefault="00F714D4">
      <w:pPr>
        <w:numPr>
          <w:ilvl w:val="0"/>
          <w:numId w:val="5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4"/>
        </w:num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conscious capitalism,</w:t>
      </w:r>
    </w:p>
    <w:p w:rsidR="00A86150" w:rsidRDefault="00F714D4">
      <w:pPr>
        <w:numPr>
          <w:ilvl w:val="0"/>
          <w:numId w:val="5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Virtue ethics is ignored.</w:t>
      </w:r>
    </w:p>
    <w:p w:rsidR="00A86150" w:rsidRDefault="00F714D4">
      <w:pPr>
        <w:numPr>
          <w:ilvl w:val="0"/>
          <w:numId w:val="5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Shareholders, whether they be traders or long-term investors, are always the first and last consideration for the CEO and the board.</w:t>
      </w:r>
    </w:p>
    <w:p w:rsidR="00A86150" w:rsidRDefault="00F714D4">
      <w:pPr>
        <w:numPr>
          <w:ilvl w:val="0"/>
          <w:numId w:val="5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Maximizing profits comes from a focus on higher purposes and harmonizing the interests of various stakeholders.</w:t>
      </w:r>
    </w:p>
    <w:p w:rsidR="00A86150" w:rsidRDefault="00F714D4">
      <w:pPr>
        <w:numPr>
          <w:ilvl w:val="0"/>
          <w:numId w:val="5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Kantian duties take precedence over cost-benefit analyses.</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5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5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5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5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56"/>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c</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3</w:t>
      </w:r>
    </w:p>
    <w:p w:rsidR="00A86150" w:rsidRDefault="0081777E">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2" style="width:468pt;height:1.5pt" o:hralign="center" o:hrstd="t" o:hr="t" fillcolor="#a0a0a0"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Courts and the Legal Process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shd w:val="clear" w:color="auto" w:fill="EAE9DC"/>
        <w:spacing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be able to do the following:</w:t>
      </w:r>
    </w:p>
    <w:p w:rsidR="00A86150" w:rsidRDefault="00F714D4">
      <w:pPr>
        <w:numPr>
          <w:ilvl w:val="0"/>
          <w:numId w:val="57"/>
        </w:numPr>
        <w:shd w:val="clear" w:color="auto" w:fill="EAE9DC"/>
        <w:tabs>
          <w:tab w:val="clear" w:pos="720"/>
          <w:tab w:val="num" w:pos="1440"/>
        </w:tabs>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two different court systems in the United States, and explain why some cases can be filed in either court system.</w:t>
      </w:r>
    </w:p>
    <w:p w:rsidR="00A86150" w:rsidRDefault="00F714D4">
      <w:pPr>
        <w:numPr>
          <w:ilvl w:val="0"/>
          <w:numId w:val="57"/>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importance of subject matter jurisdiction and personal jurisdiction and know the difference between the two.</w:t>
      </w:r>
    </w:p>
    <w:p w:rsidR="00A86150" w:rsidRDefault="00F714D4">
      <w:pPr>
        <w:numPr>
          <w:ilvl w:val="0"/>
          <w:numId w:val="57"/>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various stages of a civil action: from pleadings, to discovery, to trial, and to appeals.</w:t>
      </w:r>
    </w:p>
    <w:p w:rsidR="00A86150" w:rsidRDefault="00F714D4">
      <w:pPr>
        <w:numPr>
          <w:ilvl w:val="0"/>
          <w:numId w:val="57"/>
        </w:numPr>
        <w:shd w:val="clear" w:color="auto" w:fill="EAE9DC"/>
        <w:spacing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two alternatives to litigation: mediation and arbitration.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i/>
          <w:iCs/>
          <w:color w:val="333333"/>
          <w:sz w:val="30"/>
          <w:szCs w:val="30"/>
          <w:lang w:val="en"/>
        </w:rPr>
        <w:t>Robinson v. Audi</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w:t>
      </w:r>
      <w:r>
        <w:rPr>
          <w:rFonts w:ascii="Georgia" w:eastAsia="Times New Roman" w:hAnsi="Georgia" w:cs="Calibri"/>
          <w:color w:val="333333"/>
          <w:sz w:val="20"/>
          <w:szCs w:val="20"/>
          <w:lang w:val="en"/>
        </w:rPr>
        <w:lastRenderedPageBreak/>
        <w:t>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Should the Robinsons bring their action in state court or in federal court? Over which of the defendants will the court have personal jurisdiction?</w:t>
      </w:r>
    </w:p>
    <w:p w:rsidR="00A86150" w:rsidRDefault="00F714D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3.1 The Relationship between State and Federal Court Systems in the United States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8"/>
        </w:numPr>
        <w:shd w:val="clear" w:color="auto" w:fill="EAE9DC"/>
        <w:tabs>
          <w:tab w:val="clear" w:pos="720"/>
          <w:tab w:val="num" w:pos="10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different but complementary roles of state and federal court systems.</w:t>
      </w:r>
    </w:p>
    <w:p w:rsidR="00A86150" w:rsidRDefault="00F714D4">
      <w:pPr>
        <w:numPr>
          <w:ilvl w:val="0"/>
          <w:numId w:val="58"/>
        </w:numPr>
        <w:shd w:val="clear" w:color="auto" w:fill="EAE9DC"/>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it makes sense for some courts to hear and decide only certain kinds of cases.</w:t>
      </w:r>
    </w:p>
    <w:p w:rsidR="00A86150" w:rsidRDefault="00F714D4">
      <w:pPr>
        <w:numPr>
          <w:ilvl w:val="0"/>
          <w:numId w:val="58"/>
        </w:numPr>
        <w:shd w:val="clear" w:color="auto" w:fill="EAE9DC"/>
        <w:spacing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difference between a trial court and an appellate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and local courts must honor both federal law and the laws of the other states. First, state courts must honor federal law where state laws are in conflict with federal laws (under the supremacy clause of the Constitution; see </w:t>
      </w:r>
      <w:r>
        <w:rPr>
          <w:rFonts w:ascii="Georgia" w:eastAsia="Times New Roman" w:hAnsi="Georgia" w:cs="Calibri"/>
          <w:color w:val="2689C6"/>
          <w:sz w:val="20"/>
          <w:szCs w:val="20"/>
          <w:lang w:val="en"/>
        </w:rPr>
        <w:t>Chapter 4 "Constitutional Law and US Commerce"</w:t>
      </w:r>
      <w:r>
        <w:rPr>
          <w:rFonts w:ascii="Georgia" w:eastAsia="Times New Roman" w:hAnsi="Georgia" w:cs="Calibri"/>
          <w:color w:val="333333"/>
          <w:sz w:val="20"/>
          <w:szCs w:val="20"/>
          <w:lang w:val="en"/>
        </w:rPr>
        <w:t>).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 </w:t>
      </w:r>
      <w:r>
        <w:rPr>
          <w:rFonts w:ascii="Georgia" w:eastAsia="Times New Roman" w:hAnsi="Georgia" w:cs="Calibri"/>
          <w:color w:val="2689C6"/>
          <w:sz w:val="20"/>
          <w:szCs w:val="20"/>
          <w:lang w:val="en"/>
        </w:rPr>
        <w:t>Table 3.1 "Sample Conflict-of-Law Principles"</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w:t>
      </w:r>
      <w:r>
        <w:rPr>
          <w:rFonts w:ascii="Georgia" w:eastAsia="Times New Roman" w:hAnsi="Georgia" w:cs="Calibri"/>
          <w:color w:val="333333"/>
          <w:sz w:val="20"/>
          <w:szCs w:val="20"/>
          <w:lang w:val="en"/>
        </w:rPr>
        <w:lastRenderedPageBreak/>
        <w:t>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is also a broad category of cases heard in federal courts that concern only state legal issues—namely, cases that arise between citizens of different states. The federal courts are permitted to hear these cases under their so-called </w:t>
      </w:r>
      <w:r>
        <w:rPr>
          <w:rFonts w:ascii="Georgia" w:eastAsia="Times New Roman" w:hAnsi="Georgia" w:cs="Calibri"/>
          <w:b/>
          <w:color w:val="333333"/>
          <w:sz w:val="20"/>
          <w:szCs w:val="20"/>
          <w:u w:val="single"/>
          <w:lang w:val="en"/>
        </w:rPr>
        <w:t>diversity of citizenship jurisdiction</w:t>
      </w:r>
      <w:r>
        <w:rPr>
          <w:rFonts w:ascii="Georgia" w:eastAsia="Times New Roman" w:hAnsi="Georgia" w:cs="Calibri"/>
          <w:color w:val="333333"/>
          <w:sz w:val="20"/>
          <w:szCs w:val="20"/>
          <w:lang w:val="en"/>
        </w:rPr>
        <w:t xml:space="preserve"> (or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 </w:t>
      </w:r>
      <w:r>
        <w:rPr>
          <w:rFonts w:ascii="Georgia" w:eastAsia="Times New Roman" w:hAnsi="Georgia" w:cs="Calibri"/>
          <w:b/>
          <w:color w:val="333333"/>
          <w:sz w:val="20"/>
          <w:szCs w:val="20"/>
          <w:u w:val="single"/>
          <w:lang w:val="en"/>
        </w:rPr>
        <w:t>federal question jurisdiction</w:t>
      </w:r>
      <w:r>
        <w:rPr>
          <w:rFonts w:ascii="Georgia" w:eastAsia="Times New Roman" w:hAnsi="Georgia" w:cs="Calibri"/>
          <w:color w:val="333333"/>
          <w:sz w:val="20"/>
          <w:szCs w:val="20"/>
          <w:lang w:val="en"/>
        </w:rPr>
        <w:t>, where federal law provided the basis for the lawsuit or where the United States was a party (as plaintiff or defendant).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are there so many diversity cases in federal courts? Defense lawyers believe that there is sometimes a “home-court advantage” for an in-state plaintiff who brings a lawsuit against a nonresident in his local state court. The defense attorney is entitled to ask for </w:t>
      </w:r>
      <w:r>
        <w:rPr>
          <w:rFonts w:ascii="Georgia" w:eastAsia="Times New Roman" w:hAnsi="Georgia" w:cs="Calibri"/>
          <w:b/>
          <w:color w:val="333333"/>
          <w:sz w:val="20"/>
          <w:szCs w:val="20"/>
          <w:u w:val="single"/>
          <w:lang w:val="en"/>
        </w:rPr>
        <w:t>removal</w:t>
      </w:r>
      <w:r>
        <w:rPr>
          <w:rFonts w:ascii="Georgia" w:eastAsia="Times New Roman" w:hAnsi="Georgia" w:cs="Calibri"/>
          <w:color w:val="333333"/>
          <w:sz w:val="20"/>
          <w:szCs w:val="20"/>
          <w:lang w:val="en"/>
        </w:rPr>
        <w:t> 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Court Systems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vast majority of civil lawsuits in the United States are filed in state courts. Two aspects of civil lawsuits are common to all state courts: trials and appeals. A court exercising a trial function has </w:t>
      </w:r>
      <w:r>
        <w:rPr>
          <w:rFonts w:ascii="Georgia" w:eastAsia="Times New Roman" w:hAnsi="Georgia" w:cs="Calibri"/>
          <w:b/>
          <w:color w:val="333333"/>
          <w:sz w:val="20"/>
          <w:szCs w:val="20"/>
          <w:u w:val="single"/>
          <w:lang w:val="en"/>
        </w:rPr>
        <w:t>original jurisdiction</w:t>
      </w:r>
      <w:r>
        <w:rPr>
          <w:rFonts w:ascii="Georgia" w:eastAsia="Times New Roman" w:hAnsi="Georgia" w:cs="Calibri"/>
          <w:color w:val="333333"/>
          <w:sz w:val="20"/>
          <w:szCs w:val="20"/>
          <w:lang w:val="en"/>
        </w:rPr>
        <w:t>—that is, jurisdiction to determine the facts of the case and apply the law to them. A court that hears appeals from the trial court is said to have </w:t>
      </w:r>
      <w:r>
        <w:rPr>
          <w:rFonts w:ascii="Georgia" w:eastAsia="Times New Roman" w:hAnsi="Georgia" w:cs="Calibri"/>
          <w:b/>
          <w:color w:val="333333"/>
          <w:sz w:val="20"/>
          <w:szCs w:val="20"/>
          <w:u w:val="single"/>
          <w:lang w:val="en"/>
        </w:rPr>
        <w:t>appellate jurisdiction</w:t>
      </w:r>
      <w:r>
        <w:rPr>
          <w:rFonts w:ascii="Georgia" w:eastAsia="Times New Roman" w:hAnsi="Georgia" w:cs="Calibri"/>
          <w:color w:val="333333"/>
          <w:sz w:val="20"/>
          <w:szCs w:val="20"/>
          <w:lang w:val="en"/>
        </w:rPr>
        <w:t>—it must accept the facts as determined by the trial court and limit its review to the lower court’s theory of the applicable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Jurisdiction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Jurisdiction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Appellate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w:t>
      </w:r>
      <w:r>
        <w:rPr>
          <w:rFonts w:ascii="Georgia" w:eastAsia="Times New Roman" w:hAnsi="Georgia" w:cs="Calibri"/>
          <w:color w:val="333333"/>
          <w:sz w:val="20"/>
          <w:szCs w:val="20"/>
          <w:lang w:val="en"/>
        </w:rPr>
        <w:lastRenderedPageBreak/>
        <w:t>in which federal constitutional claims are made—appeal to the US Supreme Court to issue a </w:t>
      </w:r>
      <w:r>
        <w:rPr>
          <w:rFonts w:ascii="Georgia" w:eastAsia="Times New Roman" w:hAnsi="Georgia" w:cs="Calibri"/>
          <w:b/>
          <w:color w:val="333333"/>
          <w:sz w:val="20"/>
          <w:szCs w:val="20"/>
          <w:u w:val="single"/>
          <w:lang w:val="en"/>
        </w:rPr>
        <w:t>writ of certiorari</w:t>
      </w:r>
      <w:r>
        <w:rPr>
          <w:rFonts w:ascii="Georgia" w:eastAsia="Times New Roman" w:hAnsi="Georgia" w:cs="Calibri"/>
          <w:color w:val="333333"/>
          <w:sz w:val="20"/>
          <w:szCs w:val="20"/>
          <w:lang w:val="en"/>
        </w:rPr>
        <w:t> remains a possibility.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 Court System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District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Courts of Appeal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Cases from the district courts can then be appealed to the circuit courts of appeal, of which there are thirteen (</w:t>
      </w:r>
      <w:r>
        <w:rPr>
          <w:rFonts w:ascii="Georgia" w:eastAsia="Times New Roman" w:hAnsi="Georgia" w:cs="Calibri"/>
          <w:color w:val="2689C6"/>
          <w:sz w:val="20"/>
          <w:szCs w:val="20"/>
          <w:lang w:val="en"/>
        </w:rPr>
        <w:t>Figure 3.1 "The Federal Judicial Circuits"</w:t>
      </w:r>
      <w:r>
        <w:rPr>
          <w:rFonts w:ascii="Georgia" w:eastAsia="Times New Roman" w:hAnsi="Georgia" w:cs="Calibri"/>
          <w:color w:val="333333"/>
          <w:sz w:val="20"/>
          <w:szCs w:val="20"/>
          <w:lang w:val="en"/>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also several specialized courts in the federal judicial system. These include the US Tax Court, the Court of Customs and Patent Appeals, and the Court of Claims.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United States Supreme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A86150" w:rsidRDefault="00F714D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3.1</w:t>
      </w:r>
      <w:r>
        <w:rPr>
          <w:rFonts w:ascii="Georgia" w:eastAsia="Times New Roman" w:hAnsi="Georgia" w:cs="Calibri"/>
          <w:i/>
          <w:iCs/>
          <w:color w:val="BB9966"/>
          <w:sz w:val="21"/>
          <w:szCs w:val="21"/>
          <w:lang w:val="en"/>
        </w:rPr>
        <w:t> The Federal Judicial Circuits</w:t>
      </w:r>
    </w:p>
    <w:p w:rsidR="00A86150" w:rsidRDefault="00F714D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771900"/>
            <wp:effectExtent l="0" t="0" r="0" b="0"/>
            <wp:docPr id="10" name="Picture 6" descr="http://images.flatworldknowledge.com/mayerlawentrep/mayerlawentrep-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ayerlawentrep/mayerlawentrep-fig03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all of this complexity? Why don’t state courts hear only claims based on state law, and federal courts only federal-law-based claims?</w:t>
      </w:r>
    </w:p>
    <w:p w:rsidR="00A86150" w:rsidRDefault="00F714D4">
      <w:pPr>
        <w:numPr>
          <w:ilvl w:val="0"/>
          <w:numId w:val="5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a plaintiff in Iowa with a case against a New Jersey defendant prefer to have the case heard in Iowa?</w:t>
      </w:r>
    </w:p>
    <w:p w:rsidR="00A86150" w:rsidRDefault="00F714D4">
      <w:pPr>
        <w:numPr>
          <w:ilvl w:val="0"/>
          <w:numId w:val="59"/>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3.2 The Problem of Jurisdiction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60"/>
        </w:numPr>
        <w:shd w:val="clear" w:color="auto" w:fill="EAE9DC"/>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subject matter jurisdiction and distinguish it from personal jurisdiction.</w:t>
      </w:r>
    </w:p>
    <w:p w:rsidR="00A86150" w:rsidRDefault="00F714D4">
      <w:pPr>
        <w:numPr>
          <w:ilvl w:val="0"/>
          <w:numId w:val="60"/>
        </w:numPr>
        <w:shd w:val="clear" w:color="auto" w:fill="EAE9DC"/>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and where the US Constitution provides a set of instructions as to what federal courts are empowered by law to do.</w:t>
      </w:r>
    </w:p>
    <w:p w:rsidR="00A86150" w:rsidRDefault="00F714D4">
      <w:pPr>
        <w:numPr>
          <w:ilvl w:val="0"/>
          <w:numId w:val="60"/>
        </w:numPr>
        <w:shd w:val="clear" w:color="auto" w:fill="EAE9DC"/>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which kinds of cases must be heard in federal courts only.</w:t>
      </w:r>
    </w:p>
    <w:p w:rsidR="00A86150" w:rsidRDefault="00F714D4">
      <w:pPr>
        <w:numPr>
          <w:ilvl w:val="0"/>
          <w:numId w:val="60"/>
        </w:numPr>
        <w:shd w:val="clear" w:color="auto" w:fill="EAE9DC"/>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diversity of citizenship jurisdiction and be able to decide whether a case is eligible for diversity jurisdiction in the federal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Jurisdiction is an essential concept in understanding courts and the legal system. Jurisdiction is a combination of two Latin words: </w:t>
      </w:r>
      <w:r>
        <w:rPr>
          <w:rFonts w:ascii="Georgia" w:eastAsia="Times New Roman" w:hAnsi="Georgia" w:cs="Calibri"/>
          <w:i/>
          <w:iCs/>
          <w:color w:val="333333"/>
          <w:sz w:val="20"/>
          <w:szCs w:val="20"/>
          <w:lang w:val="en"/>
        </w:rPr>
        <w:t>juris</w:t>
      </w:r>
      <w:r>
        <w:rPr>
          <w:rFonts w:ascii="Georgia" w:eastAsia="Times New Roman" w:hAnsi="Georgia" w:cs="Calibri"/>
          <w:color w:val="333333"/>
          <w:sz w:val="20"/>
          <w:szCs w:val="20"/>
          <w:lang w:val="en"/>
        </w:rPr>
        <w:t> (law) and </w:t>
      </w:r>
      <w:r>
        <w:rPr>
          <w:rFonts w:ascii="Georgia" w:eastAsia="Times New Roman" w:hAnsi="Georgia" w:cs="Calibri"/>
          <w:i/>
          <w:iCs/>
          <w:color w:val="333333"/>
          <w:sz w:val="20"/>
          <w:szCs w:val="20"/>
          <w:lang w:val="en"/>
        </w:rPr>
        <w:t>diction</w:t>
      </w:r>
      <w:r>
        <w:rPr>
          <w:rFonts w:ascii="Georgia" w:eastAsia="Times New Roman" w:hAnsi="Georgia" w:cs="Calibri"/>
          <w:color w:val="333333"/>
          <w:sz w:val="20"/>
          <w:szCs w:val="20"/>
          <w:lang w:val="en"/>
        </w:rPr>
        <w:t>(to speak). Which court has the power “to speak the law” is the basic question of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questions about jurisdiction in each case that must be answered before a judge will hear a case: the question of </w:t>
      </w:r>
      <w:r>
        <w:rPr>
          <w:rFonts w:ascii="Georgia" w:eastAsia="Times New Roman" w:hAnsi="Georgia" w:cs="Calibri"/>
          <w:b/>
          <w:color w:val="333333"/>
          <w:sz w:val="20"/>
          <w:szCs w:val="20"/>
          <w:u w:val="single"/>
          <w:lang w:val="en"/>
        </w:rPr>
        <w:t>subject matter jurisdiction</w:t>
      </w:r>
      <w:r>
        <w:rPr>
          <w:rFonts w:ascii="Georgia" w:eastAsia="Times New Roman" w:hAnsi="Georgia" w:cs="Calibri"/>
          <w:color w:val="333333"/>
          <w:sz w:val="20"/>
          <w:szCs w:val="20"/>
          <w:lang w:val="en"/>
        </w:rPr>
        <w:t xml:space="preserve"> 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Federal-State Balance: Federalism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courts have their origins in colonial era courts. After the American Revolution, state courts functioned (with some differences) much like they did in colonial times. The big difference after 1789 was that state courts coexisted with federal courts. </w:t>
      </w:r>
      <w:r>
        <w:rPr>
          <w:rFonts w:ascii="Georgia" w:eastAsia="Times New Roman" w:hAnsi="Georgia" w:cs="Calibri"/>
          <w:b/>
          <w:color w:val="333333"/>
          <w:sz w:val="20"/>
          <w:szCs w:val="20"/>
          <w:u w:val="single"/>
          <w:lang w:val="en"/>
        </w:rPr>
        <w:t>Federalism</w:t>
      </w:r>
      <w:r>
        <w:rPr>
          <w:rFonts w:ascii="Georgia" w:eastAsia="Times New Roman" w:hAnsi="Georgia" w:cs="Calibri"/>
          <w:color w:val="333333"/>
          <w:sz w:val="20"/>
          <w:szCs w:val="20"/>
          <w:lang w:val="en"/>
        </w:rPr>
        <w:t> 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Take a close look at Article III of the Constitution. (You can find a printable copy of the Constitution at </w:t>
      </w:r>
      <w:hyperlink r:id="rId16" w:tgtFrame="_blank" w:history="1">
        <w:r>
          <w:rPr>
            <w:rStyle w:val="Hyperlink"/>
            <w:rFonts w:ascii="Georgia" w:eastAsia="Times New Roman" w:hAnsi="Georgia" w:cs="Calibri"/>
            <w:color w:val="2689C6"/>
            <w:sz w:val="20"/>
            <w:szCs w:val="20"/>
            <w:lang w:val="en"/>
          </w:rPr>
          <w:t>http://www.findlaw.com</w:t>
        </w:r>
      </w:hyperlink>
      <w:r>
        <w:rPr>
          <w:rFonts w:ascii="Georgia" w:eastAsia="Times New Roman" w:hAnsi="Georgia" w:cs="Calibri"/>
          <w:color w:val="333333"/>
          <w:sz w:val="20"/>
          <w:szCs w:val="20"/>
          <w:lang w:val="en"/>
        </w:rPr>
        <w:t xml:space="preserve">.) Article III makes clear that federal courts are courts of limited power or jurisdiction. Notice that the only kinds of cases federal courts are authorized to deal with have strong </w:t>
      </w:r>
      <w:r>
        <w:rPr>
          <w:rFonts w:ascii="Georgia" w:eastAsia="Times New Roman" w:hAnsi="Georgia" w:cs="Calibri"/>
          <w:color w:val="333333"/>
          <w:sz w:val="20"/>
          <w:szCs w:val="20"/>
          <w:lang w:val="en"/>
        </w:rPr>
        <w:lastRenderedPageBreak/>
        <w:t>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xml:space="preserve">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w:t>
      </w:r>
      <w:r>
        <w:rPr>
          <w:rFonts w:ascii="Georgia" w:eastAsia="Times New Roman" w:hAnsi="Georgia" w:cs="Calibri"/>
          <w:color w:val="333333"/>
          <w:sz w:val="20"/>
          <w:szCs w:val="20"/>
          <w:lang w:val="en"/>
        </w:rPr>
        <w:lastRenderedPageBreak/>
        <w:t>of cases specified in Article III. If the case before the federal court does not fall within one of those categories, the federal court cannot constitutionally hear the case because it does not have subject matter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 personal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 </w:t>
      </w:r>
      <w:r>
        <w:rPr>
          <w:rFonts w:ascii="Georgia" w:eastAsia="Times New Roman" w:hAnsi="Georgia" w:cs="Calibri"/>
          <w:b/>
          <w:color w:val="333333"/>
          <w:sz w:val="20"/>
          <w:szCs w:val="20"/>
          <w:u w:val="single"/>
          <w:lang w:val="en"/>
        </w:rPr>
        <w:t>statute of limitations</w:t>
      </w:r>
      <w:r>
        <w:rPr>
          <w:rFonts w:ascii="Georgia" w:eastAsia="Times New Roman" w:hAnsi="Georgia" w:cs="Calibri"/>
          <w:color w:val="333333"/>
          <w:sz w:val="20"/>
          <w:szCs w:val="20"/>
          <w:lang w:val="en"/>
        </w:rPr>
        <w:t>, it will be too late to refile in the correct court system. Such cases will be routinely dismissed, regardless of how deserving the plaintiff might be in his quest for justice. (The plaintiff’s only remedy at that point would be to sue his lawyer for negligence for failing to mind the clock and get to the right court in time!)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Exclusive Jurisdiction in Federal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w:t>
      </w:r>
      <w:r>
        <w:rPr>
          <w:rFonts w:ascii="Georgia" w:eastAsia="Times New Roman" w:hAnsi="Georgia" w:cs="Calibri"/>
          <w:color w:val="333333"/>
          <w:sz w:val="20"/>
          <w:szCs w:val="20"/>
          <w:lang w:val="en"/>
        </w:rPr>
        <w:lastRenderedPageBreak/>
        <w:t>Citizens of the same State claiming Lands under Grants of different States, and between a State, or the Citizens thereof, and foreign States, Citizens or Subjects.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excluding diversity cases, we can assemble a list of the kinds of cases that can only be heard in federal courts. The list looks like this:</w:t>
      </w:r>
    </w:p>
    <w:p w:rsidR="00A86150" w:rsidRDefault="00F714D4">
      <w:pPr>
        <w:pStyle w:val="ListParagraph"/>
        <w:numPr>
          <w:ilvl w:val="0"/>
          <w:numId w:val="6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Suits between states</w:t>
      </w:r>
      <w:r>
        <w:rPr>
          <w:rFonts w:ascii="Georgia" w:eastAsia="Times New Roman" w:hAnsi="Georgia" w:cs="Calibri"/>
          <w:color w:val="333333"/>
          <w:sz w:val="20"/>
          <w:szCs w:val="20"/>
          <w:lang w:val="en"/>
        </w:rPr>
        <w:t>. Cases in which two or more states are a party.</w:t>
      </w:r>
    </w:p>
    <w:p w:rsidR="00A86150" w:rsidRDefault="00F714D4">
      <w:pPr>
        <w:pStyle w:val="ListParagraph"/>
        <w:numPr>
          <w:ilvl w:val="0"/>
          <w:numId w:val="6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Cases involving ambassadors and other high-ranking public figures</w:t>
      </w:r>
      <w:r>
        <w:rPr>
          <w:rFonts w:ascii="Georgia" w:eastAsia="Times New Roman" w:hAnsi="Georgia" w:cs="Calibri"/>
          <w:color w:val="333333"/>
          <w:sz w:val="20"/>
          <w:szCs w:val="20"/>
          <w:lang w:val="en"/>
        </w:rPr>
        <w:t>. Cases arising between foreign ambassadors and other high-ranking public officials.</w:t>
      </w:r>
    </w:p>
    <w:p w:rsidR="00A86150" w:rsidRDefault="00F714D4">
      <w:pPr>
        <w:pStyle w:val="ListParagraph"/>
        <w:numPr>
          <w:ilvl w:val="0"/>
          <w:numId w:val="6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Federal crimes</w:t>
      </w:r>
      <w:r>
        <w:rPr>
          <w:rFonts w:ascii="Georgia" w:eastAsia="Times New Roman" w:hAnsi="Georgia" w:cs="Calibri"/>
          <w:color w:val="333333"/>
          <w:sz w:val="20"/>
          <w:szCs w:val="20"/>
          <w:lang w:val="en"/>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A86150" w:rsidRDefault="00F714D4">
      <w:pPr>
        <w:pStyle w:val="ListParagraph"/>
        <w:numPr>
          <w:ilvl w:val="0"/>
          <w:numId w:val="6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Bankruptcy</w:t>
      </w:r>
      <w:r>
        <w:rPr>
          <w:rFonts w:ascii="Georgia" w:eastAsia="Times New Roman" w:hAnsi="Georgia" w:cs="Calibri"/>
          <w:color w:val="333333"/>
          <w:sz w:val="20"/>
          <w:szCs w:val="20"/>
          <w:lang w:val="en"/>
        </w:rPr>
        <w:t>. The statutory procedure, usually triggered by insolvency, by which a person is relieved of most debts and undergoes a judicially supervised reorganization or liquidation for the benefit of the person’s creditors.</w:t>
      </w:r>
    </w:p>
    <w:p w:rsidR="00A86150" w:rsidRDefault="00F714D4">
      <w:pPr>
        <w:pStyle w:val="ListParagraph"/>
        <w:numPr>
          <w:ilvl w:val="0"/>
          <w:numId w:val="6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Patent, copyright, and trademark cases</w:t>
      </w:r>
    </w:p>
    <w:p w:rsidR="00A86150" w:rsidRDefault="00F714D4">
      <w:pPr>
        <w:pStyle w:val="ListParagraph"/>
        <w:numPr>
          <w:ilvl w:val="0"/>
          <w:numId w:val="6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Patent</w:t>
      </w:r>
      <w:r>
        <w:rPr>
          <w:rFonts w:ascii="Georgia" w:eastAsia="Times New Roman" w:hAnsi="Georgia" w:cs="Calibri"/>
          <w:color w:val="333333"/>
          <w:sz w:val="20"/>
          <w:szCs w:val="20"/>
          <w:lang w:val="en"/>
        </w:rPr>
        <w:t>. The exclusive right to make, use, or sell an invention for a specified period (usually seventeen years), granted by the federal government to the inventor if the device or process is novel, useful, and nonobvious.</w:t>
      </w:r>
    </w:p>
    <w:p w:rsidR="00A86150" w:rsidRDefault="00F714D4">
      <w:pPr>
        <w:pStyle w:val="ListParagraph"/>
        <w:numPr>
          <w:ilvl w:val="0"/>
          <w:numId w:val="6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A86150" w:rsidRDefault="00F714D4">
      <w:pPr>
        <w:pStyle w:val="ListParagraph"/>
        <w:numPr>
          <w:ilvl w:val="0"/>
          <w:numId w:val="6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Trademark</w:t>
      </w:r>
      <w:r>
        <w:rPr>
          <w:rFonts w:ascii="Georgia" w:eastAsia="Times New Roman" w:hAnsi="Georgia" w:cs="Calibri"/>
          <w:color w:val="333333"/>
          <w:sz w:val="20"/>
          <w:szCs w:val="20"/>
          <w:lang w:val="en"/>
        </w:rPr>
        <w:t>. A word, phrase, logo, or other graphic symbol used by a manufacturer or seller to distinguish its product or products from those of others.</w:t>
      </w:r>
    </w:p>
    <w:p w:rsidR="00A86150" w:rsidRDefault="00F714D4">
      <w:pPr>
        <w:numPr>
          <w:ilvl w:val="0"/>
          <w:numId w:val="6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Admiralty</w:t>
      </w:r>
      <w:r>
        <w:rPr>
          <w:rFonts w:ascii="Georgia" w:eastAsia="Times New Roman" w:hAnsi="Georgia" w:cs="Calibri"/>
          <w:color w:val="333333"/>
          <w:sz w:val="20"/>
          <w:szCs w:val="20"/>
          <w:lang w:val="en"/>
        </w:rPr>
        <w:t>. The system of laws that has grown out of the practice of admiralty courts: courts that exercise jurisdiction over all maritime contracts, torts, injuries, and offenses.</w:t>
      </w:r>
    </w:p>
    <w:p w:rsidR="00A86150" w:rsidRDefault="00F714D4">
      <w:pPr>
        <w:pStyle w:val="ListParagraph"/>
        <w:numPr>
          <w:ilvl w:val="0"/>
          <w:numId w:val="6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Antitrust</w:t>
      </w:r>
      <w:r>
        <w:rPr>
          <w:rFonts w:ascii="Georgia" w:eastAsia="Times New Roman" w:hAnsi="Georgia" w:cs="Calibri"/>
          <w:color w:val="333333"/>
          <w:sz w:val="20"/>
          <w:szCs w:val="20"/>
          <w:lang w:val="en"/>
        </w:rPr>
        <w:t>. Federal laws designed to protect trade and commerce from restraining monopolies, price fixing, and price discrimination.</w:t>
      </w:r>
    </w:p>
    <w:p w:rsidR="00A86150" w:rsidRDefault="00F714D4">
      <w:pPr>
        <w:pStyle w:val="ListParagraph"/>
        <w:numPr>
          <w:ilvl w:val="0"/>
          <w:numId w:val="6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Securities and banking regulation</w:t>
      </w:r>
      <w:r>
        <w:rPr>
          <w:rFonts w:ascii="Georgia" w:eastAsia="Times New Roman" w:hAnsi="Georgia" w:cs="Calibri"/>
          <w:color w:val="333333"/>
          <w:sz w:val="20"/>
          <w:szCs w:val="20"/>
          <w:lang w:val="en"/>
        </w:rPr>
        <w:t>. The body of law protecting the public by regulating the registration, offering, and trading of securities and the regulation of banking practices.</w:t>
      </w:r>
    </w:p>
    <w:p w:rsidR="00A86150" w:rsidRDefault="00F714D4">
      <w:pPr>
        <w:pStyle w:val="ListParagraph"/>
        <w:numPr>
          <w:ilvl w:val="0"/>
          <w:numId w:val="6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Other cases specified by federal statute</w:t>
      </w:r>
      <w:r>
        <w:rPr>
          <w:rFonts w:ascii="Georgia" w:eastAsia="Times New Roman" w:hAnsi="Georgia" w:cs="Calibri"/>
          <w:color w:val="333333"/>
          <w:sz w:val="20"/>
          <w:szCs w:val="20"/>
          <w:lang w:val="en"/>
        </w:rPr>
        <w:t>. Any other cases specified by a federal statute where Congress declares that federal courts will have exclusive jurisdiction.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Concurrent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 </w:t>
      </w:r>
      <w:r>
        <w:rPr>
          <w:rFonts w:ascii="Georgia" w:eastAsia="Times New Roman" w:hAnsi="Georgia" w:cs="Calibri"/>
          <w:b/>
          <w:color w:val="333333"/>
          <w:sz w:val="20"/>
          <w:szCs w:val="20"/>
          <w:u w:val="single"/>
          <w:lang w:val="en"/>
        </w:rPr>
        <w:t>concurrent jurisdiction</w:t>
      </w:r>
      <w:r>
        <w:rPr>
          <w:rFonts w:ascii="Georgia" w:eastAsia="Times New Roman" w:hAnsi="Georgia" w:cs="Calibri"/>
          <w:color w:val="333333"/>
          <w:sz w:val="20"/>
          <w:szCs w:val="20"/>
          <w:lang w:val="en"/>
        </w:rPr>
        <w:t> of any federal cause of action unless Congress has given exclusive jurisdiction to federal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 </w:t>
      </w:r>
      <w:r>
        <w:rPr>
          <w:rFonts w:ascii="Georgia" w:eastAsia="Times New Roman" w:hAnsi="Georgia" w:cs="Calibri"/>
          <w:color w:val="2689C6"/>
          <w:sz w:val="20"/>
          <w:szCs w:val="20"/>
          <w:lang w:val="en"/>
        </w:rPr>
        <w:t>Note 3.18 "Summary of Rules on Subject Matter Jurisdiction"</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 of Rules on Subject Matter Jurisdiction</w:t>
      </w:r>
    </w:p>
    <w:p w:rsidR="00A86150" w:rsidRDefault="00F714D4">
      <w:pPr>
        <w:pStyle w:val="ListParagraph"/>
        <w:numPr>
          <w:ilvl w:val="0"/>
          <w:numId w:val="64"/>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court must always have subject matter jurisdiction, and personal jurisdiction over at least one defendant, to hear and decide a case.</w:t>
      </w:r>
    </w:p>
    <w:p w:rsidR="00A86150" w:rsidRDefault="00F714D4">
      <w:pPr>
        <w:pStyle w:val="ListParagraph"/>
        <w:numPr>
          <w:ilvl w:val="0"/>
          <w:numId w:val="64"/>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 court will have subject matter jurisdiction over any case that is not required to be brought in a federal court.</w:t>
      </w:r>
    </w:p>
    <w:p w:rsidR="00A86150" w:rsidRDefault="00F714D4">
      <w:pPr>
        <w:shd w:val="clear" w:color="auto" w:fill="F4F4F4"/>
        <w:spacing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cases can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A86150" w:rsidRDefault="00F714D4">
      <w:pPr>
        <w:pStyle w:val="ListParagraph"/>
        <w:numPr>
          <w:ilvl w:val="0"/>
          <w:numId w:val="64"/>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court will have subject matter jurisdiction over any case that is either based on a federal law (statute, case, or US Constitution)</w:t>
      </w:r>
    </w:p>
    <w:p w:rsidR="00A86150" w:rsidRDefault="00F714D4">
      <w:pPr>
        <w:shd w:val="clear" w:color="auto" w:fill="F4F4F4"/>
        <w:spacing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court will have subject matter jurisdiction over any case based on state law where the parties are (1) from different states and (2) the amount in controversy is at least $75,000.</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 different states requirement means that no plaintiff can have permanent residence in a state where any defendant has permanent residence—there must be complete diversity of citizenship as between all plaintiffs and defendants.</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The amount in controversy requirement means that a good-faith estimate of the amount the plaintiff may recover is at least $75,000.</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For purposes of permanent residence, a corporation is considered a resident where it is incorporated AND where it has a principal place of business.</w:t>
      </w:r>
    </w:p>
    <w:p w:rsidR="00A86150" w:rsidRDefault="00F714D4">
      <w:pPr>
        <w:pStyle w:val="ListParagraph"/>
        <w:numPr>
          <w:ilvl w:val="0"/>
          <w:numId w:val="64"/>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diversity cases, the following rules apply.</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Federal civil procedure rules apply to how the case is conducted before and during trial and any appeals, but</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State law will be used as the basis for a determination of legal rights and responsibilities.</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 </w:t>
      </w:r>
      <w:r>
        <w:rPr>
          <w:rFonts w:ascii="Georgia" w:eastAsia="Times New Roman" w:hAnsi="Georgia" w:cs="Calibri"/>
          <w:i/>
          <w:iCs/>
          <w:color w:val="333333"/>
          <w:sz w:val="20"/>
          <w:szCs w:val="20"/>
          <w:lang w:val="en"/>
        </w:rPr>
        <w:t>Anna v. Bobby</w:t>
      </w:r>
      <w:r>
        <w:rPr>
          <w:rFonts w:ascii="Georgia" w:eastAsia="Times New Roman" w:hAnsi="Georgia" w:cs="Calibri"/>
          <w:color w:val="333333"/>
          <w:sz w:val="20"/>
          <w:szCs w:val="20"/>
          <w:lang w:val="en"/>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Why do some nonresident defendants prefer to be in federal court?</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In the state court, the judge is elected, and the jury may be familiar with or sympathetic to the “local” plaintiff.</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federal court provides a more neutral forum, with an appointed, life-tenured judge and a wider pool of potential jurors (drawn from a wider geographical area).</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If a defendant does not want to be in state court and there is diversity, what is to be done?</w:t>
      </w:r>
    </w:p>
    <w:p w:rsidR="00A86150" w:rsidRDefault="00F714D4">
      <w:pPr>
        <w:shd w:val="clear" w:color="auto" w:fill="F4F4F4"/>
        <w:spacing w:before="240"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Make a motion for removal to the federal court.</w:t>
      </w:r>
    </w:p>
    <w:p w:rsidR="00A86150" w:rsidRDefault="00F714D4">
      <w:pPr>
        <w:shd w:val="clear" w:color="auto" w:fill="F4F4F4"/>
        <w:spacing w:before="24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federal court will not want to add to its caseload, or docket, but must take the case unless there is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complete diversity of citizenship or the amount in controversy is </w:t>
      </w:r>
      <w:r>
        <w:rPr>
          <w:rFonts w:ascii="Georgia" w:eastAsia="Times New Roman" w:hAnsi="Georgia" w:cs="Calibri"/>
          <w:i/>
          <w:iCs/>
          <w:color w:val="333333"/>
          <w:sz w:val="20"/>
          <w:szCs w:val="20"/>
          <w:lang w:val="en"/>
        </w:rPr>
        <w:t>less than</w:t>
      </w:r>
      <w:r>
        <w:rPr>
          <w:rFonts w:ascii="Georgia" w:eastAsia="Times New Roman" w:hAnsi="Georgia" w:cs="Calibri"/>
          <w:color w:val="333333"/>
          <w:sz w:val="20"/>
          <w:szCs w:val="20"/>
          <w:lang w:val="en"/>
        </w:rPr>
        <w:t> $75,000.</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i/>
          <w:iCs/>
          <w:color w:val="333333"/>
          <w:sz w:val="30"/>
          <w:szCs w:val="30"/>
          <w:lang w:val="en"/>
        </w:rPr>
        <w:t>Robinson v. Audi</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file in an Oklahoma state court, but how will they (their attorney or the court) know if the state court has subject matter jurisdiction? Unless the case is </w:t>
      </w:r>
      <w:r>
        <w:rPr>
          <w:rFonts w:ascii="Georgia" w:eastAsia="Times New Roman" w:hAnsi="Georgia" w:cs="Calibri"/>
          <w:i/>
          <w:iCs/>
          <w:color w:val="333333"/>
          <w:sz w:val="20"/>
          <w:szCs w:val="20"/>
          <w:lang w:val="en"/>
        </w:rPr>
        <w:t>required</w:t>
      </w:r>
      <w:r>
        <w:rPr>
          <w:rFonts w:ascii="Georgia" w:eastAsia="Times New Roman" w:hAnsi="Georgia" w:cs="Calibri"/>
          <w:color w:val="333333"/>
          <w:sz w:val="20"/>
          <w:szCs w:val="20"/>
          <w:lang w:val="en"/>
        </w:rPr>
        <w:t> to be in a federal court (i.e., unless the federal courts have exclusive jurisdiction over this kind of case), </w:t>
      </w:r>
      <w:r>
        <w:rPr>
          <w:rFonts w:ascii="Georgia" w:eastAsia="Times New Roman" w:hAnsi="Georgia" w:cs="Calibri"/>
          <w:i/>
          <w:iCs/>
          <w:color w:val="333333"/>
          <w:sz w:val="20"/>
          <w:szCs w:val="20"/>
          <w:lang w:val="en"/>
        </w:rPr>
        <w:t>any</w:t>
      </w:r>
      <w:r>
        <w:rPr>
          <w:rFonts w:ascii="Georgia" w:eastAsia="Times New Roman" w:hAnsi="Georgia" w:cs="Calibri"/>
          <w:color w:val="333333"/>
          <w:sz w:val="20"/>
          <w:szCs w:val="20"/>
          <w:lang w:val="en"/>
        </w:rPr>
        <w:t xml:space="preserve"> state court system will have subject matter jurisdiction, including Oklahoma’s state court system. But if their claim is for a significant amount of money, they cannot file in small claims court, probate court, or any court in Oklahoma that does not have </w:t>
      </w:r>
      <w:r>
        <w:rPr>
          <w:rFonts w:ascii="Georgia" w:eastAsia="Times New Roman" w:hAnsi="Georgia" w:cs="Calibri"/>
          <w:color w:val="333333"/>
          <w:sz w:val="20"/>
          <w:szCs w:val="20"/>
          <w:lang w:val="en"/>
        </w:rPr>
        <w:lastRenderedPageBreak/>
        <w:t>statutory jurisdiction over their claim. They will need to file in a court of general jurisdiction. In short, even filing in the right court system (state versus federal), the plaintiff must be careful to find the court that has subject matter jurisdiction.</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A86150" w:rsidRDefault="00F714D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3.1 Sample Conflict-of-Law Principles</w:t>
      </w:r>
    </w:p>
    <w:tbl>
      <w:tblPr>
        <w:tblW w:w="0" w:type="auto"/>
        <w:tblCellMar>
          <w:left w:w="0" w:type="dxa"/>
          <w:right w:w="0" w:type="dxa"/>
        </w:tblCellMar>
        <w:tblLook w:val="04A0" w:firstRow="1" w:lastRow="0" w:firstColumn="1" w:lastColumn="0" w:noHBand="0" w:noVBand="1"/>
      </w:tblPr>
      <w:tblGrid>
        <w:gridCol w:w="4681"/>
        <w:gridCol w:w="4829"/>
      </w:tblGrid>
      <w:tr w:rsidR="00A8615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Law to be Applied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the injury was inflicted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where the property is located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Domicile of deceased (not location of property)</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made</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to be performed*</w:t>
            </w:r>
          </w:p>
        </w:tc>
      </w:tr>
      <w:tr w:rsidR="00A8615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*Or, in many states, the state with the most significant contacts with the contractual activities</w:t>
            </w:r>
          </w:p>
        </w:tc>
      </w:tr>
      <w:tr w:rsidR="00A8615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Note: Choice-of-law clauses in a contract will ordinarily be honored by judges in state and federal courts.</w:t>
            </w:r>
          </w:p>
        </w:tc>
      </w:tr>
    </w:tbl>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Procedure, Including Due Process and Personal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consider how lawsuits are begun and how the court knows that it has both subject matter jurisdiction and personal jurisdiction over at least one of the named defendants.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are not the only institutions that can resolve disputes. In </w:t>
      </w:r>
      <w:r>
        <w:rPr>
          <w:rFonts w:ascii="Georgia" w:eastAsia="Times New Roman" w:hAnsi="Georgia" w:cs="Calibri"/>
          <w:color w:val="2689C6"/>
          <w:sz w:val="20"/>
          <w:szCs w:val="20"/>
          <w:lang w:val="en"/>
        </w:rPr>
        <w:t>Section 3.8 "Alternative Means of Resolving Disputes"</w:t>
      </w:r>
      <w:r>
        <w:rPr>
          <w:rFonts w:ascii="Georgia" w:eastAsia="Times New Roman" w:hAnsi="Georgia" w:cs="Calibri"/>
          <w:color w:val="333333"/>
          <w:sz w:val="20"/>
          <w:szCs w:val="20"/>
          <w:lang w:val="en"/>
        </w:rPr>
        <w:t xml:space="preserve">, we will discuss other dispute-resolution forums, such as arbitration and mediation. </w:t>
      </w:r>
      <w:r>
        <w:rPr>
          <w:rFonts w:ascii="Georgia" w:eastAsia="Times New Roman" w:hAnsi="Georgia" w:cs="Calibri"/>
          <w:color w:val="333333"/>
          <w:sz w:val="20"/>
          <w:szCs w:val="20"/>
          <w:lang w:val="en"/>
        </w:rPr>
        <w:lastRenderedPageBreak/>
        <w:t>For now, let us consider how courts make decisions in civil disputes. Judicial decision making in the context of litigation (civil lawsuits) is a distinctive form of dispute resolution.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 </w:t>
      </w:r>
      <w:r>
        <w:rPr>
          <w:rFonts w:ascii="Georgia" w:eastAsia="Times New Roman" w:hAnsi="Georgia" w:cs="Calibri"/>
          <w:i/>
          <w:iCs/>
          <w:color w:val="333333"/>
          <w:sz w:val="20"/>
          <w:szCs w:val="20"/>
          <w:lang w:val="en"/>
        </w:rPr>
        <w:t>must</w:t>
      </w:r>
      <w:r>
        <w:rPr>
          <w:rFonts w:ascii="Georgia" w:eastAsia="Times New Roman" w:hAnsi="Georgia" w:cs="Calibri"/>
          <w:color w:val="333333"/>
          <w:sz w:val="20"/>
          <w:szCs w:val="20"/>
          <w:lang w:val="en"/>
        </w:rPr>
        <w:t xml:space="preserve">decide cases. (For example, a legislature need not enact a law, no matter how many people petition it to do so.) Fourth, the court must respond in a certain way. The judge must pay attention to the </w:t>
      </w:r>
      <w:r>
        <w:rPr>
          <w:rFonts w:ascii="Georgia" w:eastAsia="Times New Roman" w:hAnsi="Georgia" w:cs="Calibri"/>
          <w:color w:val="333333"/>
          <w:sz w:val="20"/>
          <w:szCs w:val="20"/>
          <w:lang w:val="en"/>
        </w:rPr>
        <w:lastRenderedPageBreak/>
        <w:t>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all cases, the plaintiff—the party making a claim and initiating the lawsuit (in a criminal case the plaintiff is the prosecution)—has the burden of proving his case. If he fails to prove it, the defendant—the party being sued or prosecuted—will win.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prosecutions carry the most rigorous burden of proof: the government must prove its case against the defendant </w:t>
      </w:r>
      <w:r>
        <w:rPr>
          <w:rFonts w:ascii="Georgia" w:eastAsia="Times New Roman" w:hAnsi="Georgia" w:cs="Calibri"/>
          <w:i/>
          <w:iCs/>
          <w:color w:val="333333"/>
          <w:sz w:val="20"/>
          <w:szCs w:val="20"/>
          <w:lang w:val="en"/>
        </w:rPr>
        <w:t>beyond a reasonable doubt</w:t>
      </w:r>
      <w:r>
        <w:rPr>
          <w:rFonts w:ascii="Georgia" w:eastAsia="Times New Roman" w:hAnsi="Georgia" w:cs="Calibri"/>
          <w:color w:val="333333"/>
          <w:sz w:val="20"/>
          <w:szCs w:val="20"/>
          <w:lang w:val="en"/>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By contrast, the burden of proof in ordinary civil cases—those dealing with contracts, personal injuries, and most of the cases in this book—is a </w:t>
      </w:r>
      <w:r>
        <w:rPr>
          <w:rFonts w:ascii="Georgia" w:eastAsia="Times New Roman" w:hAnsi="Georgia" w:cs="Calibri"/>
          <w:i/>
          <w:iCs/>
          <w:color w:val="333333"/>
          <w:sz w:val="20"/>
          <w:szCs w:val="20"/>
          <w:lang w:val="en"/>
        </w:rPr>
        <w:t>preponderance of the evidence</w:t>
      </w:r>
      <w:r>
        <w:rPr>
          <w:rFonts w:ascii="Georgia" w:eastAsia="Times New Roman" w:hAnsi="Georgia" w:cs="Calibri"/>
          <w:color w:val="333333"/>
          <w:sz w:val="20"/>
          <w:szCs w:val="20"/>
          <w:lang w:val="en"/>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Adjudication and the adversary system imply certain other characteristics of courts. Judges must be impartial; those with a personal interest in a matter must refuse to hear it. The ruling of a court, after all appeals are exhausted, is final. This principle is known as </w:t>
      </w:r>
      <w:r>
        <w:rPr>
          <w:rFonts w:ascii="Georgia" w:eastAsia="Times New Roman" w:hAnsi="Georgia" w:cs="Calibri"/>
          <w:b/>
          <w:color w:val="333333"/>
          <w:sz w:val="20"/>
          <w:szCs w:val="20"/>
          <w:u w:val="single"/>
          <w:lang w:val="en"/>
        </w:rPr>
        <w:t>res judicata</w:t>
      </w:r>
      <w:r>
        <w:rPr>
          <w:rFonts w:ascii="Georgia" w:eastAsia="Times New Roman" w:hAnsi="Georgia" w:cs="Calibri"/>
          <w:color w:val="333333"/>
          <w:sz w:val="20"/>
          <w:szCs w:val="20"/>
          <w:lang w:val="en"/>
        </w:rPr>
        <w:t> (Latin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How a Case Proceeds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Complaint and Summons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Jurisdiction and Venue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Service of Process and Personal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the federal court in Florida had to consider whether it was constitutionally permissible to exercise personal jurisdiction over a Michigan franchisee.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Summary of Rules on Personal Jurisdiction</w:t>
      </w:r>
    </w:p>
    <w:p w:rsidR="00A86150" w:rsidRDefault="00F714D4">
      <w:pPr>
        <w:pStyle w:val="ListParagraph"/>
        <w:numPr>
          <w:ilvl w:val="0"/>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court determines that it has subject matter jurisdiction, it must find at least one defendant over which it is “fair” (i.e., in accord with due process) to exercise personal jurisdiction.</w:t>
      </w:r>
    </w:p>
    <w:p w:rsidR="00A86150" w:rsidRDefault="00F714D4">
      <w:pPr>
        <w:pStyle w:val="ListParagraph"/>
        <w:numPr>
          <w:ilvl w:val="0"/>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plaintiff sues five defendants and the court has personal jurisdiction over just one, the case can be heard, but the court cannot make a judgment against the other four.</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if the plaintiff loses against defendant 1, he can go elsewhere (to another state or states) and sue defendants 2, 3, 4, or 5.</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decision in the first lawsuit (against defendant 1) does not determine the liability of the nonparticipating defendants.</w:t>
      </w:r>
    </w:p>
    <w:p w:rsidR="00A86150" w:rsidRDefault="00F714D4">
      <w:pPr>
        <w:shd w:val="clear" w:color="auto" w:fill="F4F4F4"/>
        <w:spacing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involves the principle of res judicata, which means that you can’t bring the same action against the same person (or entity) twice. It’s like the civil side of double jeopardy. </w:t>
      </w:r>
      <w:r>
        <w:rPr>
          <w:rFonts w:ascii="Georgia" w:eastAsia="Times New Roman" w:hAnsi="Georgia" w:cs="Calibri"/>
          <w:i/>
          <w:iCs/>
          <w:color w:val="333333"/>
          <w:sz w:val="20"/>
          <w:szCs w:val="20"/>
          <w:lang w:val="en"/>
        </w:rPr>
        <w:t>Res</w:t>
      </w:r>
      <w:r>
        <w:rPr>
          <w:rFonts w:ascii="Georgia" w:eastAsia="Times New Roman" w:hAnsi="Georgia" w:cs="Calibri"/>
          <w:color w:val="333333"/>
          <w:sz w:val="20"/>
          <w:szCs w:val="20"/>
          <w:lang w:val="en"/>
        </w:rPr>
        <w:t> means “thing,” and </w:t>
      </w:r>
      <w:r>
        <w:rPr>
          <w:rFonts w:ascii="Georgia" w:eastAsia="Times New Roman" w:hAnsi="Georgia" w:cs="Calibri"/>
          <w:i/>
          <w:iCs/>
          <w:color w:val="333333"/>
          <w:sz w:val="20"/>
          <w:szCs w:val="20"/>
          <w:lang w:val="en"/>
        </w:rPr>
        <w:t>judicata</w:t>
      </w:r>
      <w:r>
        <w:rPr>
          <w:rFonts w:ascii="Georgia" w:eastAsia="Times New Roman" w:hAnsi="Georgia" w:cs="Calibri"/>
          <w:color w:val="333333"/>
          <w:sz w:val="20"/>
          <w:szCs w:val="20"/>
          <w:lang w:val="en"/>
        </w:rPr>
        <w:t> means “adjudicated.” Thus the “thing” has been “adjudicated” and should not be judged again. But, as to nonparticipating parties, it is not over. If you have a </w:t>
      </w:r>
      <w:r>
        <w:rPr>
          <w:rFonts w:ascii="Georgia" w:eastAsia="Times New Roman" w:hAnsi="Georgia" w:cs="Calibri"/>
          <w:i/>
          <w:iCs/>
          <w:color w:val="333333"/>
          <w:sz w:val="20"/>
          <w:szCs w:val="20"/>
          <w:lang w:val="en"/>
        </w:rPr>
        <w:t>different</w:t>
      </w:r>
      <w:r>
        <w:rPr>
          <w:rFonts w:ascii="Georgia" w:eastAsia="Times New Roman" w:hAnsi="Georgia" w:cs="Calibri"/>
          <w:color w:val="333333"/>
          <w:sz w:val="20"/>
          <w:szCs w:val="20"/>
          <w:lang w:val="en"/>
        </w:rPr>
        <w:t> case against the same defendant—one that arises out of a completely different situation—that case is not barred by res judicata.</w:t>
      </w:r>
    </w:p>
    <w:p w:rsidR="00A86150" w:rsidRDefault="00F714D4">
      <w:pPr>
        <w:pStyle w:val="ListParagraph"/>
        <w:numPr>
          <w:ilvl w:val="0"/>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Service of process is a necessary (but not sufficient) condition for getting personal jurisdiction over a particular defendant (see rule 4).</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get a judgment in a civil action, the plaintiff must serve a copy of the complaint and a summons on the defendant.</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ways to do this.</w:t>
      </w:r>
    </w:p>
    <w:p w:rsidR="00A86150" w:rsidRDefault="00F714D4">
      <w:pPr>
        <w:pStyle w:val="ListParagraph"/>
        <w:numPr>
          <w:ilvl w:val="0"/>
          <w:numId w:val="6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personally serves a complaint on the defendant.</w:t>
      </w:r>
    </w:p>
    <w:p w:rsidR="00A86150" w:rsidRDefault="00F714D4">
      <w:pPr>
        <w:pStyle w:val="ListParagraph"/>
        <w:numPr>
          <w:ilvl w:val="0"/>
          <w:numId w:val="6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leaves a copy of the summons and complaint at the residence of the defendant, in the hands of a competent person.</w:t>
      </w:r>
    </w:p>
    <w:p w:rsidR="00A86150" w:rsidRDefault="00F714D4">
      <w:pPr>
        <w:pStyle w:val="ListParagraph"/>
        <w:numPr>
          <w:ilvl w:val="0"/>
          <w:numId w:val="6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sends the summons and complaint by certified mail, return receipt requested.</w:t>
      </w:r>
    </w:p>
    <w:p w:rsidR="00A86150" w:rsidRDefault="00F714D4">
      <w:pPr>
        <w:pStyle w:val="ListParagraph"/>
        <w:numPr>
          <w:ilvl w:val="0"/>
          <w:numId w:val="6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if all other means are not possible, notifies the defendant by publication in a newspaper having a minimum number of readers (as may be specified by law).</w:t>
      </w:r>
    </w:p>
    <w:p w:rsidR="00A86150" w:rsidRDefault="00F714D4">
      <w:pPr>
        <w:pStyle w:val="ListParagraph"/>
        <w:numPr>
          <w:ilvl w:val="0"/>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Consent. The defendant agrees to the court’s jurisdiction by coming to court, answering the complaint, and having the matter litigated there.</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Domicile. The defendant is a permanent resident of that state.</w:t>
      </w:r>
    </w:p>
    <w:p w:rsidR="00A86150" w:rsidRDefault="00F714D4">
      <w:pPr>
        <w:pStyle w:val="ListParagraph"/>
        <w:numPr>
          <w:ilvl w:val="1"/>
          <w:numId w:val="65"/>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Event. The defendant did something in that state, related to the lawsuit, that makes it fair for the state to say, “Come back and defend!”</w:t>
      </w:r>
    </w:p>
    <w:p w:rsidR="00A86150" w:rsidRDefault="00F714D4">
      <w:pPr>
        <w:pStyle w:val="ListParagraph"/>
        <w:numPr>
          <w:ilvl w:val="1"/>
          <w:numId w:val="65"/>
        </w:num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Service of process within the state will effectively provide personal jurisdiction over the nonresident.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Fonts w:ascii="Georgia" w:eastAsia="Times New Roman" w:hAnsi="Georgia" w:cs="Calibri"/>
          <w:i/>
          <w:iCs/>
          <w:color w:val="333333"/>
          <w:sz w:val="20"/>
          <w:szCs w:val="20"/>
          <w:lang w:val="en"/>
        </w:rPr>
        <w:t>in personam</w:t>
      </w:r>
      <w:r>
        <w:rPr>
          <w:rFonts w:ascii="Georgia" w:eastAsia="Times New Roman" w:hAnsi="Georgia" w:cs="Calibri"/>
          <w:color w:val="333333"/>
          <w:sz w:val="20"/>
          <w:szCs w:val="20"/>
          <w:lang w:val="en"/>
        </w:rPr>
        <w:t> 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xml:space="preserve">) tries to make the fairness mandate of the due process clause more specific. So do other tests articulated in the case (such as “does not offend traditional notions of fair play and substantial justice”). These tests are posed by the Supreme Court and heeded by all lower courts in </w:t>
      </w:r>
      <w:r>
        <w:rPr>
          <w:rFonts w:ascii="Georgia" w:eastAsia="Times New Roman" w:hAnsi="Georgia" w:cs="Calibri"/>
          <w:color w:val="333333"/>
          <w:sz w:val="20"/>
          <w:szCs w:val="20"/>
          <w:lang w:val="en"/>
        </w:rPr>
        <w:lastRenderedPageBreak/>
        <w:t>order to honor the provisions of the Fourteenth Amendment’s due process guarantees. These tests are </w:t>
      </w:r>
      <w:r>
        <w:rPr>
          <w:rFonts w:ascii="Georgia" w:eastAsia="Times New Roman" w:hAnsi="Georgia" w:cs="Calibri"/>
          <w:i/>
          <w:iCs/>
          <w:color w:val="333333"/>
          <w:sz w:val="20"/>
          <w:szCs w:val="20"/>
          <w:lang w:val="en"/>
        </w:rPr>
        <w:t>in addition to</w:t>
      </w:r>
      <w:r>
        <w:rPr>
          <w:rFonts w:ascii="Georgia" w:eastAsia="Times New Roman" w:hAnsi="Georgia" w:cs="Calibri"/>
          <w:color w:val="333333"/>
          <w:sz w:val="20"/>
          <w:szCs w:val="20"/>
          <w:lang w:val="en"/>
        </w:rPr>
        <w:t> any state long-arm statute’s instructions to courts regarding the assertion of personal jurisdiction over nonresidents.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Choice of Law and Choice of Forum Clauses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 </w:t>
      </w:r>
      <w:r>
        <w:rPr>
          <w:rFonts w:ascii="Georgia" w:eastAsia="Times New Roman" w:hAnsi="Georgia" w:cs="Calibri"/>
          <w:color w:val="2689C6"/>
          <w:sz w:val="20"/>
          <w:szCs w:val="20"/>
          <w:lang w:val="en"/>
        </w:rPr>
        <w:t>Table 3.1 "Sample Conflict-of-Law Principles"</w:t>
      </w:r>
      <w:r>
        <w:rPr>
          <w:rFonts w:ascii="Georgia" w:eastAsia="Times New Roman" w:hAnsi="Georgia" w:cs="Calibri"/>
          <w:color w:val="333333"/>
          <w:sz w:val="20"/>
          <w:szCs w:val="20"/>
          <w:lang w:val="en"/>
        </w:rPr>
        <w:t>). But if the contract says that a particular state’s law will be applied if there is a dispute, then ordinarily the judge will apply that state’s law as a rule of 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A86150" w:rsidRDefault="00A86150">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tabs>
          <w:tab w:val="left" w:pos="9000"/>
        </w:tabs>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67"/>
        </w:numPr>
        <w:shd w:val="clear" w:color="auto" w:fill="E3EFF7"/>
        <w:tabs>
          <w:tab w:val="left" w:pos="90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A86150" w:rsidRDefault="00F714D4">
      <w:pPr>
        <w:numPr>
          <w:ilvl w:val="0"/>
          <w:numId w:val="67"/>
        </w:numPr>
        <w:shd w:val="clear" w:color="auto" w:fill="E3EFF7"/>
        <w:tabs>
          <w:tab w:val="left" w:pos="90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A86150" w:rsidRDefault="00F714D4">
      <w:pPr>
        <w:numPr>
          <w:ilvl w:val="0"/>
          <w:numId w:val="67"/>
        </w:numPr>
        <w:shd w:val="clear" w:color="auto" w:fill="E3EFF7"/>
        <w:tabs>
          <w:tab w:val="left" w:pos="90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A86150" w:rsidRDefault="00F714D4">
      <w:pPr>
        <w:numPr>
          <w:ilvl w:val="0"/>
          <w:numId w:val="67"/>
        </w:numPr>
        <w:shd w:val="clear" w:color="auto" w:fill="E3EFF7"/>
        <w:tabs>
          <w:tab w:val="left" w:pos="900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w:t>
      </w:r>
      <w:r>
        <w:rPr>
          <w:rFonts w:ascii="Calibri" w:eastAsia="Times New Roman" w:hAnsi="Calibri" w:cs="Calibri"/>
          <w:color w:val="333333"/>
          <w:sz w:val="20"/>
          <w:szCs w:val="20"/>
          <w:lang w:val="en"/>
        </w:rPr>
        <w:lastRenderedPageBreak/>
        <w:t>Oklahoma court take personal jurisdiction over Seaway Volkswagen, or will it require the Robinsons to litigate their claim in New York?</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3.3 Motions and Discovery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6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lawsuit can be dismissed prior to any trial.</w:t>
      </w:r>
    </w:p>
    <w:p w:rsidR="00A86150" w:rsidRDefault="00F714D4">
      <w:pPr>
        <w:numPr>
          <w:ilvl w:val="0"/>
          <w:numId w:val="68"/>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principles and practices of discovery before a 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early phases of a civil action are characterized by many different kinds of motions and a complex process of mutual fact-finding between the parties that is known as discovery. A lawsuit will start with the </w:t>
      </w:r>
      <w:r>
        <w:rPr>
          <w:rFonts w:ascii="Georgia" w:eastAsia="Times New Roman" w:hAnsi="Georgia" w:cs="Calibri"/>
          <w:b/>
          <w:color w:val="333333"/>
          <w:sz w:val="20"/>
          <w:szCs w:val="20"/>
          <w:u w:val="single"/>
          <w:lang w:val="en"/>
        </w:rPr>
        <w:t>pleadings</w:t>
      </w:r>
      <w:r>
        <w:rPr>
          <w:rFonts w:ascii="Georgia" w:eastAsia="Times New Roman" w:hAnsi="Georgia" w:cs="Calibri"/>
          <w:color w:val="333333"/>
          <w:sz w:val="20"/>
          <w:szCs w:val="20"/>
          <w:lang w:val="en"/>
        </w:rPr>
        <w:t> (complaint and answer in every case, and in some cases a counterclaim by the defendant against the plaintiff and the plaintiff’s reply to the defendant’s counterclaim). After the pleadings, the parties may make various </w:t>
      </w:r>
      <w:r>
        <w:rPr>
          <w:rFonts w:ascii="Georgia" w:eastAsia="Times New Roman" w:hAnsi="Georgia" w:cs="Calibri"/>
          <w:b/>
          <w:color w:val="333333"/>
          <w:sz w:val="20"/>
          <w:szCs w:val="20"/>
          <w:u w:val="single"/>
          <w:lang w:val="en"/>
        </w:rPr>
        <w:t>motions</w:t>
      </w:r>
      <w:r>
        <w:rPr>
          <w:rFonts w:ascii="Georgia" w:eastAsia="Times New Roman" w:hAnsi="Georgia" w:cs="Calibri"/>
          <w:color w:val="333333"/>
          <w:sz w:val="20"/>
          <w:szCs w:val="20"/>
          <w:lang w:val="en"/>
        </w:rPr>
        <w:t>, which are requests to the judge. Motions in the early stages of a lawsuit usually aim to dismiss the lawsuit, to have it moved to another venue, or to compel the other party to act in certain ways during the discovery process.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Initial Pleadings, and Motions to Dismiss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w:t>
      </w:r>
      <w:r>
        <w:rPr>
          <w:rFonts w:ascii="Georgia" w:eastAsia="Times New Roman" w:hAnsi="Georgia" w:cs="Calibri"/>
          <w:color w:val="333333"/>
          <w:sz w:val="20"/>
          <w:szCs w:val="20"/>
          <w:lang w:val="en"/>
        </w:rPr>
        <w:lastRenderedPageBreak/>
        <w:t>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kind of dismissal can take place on a motion for </w:t>
      </w:r>
      <w:r>
        <w:rPr>
          <w:rFonts w:ascii="Georgia" w:eastAsia="Times New Roman" w:hAnsi="Georgia" w:cs="Calibri"/>
          <w:b/>
          <w:color w:val="333333"/>
          <w:sz w:val="20"/>
          <w:szCs w:val="20"/>
          <w:u w:val="single"/>
          <w:lang w:val="en"/>
        </w:rPr>
        <w:t>summary judgment</w:t>
      </w:r>
      <w:r>
        <w:rPr>
          <w:rFonts w:ascii="Georgia" w:eastAsia="Times New Roman" w:hAnsi="Georgia" w:cs="Calibri"/>
          <w:color w:val="333333"/>
          <w:sz w:val="20"/>
          <w:szCs w:val="20"/>
          <w:lang w:val="en"/>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Discovery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Many cases never get to trial. They are disposed of by motions to dismiss or are settled after extensive discovery makes clear to the parties the strengths and weaknesses of the parties to the dispute.</w:t>
      </w:r>
    </w:p>
    <w:p w:rsidR="00A86150" w:rsidRDefault="00A86150">
      <w:pPr>
        <w:spacing w:after="0" w:line="439" w:lineRule="atLeast"/>
        <w:ind w:right="375"/>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6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A86150" w:rsidRDefault="00F714D4">
      <w:pPr>
        <w:numPr>
          <w:ilvl w:val="0"/>
          <w:numId w:val="69"/>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contributory negligence, the negligence of any plaintiff that causes or contributes to the injuries a plaintiff complains of will be grounds for dismissal. Suppose that in discovery, Mr. Ferlito in </w:t>
      </w:r>
      <w:r>
        <w:rPr>
          <w:rFonts w:ascii="Calibri" w:eastAsia="Times New Roman" w:hAnsi="Calibri" w:cs="Calibri"/>
          <w:i/>
          <w:iCs/>
          <w:color w:val="333333"/>
          <w:sz w:val="20"/>
          <w:szCs w:val="20"/>
          <w:lang w:val="en"/>
        </w:rPr>
        <w:t>Ferlito v. Johnson &amp; Johnson</w:t>
      </w:r>
      <w:r>
        <w:rPr>
          <w:rFonts w:ascii="Calibri" w:eastAsia="Times New Roman" w:hAnsi="Calibri" w:cs="Calibri"/>
          <w:color w:val="333333"/>
          <w:sz w:val="20"/>
          <w:szCs w:val="20"/>
          <w:lang w:val="en"/>
        </w:rPr>
        <w:t> (</w:t>
      </w:r>
      <w:r>
        <w:rPr>
          <w:rFonts w:ascii="Calibri" w:eastAsia="Times New Roman" w:hAnsi="Calibri" w:cs="Calibri"/>
          <w:color w:val="2689C6"/>
          <w:sz w:val="20"/>
          <w:szCs w:val="20"/>
          <w:lang w:val="en"/>
        </w:rPr>
        <w:t>Section 3.9 "Cases"</w:t>
      </w:r>
      <w:r>
        <w:rPr>
          <w:rFonts w:ascii="Calibri" w:eastAsia="Times New Roman" w:hAnsi="Calibri" w:cs="Calibri"/>
          <w:color w:val="333333"/>
          <w:sz w:val="20"/>
          <w:szCs w:val="20"/>
          <w:lang w:val="en"/>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3.4 The Pretrial and Trial Phase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70"/>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judges can push parties into pretrial settlement.</w:t>
      </w:r>
    </w:p>
    <w:p w:rsidR="00A86150" w:rsidRDefault="00F714D4">
      <w:pPr>
        <w:numPr>
          <w:ilvl w:val="0"/>
          <w:numId w:val="7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meaning and use of directed verdicts.</w:t>
      </w:r>
    </w:p>
    <w:p w:rsidR="00A86150" w:rsidRDefault="00F714D4">
      <w:pPr>
        <w:numPr>
          <w:ilvl w:val="0"/>
          <w:numId w:val="7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a directed verdict from a judgment n.o.v. (“notwithstanding the verdict”).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Pretrial Conference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w:t>
      </w:r>
      <w:r>
        <w:rPr>
          <w:rFonts w:ascii="Georgia" w:eastAsia="Times New Roman" w:hAnsi="Georgia" w:cs="Calibri"/>
          <w:color w:val="333333"/>
          <w:sz w:val="20"/>
          <w:szCs w:val="20"/>
          <w:lang w:val="en"/>
        </w:rPr>
        <w:lastRenderedPageBreak/>
        <w:t>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Anyone who has watched an actual televised trial or a television melodrama featuring a trial scene will appreciate the nature of the trial itself: witnesses are asked questions about a number of issues that may </w:t>
      </w:r>
      <w:r>
        <w:rPr>
          <w:rFonts w:ascii="Georgia" w:eastAsia="Times New Roman" w:hAnsi="Georgia" w:cs="Calibri"/>
          <w:color w:val="333333"/>
          <w:sz w:val="20"/>
          <w:szCs w:val="20"/>
          <w:lang w:val="en"/>
        </w:rPr>
        <w:lastRenderedPageBreak/>
        <w:t>or may not be related, the opposing lawyer will frequently object to the question or the form in which it is asked, and the jury may be sent from the room while the lawyers argue at the bench before the judge.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all relevant to the questions raised by the case, distinguishes common-law courts from those of authoritarian regimes around the world.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the most part, courts of appeal will not reverse and remand for a new trial unless the trial court judge’s errors are “prejudicial,” or “an abuse of discretion.” In short, neither party is entitled to a perfect </w:t>
      </w:r>
      <w:r>
        <w:rPr>
          <w:rFonts w:ascii="Georgia" w:eastAsia="Times New Roman" w:hAnsi="Georgia" w:cs="Calibri"/>
          <w:color w:val="333333"/>
          <w:sz w:val="20"/>
          <w:szCs w:val="20"/>
          <w:lang w:val="en"/>
        </w:rPr>
        <w:lastRenderedPageBreak/>
        <w:t>trial, but only to a fair trial, one in which the trial judge has made only “harmless errors” and not prejudicial ones.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all testimony has been introduced, either party may ask the judge for a </w:t>
      </w:r>
      <w:r>
        <w:rPr>
          <w:rFonts w:ascii="Georgia" w:eastAsia="Times New Roman" w:hAnsi="Georgia" w:cs="Calibri"/>
          <w:b/>
          <w:color w:val="333333"/>
          <w:sz w:val="20"/>
          <w:szCs w:val="20"/>
          <w:u w:val="single"/>
          <w:lang w:val="en"/>
        </w:rPr>
        <w:t>directed verdict</w:t>
      </w:r>
      <w:r>
        <w:rPr>
          <w:rFonts w:ascii="Georgia" w:eastAsia="Times New Roman" w:hAnsi="Georgia" w:cs="Calibri"/>
          <w:color w:val="333333"/>
          <w:sz w:val="20"/>
          <w:szCs w:val="20"/>
          <w:lang w:val="en"/>
        </w:rPr>
        <w: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w:t>
      </w:r>
      <w:r>
        <w:rPr>
          <w:rFonts w:ascii="Georgia" w:eastAsia="Times New Roman" w:hAnsi="Georgia" w:cs="Calibri"/>
          <w:color w:val="333333"/>
          <w:sz w:val="20"/>
          <w:szCs w:val="20"/>
          <w:lang w:val="en"/>
        </w:rPr>
        <w:lastRenderedPageBreak/>
        <w:t>These pattern jury instructions are often safer because they are patterned after language that appellate courts have used previously, and appellate courts are less likely to find reversible error in the instructions.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Posttrial Motions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losing party is allowed to ask the judge for a new trial or for a judgment notwithstanding the verdict (often called a </w:t>
      </w:r>
      <w:r>
        <w:rPr>
          <w:rFonts w:ascii="Georgia" w:eastAsia="Times New Roman" w:hAnsi="Georgia" w:cs="Calibri"/>
          <w:b/>
          <w:color w:val="333333"/>
          <w:sz w:val="20"/>
          <w:szCs w:val="20"/>
          <w:u w:val="single"/>
          <w:lang w:val="en"/>
        </w:rPr>
        <w:t>judgment n.o.v.</w:t>
      </w:r>
      <w:r>
        <w:rPr>
          <w:rFonts w:ascii="Georgia" w:eastAsia="Times New Roman" w:hAnsi="Georgia" w:cs="Calibri"/>
          <w:color w:val="333333"/>
          <w:sz w:val="20"/>
          <w:szCs w:val="20"/>
          <w:lang w:val="en"/>
        </w:rPr>
        <w:t>, from the Latin</w:t>
      </w:r>
      <w:r>
        <w:rPr>
          <w:rFonts w:ascii="Georgia" w:eastAsia="Times New Roman" w:hAnsi="Georgia" w:cs="Calibri"/>
          <w:i/>
          <w:iCs/>
          <w:color w:val="333333"/>
          <w:sz w:val="20"/>
          <w:szCs w:val="20"/>
          <w:lang w:val="en"/>
        </w:rPr>
        <w:t>non obstante veredicto</w:t>
      </w:r>
      <w:r>
        <w:rPr>
          <w:rFonts w:ascii="Georgia" w:eastAsia="Times New Roman" w:hAnsi="Georgia" w:cs="Calibri"/>
          <w:color w:val="333333"/>
          <w:sz w:val="20"/>
          <w:szCs w:val="20"/>
          <w:lang w:val="en"/>
        </w:rPr>
        <w:t>).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 </w:t>
      </w:r>
      <w:r>
        <w:rPr>
          <w:rFonts w:ascii="Georgia" w:eastAsia="Times New Roman" w:hAnsi="Georgia" w:cs="Calibri"/>
          <w:i/>
          <w:iCs/>
          <w:color w:val="333333"/>
          <w:sz w:val="20"/>
          <w:szCs w:val="20"/>
          <w:lang w:val="en"/>
        </w:rPr>
        <w:t>Ferlito v. Johnson &amp; Johnson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illustrates the judgment n.o.v. process in a case where the judge allowed the case to go to a jury that was overly sympathetic to the plaintiffs.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Rule 50(b) of the Federal Rules of Civil Procedure provides the authorization for federal judges making a judgment contrary to the judgment of the jury. Most states have a similar rule.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Rule 50(b) says,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w:t>
      </w:r>
      <w:r>
        <w:rPr>
          <w:rFonts w:ascii="Georgia" w:eastAsia="Times New Roman" w:hAnsi="Georgia" w:cs="Calibri"/>
          <w:color w:val="333333"/>
          <w:sz w:val="20"/>
          <w:szCs w:val="20"/>
          <w:lang w:val="en"/>
        </w:rPr>
        <w:lastRenderedPageBreak/>
        <w:t>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the judgment to stand or may reopen the judgment and either order a new trial or direct the entry of judgment as if the requested verdict had been directed.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A86150" w:rsidRDefault="00F714D4">
      <w:pPr>
        <w:shd w:val="clear" w:color="auto" w:fill="ECF9EA"/>
        <w:spacing w:before="15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tabs>
          <w:tab w:val="left" w:pos="8910"/>
        </w:tabs>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71"/>
        </w:numPr>
        <w:shd w:val="clear" w:color="auto" w:fill="E3EFF7"/>
        <w:tabs>
          <w:tab w:val="left" w:pos="891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if there was not a doctrine of res judicata? What would the legal system be like?</w:t>
      </w:r>
    </w:p>
    <w:p w:rsidR="00A86150" w:rsidRDefault="00F714D4">
      <w:pPr>
        <w:numPr>
          <w:ilvl w:val="0"/>
          <w:numId w:val="71"/>
        </w:numPr>
        <w:shd w:val="clear" w:color="auto" w:fill="E3EFF7"/>
        <w:tabs>
          <w:tab w:val="left" w:pos="891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you think cross-examination is a “right,” as opposed to a “good thing”? What kind of judicial system would not allow cross-examination of witnesses as a matter of right?</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3.5 Judgment, Appeal, and Execution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7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posttrial process—how appellate courts process appeals.</w:t>
      </w:r>
    </w:p>
    <w:p w:rsidR="00A86150" w:rsidRDefault="00F714D4">
      <w:pPr>
        <w:numPr>
          <w:ilvl w:val="0"/>
          <w:numId w:val="7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court’s judgment is translated into relief for the winning party.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Judgment or Order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Appeal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Appellate and trial procedures are different. The appellate court does not hear witnesses or accept evidence. It reviews the </w:t>
      </w:r>
      <w:r>
        <w:rPr>
          <w:rFonts w:ascii="Georgia" w:eastAsia="Times New Roman" w:hAnsi="Georgia" w:cs="Calibri"/>
          <w:i/>
          <w:iCs/>
          <w:color w:val="333333"/>
          <w:sz w:val="20"/>
          <w:szCs w:val="20"/>
          <w:lang w:val="en"/>
        </w:rPr>
        <w:t>record</w:t>
      </w:r>
      <w:r>
        <w:rPr>
          <w:rFonts w:ascii="Georgia" w:eastAsia="Times New Roman" w:hAnsi="Georgia" w:cs="Calibri"/>
          <w:color w:val="333333"/>
          <w:sz w:val="20"/>
          <w:szCs w:val="20"/>
          <w:lang w:val="en"/>
        </w:rPr>
        <w:t> of the case—the transcript of the witnesses’ testimony and the documents 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Depending on what it decides, the appellate court will </w:t>
      </w:r>
      <w:r>
        <w:rPr>
          <w:rFonts w:ascii="Georgia" w:eastAsia="Times New Roman" w:hAnsi="Georgia" w:cs="Calibri"/>
          <w:i/>
          <w:iCs/>
          <w:color w:val="333333"/>
          <w:sz w:val="20"/>
          <w:szCs w:val="20"/>
          <w:lang w:val="en"/>
        </w:rPr>
        <w:t>affirm</w:t>
      </w:r>
      <w:r>
        <w:rPr>
          <w:rFonts w:ascii="Georgia" w:eastAsia="Times New Roman" w:hAnsi="Georgia" w:cs="Calibri"/>
          <w:color w:val="333333"/>
          <w:sz w:val="20"/>
          <w:szCs w:val="20"/>
          <w:lang w:val="en"/>
        </w:rPr>
        <w:t> the lower court’s judgment, </w:t>
      </w:r>
      <w:r>
        <w:rPr>
          <w:rFonts w:ascii="Georgia" w:eastAsia="Times New Roman" w:hAnsi="Georgia" w:cs="Calibri"/>
          <w:i/>
          <w:iCs/>
          <w:color w:val="333333"/>
          <w:sz w:val="20"/>
          <w:szCs w:val="20"/>
          <w:lang w:val="en"/>
        </w:rPr>
        <w:t>modify</w:t>
      </w:r>
      <w:r>
        <w:rPr>
          <w:rFonts w:ascii="Georgia" w:eastAsia="Times New Roman" w:hAnsi="Georgia" w:cs="Calibri"/>
          <w:color w:val="333333"/>
          <w:sz w:val="20"/>
          <w:szCs w:val="20"/>
          <w:lang w:val="en"/>
        </w:rPr>
        <w:t> it, </w:t>
      </w:r>
      <w:r>
        <w:rPr>
          <w:rFonts w:ascii="Georgia" w:eastAsia="Times New Roman" w:hAnsi="Georgia" w:cs="Calibri"/>
          <w:i/>
          <w:iCs/>
          <w:color w:val="333333"/>
          <w:sz w:val="20"/>
          <w:szCs w:val="20"/>
          <w:lang w:val="en"/>
        </w:rPr>
        <w:t>reverse</w:t>
      </w:r>
      <w:r>
        <w:rPr>
          <w:rFonts w:ascii="Georgia" w:eastAsia="Times New Roman" w:hAnsi="Georgia" w:cs="Calibri"/>
          <w:color w:val="333333"/>
          <w:sz w:val="20"/>
          <w:szCs w:val="20"/>
          <w:lang w:val="en"/>
        </w:rPr>
        <w:t> it, or </w:t>
      </w:r>
      <w:r>
        <w:rPr>
          <w:rFonts w:ascii="Georgia" w:eastAsia="Times New Roman" w:hAnsi="Georgia" w:cs="Calibri"/>
          <w:i/>
          <w:iCs/>
          <w:color w:val="333333"/>
          <w:sz w:val="20"/>
          <w:szCs w:val="20"/>
          <w:lang w:val="en"/>
        </w:rPr>
        <w:t>remand</w:t>
      </w:r>
      <w:r>
        <w:rPr>
          <w:rFonts w:ascii="Georgia" w:eastAsia="Times New Roman" w:hAnsi="Georgia" w:cs="Calibri"/>
          <w:color w:val="333333"/>
          <w:sz w:val="20"/>
          <w:szCs w:val="20"/>
          <w:lang w:val="en"/>
        </w:rPr>
        <w:t> 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 </w:t>
      </w:r>
      <w:r>
        <w:rPr>
          <w:rFonts w:ascii="Georgia" w:eastAsia="Times New Roman" w:hAnsi="Georgia" w:cs="Calibri"/>
          <w:i/>
          <w:iCs/>
          <w:color w:val="333333"/>
          <w:sz w:val="20"/>
          <w:szCs w:val="20"/>
          <w:lang w:val="en"/>
        </w:rPr>
        <w:t>dictum</w:t>
      </w:r>
      <w:r>
        <w:rPr>
          <w:rFonts w:ascii="Georgia" w:eastAsia="Times New Roman" w:hAnsi="Georgia" w:cs="Calibri"/>
          <w:color w:val="333333"/>
          <w:sz w:val="20"/>
          <w:szCs w:val="20"/>
          <w:lang w:val="en"/>
        </w:rPr>
        <w:t>), and the lower courts do not have to give them the same weight as holdings.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Judgment and Order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73"/>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A86150" w:rsidRDefault="00F714D4">
      <w:pPr>
        <w:numPr>
          <w:ilvl w:val="0"/>
          <w:numId w:val="73"/>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don’t appellate courts need a witness box for witnesses to give testimony under oath?</w:t>
      </w:r>
    </w:p>
    <w:p w:rsidR="00A86150" w:rsidRDefault="00F714D4">
      <w:pPr>
        <w:numPr>
          <w:ilvl w:val="0"/>
          <w:numId w:val="73"/>
        </w:numPr>
        <w:shd w:val="clear" w:color="auto" w:fill="E3EFF7"/>
        <w:spacing w:before="150"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A86150" w:rsidRDefault="00F714D4">
      <w:pPr>
        <w:shd w:val="clear" w:color="auto" w:fill="E3EFF7"/>
        <w:spacing w:before="15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3.6 When Can Someone Bring a Lawsuit?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7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requirements for standing to bring a lawsuit in US courts.</w:t>
      </w:r>
    </w:p>
    <w:p w:rsidR="00A86150" w:rsidRDefault="00F714D4">
      <w:pPr>
        <w:numPr>
          <w:ilvl w:val="0"/>
          <w:numId w:val="7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process by which a group or class of plaintiffs can be certified to file a class action case.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Case or Controversy: Standing to Sue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Class Actions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however, the potential plaintiffs were all injured in the same way and their injuries were identical, a single lawsuit might be a far more efficient way of determining liability and deciding financial responsibility than many individual lawsuits.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Usually a person who doesn’t want to be in the class can decide to leave. If she does, she will not be included in an eventual judgment or settlement. But a potential plaintiff who is included in the class </w:t>
      </w:r>
      <w:r>
        <w:rPr>
          <w:rFonts w:ascii="Georgia" w:eastAsia="Times New Roman" w:hAnsi="Georgia" w:cs="Calibri"/>
          <w:color w:val="333333"/>
          <w:sz w:val="20"/>
          <w:szCs w:val="20"/>
          <w:lang w:val="en"/>
        </w:rPr>
        <w:lastRenderedPageBreak/>
        <w:t>cannot, after a final judgment is awarded, seek to relitigate the issue if she is dissatisfied with the outcome, even though she did not participate at all in the legal proceeding.</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A86150" w:rsidRDefault="00F714D4">
      <w:pPr>
        <w:numPr>
          <w:ilvl w:val="0"/>
          <w:numId w:val="7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A86150" w:rsidRDefault="00F714D4">
      <w:pPr>
        <w:shd w:val="clear" w:color="auto" w:fill="E3EFF7"/>
        <w:spacing w:before="15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3.7 Relations with Lawyers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7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various ways that lawyers charge for services.</w:t>
      </w:r>
    </w:p>
    <w:p w:rsidR="00A86150" w:rsidRDefault="00F714D4">
      <w:pPr>
        <w:numPr>
          <w:ilvl w:val="0"/>
          <w:numId w:val="7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contingent fee system in the United States.</w:t>
      </w:r>
    </w:p>
    <w:p w:rsidR="00A86150" w:rsidRDefault="00F714D4">
      <w:pPr>
        <w:numPr>
          <w:ilvl w:val="0"/>
          <w:numId w:val="7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difference between the American rule and the British rule with regard to who pays attorneys’ fees.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Fees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Costs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Litigation is expensive. Getting a lawyer can be costly, unless you get a lawyer on a contingent fee. Not all legal systems allow contingent fees. In many legal systems, the loser pays attorneys’ fees for both parties.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7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A86150" w:rsidRDefault="00F714D4">
      <w:pPr>
        <w:numPr>
          <w:ilvl w:val="0"/>
          <w:numId w:val="7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Harry Potter brings a lawsuit against Draco Malfoy in Chestershire, England, for slander, a form of defamation. Potter alleges that Malfoy insists on calling him a mudblood. Ron Weasley testifies, as does </w:t>
      </w:r>
      <w:r>
        <w:rPr>
          <w:rFonts w:ascii="Calibri" w:eastAsia="Times New Roman" w:hAnsi="Calibri" w:cs="Calibri"/>
          <w:color w:val="333333"/>
          <w:sz w:val="20"/>
          <w:szCs w:val="20"/>
          <w:lang w:val="en"/>
        </w:rPr>
        <w:lastRenderedPageBreak/>
        <w:t>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3.8 Alternative Means of Resolving Disputes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78"/>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arbitration and mediation are frequently used alternatives to litigation.</w:t>
      </w:r>
    </w:p>
    <w:p w:rsidR="00A86150" w:rsidRDefault="00F714D4">
      <w:pPr>
        <w:numPr>
          <w:ilvl w:val="0"/>
          <w:numId w:val="78"/>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differences between arbitration and mediation.</w:t>
      </w:r>
    </w:p>
    <w:p w:rsidR="00A86150" w:rsidRDefault="00F714D4">
      <w:pPr>
        <w:numPr>
          <w:ilvl w:val="0"/>
          <w:numId w:val="78"/>
        </w:numPr>
        <w:shd w:val="clear" w:color="auto" w:fill="EAE9DC"/>
        <w:tabs>
          <w:tab w:val="left" w:pos="900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arbitration is final and binding.</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Arbitration</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alternative forums use a variety of methods, including arbitration, mediation, and conciliation, to bring about agreement or at least closure of the dispute. These methods are not all alike, and their differences are worth noting.</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Arbitration 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w:t>
      </w:r>
      <w:r>
        <w:rPr>
          <w:rFonts w:ascii="Georgia" w:eastAsia="Times New Roman" w:hAnsi="Georgia" w:cs="Calibri"/>
          <w:color w:val="333333"/>
          <w:sz w:val="20"/>
          <w:szCs w:val="20"/>
          <w:lang w:val="en"/>
        </w:rPr>
        <w:lastRenderedPageBreak/>
        <w:t>the arbitrator. For example, they may name the specific person or delegate the responsibility of choosing to some neutral person, or they may each designate a person and the two designees may jointly pick a third arbitrator.</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Mediation</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adjudication, </w:t>
      </w:r>
      <w:r>
        <w:rPr>
          <w:rFonts w:ascii="Georgia" w:eastAsia="Times New Roman" w:hAnsi="Georgia" w:cs="Calibri"/>
          <w:b/>
          <w:color w:val="333333"/>
          <w:sz w:val="20"/>
          <w:szCs w:val="20"/>
          <w:u w:val="single"/>
          <w:lang w:val="en"/>
        </w:rPr>
        <w:t>mediation</w:t>
      </w:r>
      <w:r>
        <w:rPr>
          <w:rFonts w:ascii="Georgia" w:eastAsia="Times New Roman" w:hAnsi="Georgia" w:cs="Calibri"/>
          <w:color w:val="333333"/>
          <w:sz w:val="20"/>
          <w:szCs w:val="20"/>
          <w:lang w:val="en"/>
        </w:rPr>
        <w:t> 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7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A86150" w:rsidRDefault="00F714D4">
      <w:pPr>
        <w:numPr>
          <w:ilvl w:val="0"/>
          <w:numId w:val="7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A86150" w:rsidRDefault="00F714D4">
      <w:pPr>
        <w:numPr>
          <w:ilvl w:val="0"/>
          <w:numId w:val="79"/>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3.9 Cases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Burger King v. Rudzewicz</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King Corp. v. Rudzewicz</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471 U.S. 462 (U.S. Supreme Court 1985)</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Summary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Drayton Plains restaurant did fairly well at first, but a recession in late 1979 caused the franchisees to fall far behind in their monthly payments to Miami. Notice of default was sent from Miami to Rudzewicz, </w:t>
      </w:r>
      <w:r>
        <w:rPr>
          <w:rFonts w:ascii="Georgia" w:eastAsia="Times New Roman" w:hAnsi="Georgia" w:cs="Calibri"/>
          <w:color w:val="333333"/>
          <w:sz w:val="20"/>
          <w:szCs w:val="20"/>
          <w:lang w:val="en"/>
        </w:rPr>
        <w:lastRenderedPageBreak/>
        <w:t>who nevertheless continued to operate the restaurant as a Burger King franchise. Burger King sued in federal district court for the southern district of Florida. Rudzewicz contested the court’s personal jurisdiction over him, since he had never been to Florida.</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 </w:t>
      </w:r>
      <w:r>
        <w:rPr>
          <w:rFonts w:ascii="Georgia" w:eastAsia="Times New Roman" w:hAnsi="Georgia" w:cs="Calibri"/>
          <w:i/>
          <w:iCs/>
          <w:color w:val="333333"/>
          <w:sz w:val="20"/>
          <w:szCs w:val="20"/>
          <w:lang w:val="en"/>
        </w:rPr>
        <w:t>writ of certiorari</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Brennan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distant State may fairly be held accountable in that forum for damages resulting there from an allegedly defamatory story.…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 </w:t>
      </w:r>
      <w:hyperlink r:id="rId17" w:anchor="320&gt;" w:tgtFrame="_blank" w:history="1">
        <w:r>
          <w:rPr>
            <w:rStyle w:val="Hyperlink"/>
            <w:rFonts w:ascii="Georgia" w:eastAsia="Times New Roman" w:hAnsi="Georgia" w:cs="Calibri"/>
            <w:color w:val="2689C6"/>
            <w:sz w:val="20"/>
            <w:szCs w:val="20"/>
            <w:lang w:val="en"/>
          </w:rPr>
          <w:t>International Shoe Co. v. Washington</w:t>
        </w:r>
      </w:hyperlink>
      <w:r>
        <w:rPr>
          <w:rFonts w:ascii="Georgia" w:eastAsia="Times New Roman" w:hAnsi="Georgia" w:cs="Calibri"/>
          <w:color w:val="333333"/>
          <w:sz w:val="20"/>
          <w:szCs w:val="20"/>
          <w:lang w:val="en"/>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8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Burger King sue in Florida rather than in Michigan?</w:t>
      </w:r>
    </w:p>
    <w:p w:rsidR="00A86150" w:rsidRDefault="00F714D4">
      <w:pPr>
        <w:numPr>
          <w:ilvl w:val="0"/>
          <w:numId w:val="8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Florida has a long-arm statute that tells Florida courts that it may exercise personal jurisdiction over someone like Rudzewicz, why is the court talking about the due process clause?</w:t>
      </w:r>
    </w:p>
    <w:p w:rsidR="00A86150" w:rsidRDefault="00F714D4">
      <w:pPr>
        <w:numPr>
          <w:ilvl w:val="0"/>
          <w:numId w:val="8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this case in federal court rather than in a Florida state court?</w:t>
      </w:r>
    </w:p>
    <w:p w:rsidR="00A86150" w:rsidRDefault="00F714D4">
      <w:pPr>
        <w:numPr>
          <w:ilvl w:val="0"/>
          <w:numId w:val="80"/>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this case had been filed in state court in Florida, would Rudzewicz be required to come to Florida? Explain.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Ferlito v. Johnson &amp; Johnson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Ferlito v. Johnson &amp; Johnson Products, Inc.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771 F. Supp. 196 (U.S. District Ct., Eastern District of Michigan 1991)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Gadola, J.</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a butane lighter. The flame passed close to his left arm, and the cotton batting on his left sleeve ignited. Plaintiffs </w:t>
      </w:r>
      <w:r>
        <w:rPr>
          <w:rFonts w:ascii="Georgia" w:eastAsia="Times New Roman" w:hAnsi="Georgia" w:cs="Calibri"/>
          <w:color w:val="333333"/>
          <w:sz w:val="20"/>
          <w:szCs w:val="20"/>
          <w:lang w:val="en"/>
        </w:rPr>
        <w:lastRenderedPageBreak/>
        <w:t>sued defendant for injuries they suffered from burns which covered approximately one-third of Mr. Ferlito’s body.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MOTION FOR JUDGMENT NOTWITHSTANDING THE VERDICT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standard for determining whether to grant a j.n.o.v. is identical to the standard for evaluating a motion for directed verdict: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opinion that reasonable minds could not come to the result reached by the jury, then the motion for j.n.o.v. should be granted.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To establish a </w:t>
      </w:r>
      <w:r>
        <w:rPr>
          <w:rFonts w:ascii="Georgia" w:eastAsia="Times New Roman" w:hAnsi="Georgia" w:cs="Calibri"/>
          <w:i/>
          <w:iCs/>
          <w:color w:val="333333"/>
          <w:sz w:val="20"/>
          <w:szCs w:val="20"/>
          <w:lang w:val="en"/>
        </w:rPr>
        <w:t>prima facie case</w:t>
      </w:r>
      <w:r>
        <w:rPr>
          <w:rFonts w:ascii="Georgia" w:eastAsia="Times New Roman" w:hAnsi="Georgia" w:cs="Calibri"/>
          <w:color w:val="333333"/>
          <w:sz w:val="20"/>
          <w:szCs w:val="20"/>
          <w:lang w:val="en"/>
        </w:rPr>
        <w:t> that a manufacturer’s breach of its duty to warn was a proximate cause of an injury sustained, a plaintiff must present evidence that the product would have been used differently had the proffered warnings been given.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Whether the resulting injury is foreseeable is a question of fact for the jury.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Thomas v. International Harvester Co., 57 Mich. App. 79, 225 N.W.2d 175 (1974).</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t>
      </w:r>
      <w:r>
        <w:rPr>
          <w:rFonts w:ascii="Georgia" w:eastAsia="Times New Roman" w:hAnsi="Georgia" w:cs="Calibri"/>
          <w:color w:val="333333"/>
          <w:sz w:val="20"/>
          <w:szCs w:val="20"/>
          <w:lang w:val="en"/>
        </w:rPr>
        <w:lastRenderedPageBreak/>
        <w:t>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THEREFORE, IT IS HEREBY ORDERED that defendant JJP’s motion for judgment notwithstanding the verdict is GRANTED.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FURTHER ORDERED that the judgment entered November 2, 1989, is SET ASIDE.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FURTHER ORDERED that the clerk will enter a judgment in favor of the defendant JJP.</w:t>
      </w:r>
    </w:p>
    <w:p w:rsidR="00A86150" w:rsidRDefault="00A86150">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81"/>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opinion focuses on proximate cause. As we will see in </w:t>
      </w:r>
      <w:r>
        <w:rPr>
          <w:rFonts w:ascii="Calibri" w:eastAsia="Times New Roman" w:hAnsi="Calibri" w:cs="Calibri"/>
          <w:color w:val="2689C6"/>
          <w:sz w:val="20"/>
          <w:szCs w:val="20"/>
          <w:lang w:val="en"/>
        </w:rPr>
        <w:t>Chapter 7 "Introduction to Tort Law"</w:t>
      </w:r>
      <w:r>
        <w:rPr>
          <w:rFonts w:ascii="Calibri" w:eastAsia="Times New Roman" w:hAnsi="Calibri" w:cs="Calibri"/>
          <w:color w:val="333333"/>
          <w:sz w:val="20"/>
          <w:szCs w:val="20"/>
          <w:lang w:val="en"/>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A86150" w:rsidRDefault="00F714D4">
      <w:pPr>
        <w:numPr>
          <w:ilvl w:val="0"/>
          <w:numId w:val="81"/>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Judge Gadola reasoning that JJP had no duty to warn in this case. After this case, would they then have a duty to warn, knowing that someone might use their product in this way?</w:t>
      </w:r>
    </w:p>
    <w:p w:rsidR="00A86150" w:rsidRDefault="0081777E">
      <w:pPr>
        <w:spacing w:after="0" w:line="240" w:lineRule="auto"/>
        <w:jc w:val="cente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3" style="width:468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4</w:t>
      </w:r>
    </w:p>
    <w:p w:rsidR="00A86150" w:rsidRDefault="0081777E">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4" style="width:468pt;height:1.5pt" o:hralign="center" o:hrstd="t" o:hr="t" fillcolor="#a0a0a0"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Constitutional Law and US Commerce</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82"/>
        </w:numPr>
        <w:shd w:val="clear" w:color="auto" w:fill="EAE9DC"/>
        <w:tabs>
          <w:tab w:val="clear" w:pos="720"/>
          <w:tab w:val="left" w:pos="810"/>
          <w:tab w:val="num" w:pos="144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historical importance and basic structure of the US Constitution.</w:t>
      </w:r>
    </w:p>
    <w:p w:rsidR="00A86150" w:rsidRDefault="00F714D4">
      <w:pPr>
        <w:numPr>
          <w:ilvl w:val="0"/>
          <w:numId w:val="82"/>
        </w:numPr>
        <w:shd w:val="clear" w:color="auto" w:fill="EAE9DC"/>
        <w:tabs>
          <w:tab w:val="left" w:pos="8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judicial review is and what it represents in terms of the separation of powers between the executive, legislative, and judicial branches of government.</w:t>
      </w:r>
    </w:p>
    <w:p w:rsidR="00A86150" w:rsidRDefault="00F714D4">
      <w:pPr>
        <w:numPr>
          <w:ilvl w:val="0"/>
          <w:numId w:val="82"/>
        </w:numPr>
        <w:shd w:val="clear" w:color="auto" w:fill="EAE9DC"/>
        <w:tabs>
          <w:tab w:val="left" w:pos="8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Locate the source of congressional power to regulate the economy under the Constitution, and explain what limitations there are to the reach of congressional power over interstate commerce.</w:t>
      </w:r>
    </w:p>
    <w:p w:rsidR="00A86150" w:rsidRDefault="00F714D4">
      <w:pPr>
        <w:numPr>
          <w:ilvl w:val="0"/>
          <w:numId w:val="82"/>
        </w:numPr>
        <w:shd w:val="clear" w:color="auto" w:fill="EAE9DC"/>
        <w:tabs>
          <w:tab w:val="left" w:pos="8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different phases of congressional power over commerce, as adjudged by the US Supreme Court over time.</w:t>
      </w:r>
    </w:p>
    <w:p w:rsidR="00A86150" w:rsidRDefault="00F714D4">
      <w:pPr>
        <w:numPr>
          <w:ilvl w:val="0"/>
          <w:numId w:val="82"/>
        </w:numPr>
        <w:shd w:val="clear" w:color="auto" w:fill="EAE9DC"/>
        <w:tabs>
          <w:tab w:val="left" w:pos="8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power the states retain over commerce, and how the Supreme Court may sometimes limit that power.</w:t>
      </w:r>
    </w:p>
    <w:p w:rsidR="00A86150" w:rsidRDefault="00F714D4">
      <w:pPr>
        <w:numPr>
          <w:ilvl w:val="0"/>
          <w:numId w:val="82"/>
        </w:numPr>
        <w:shd w:val="clear" w:color="auto" w:fill="EAE9DC"/>
        <w:tabs>
          <w:tab w:val="left" w:pos="8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the Supreme Court, under the supremacy clause of the Constitution, balances state and federal laws that may be wholly or partly in conflict.</w:t>
      </w:r>
    </w:p>
    <w:p w:rsidR="00A86150" w:rsidRDefault="00F714D4">
      <w:pPr>
        <w:numPr>
          <w:ilvl w:val="0"/>
          <w:numId w:val="82"/>
        </w:numPr>
        <w:shd w:val="clear" w:color="auto" w:fill="EAE9DC"/>
        <w:tabs>
          <w:tab w:val="left" w:pos="810"/>
        </w:tabs>
        <w:spacing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the Bill of Rights relates to business activities in the United States.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Pr>
          <w:rFonts w:ascii="Georgia" w:eastAsia="Times New Roman" w:hAnsi="Georgia" w:cs="Times New Roman"/>
          <w:b/>
          <w:color w:val="333333"/>
          <w:sz w:val="20"/>
          <w:szCs w:val="20"/>
          <w:u w:val="single"/>
        </w:rPr>
        <w:t>judicial review</w:t>
      </w:r>
      <w:r>
        <w:rPr>
          <w:rFonts w:ascii="Georgia" w:eastAsia="Times New Roman" w:hAnsi="Georgia" w:cs="Times New Roman"/>
          <w:color w:val="333333"/>
          <w:sz w:val="21"/>
          <w:szCs w:val="21"/>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A86150" w:rsidRDefault="00A86150">
      <w:pPr>
        <w:rPr>
          <w:rFonts w:ascii="Georgia" w:eastAsia="Times New Roman" w:hAnsi="Georgia" w:cs="Times New Roman"/>
          <w:color w:val="333333"/>
          <w:sz w:val="21"/>
          <w:szCs w:val="21"/>
        </w:rPr>
      </w:pP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4.1 Basic Aspects of the US Constitution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8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American values that are reflected in the US Constitution.</w:t>
      </w:r>
    </w:p>
    <w:p w:rsidR="00A86150" w:rsidRDefault="00F714D4">
      <w:pPr>
        <w:numPr>
          <w:ilvl w:val="0"/>
          <w:numId w:val="8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federalism means, along with separation of powers.</w:t>
      </w:r>
    </w:p>
    <w:p w:rsidR="00A86150" w:rsidRDefault="00F714D4">
      <w:pPr>
        <w:numPr>
          <w:ilvl w:val="0"/>
          <w:numId w:val="8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process of amending the Constitution and why judicial review is particularly significant.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Constitution as Reflecting American Values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Constitution itself speaks of rights in fairly general terms, and the judicial interpretation of various rights has been in flux. The “right” of a person to own another person was notably affirmed by the Supreme Court in the </w:t>
      </w:r>
      <w:r>
        <w:rPr>
          <w:rFonts w:ascii="Georgia" w:eastAsia="Times New Roman" w:hAnsi="Georgia" w:cs="Calibri"/>
          <w:i/>
          <w:iCs/>
          <w:color w:val="333333"/>
          <w:sz w:val="20"/>
          <w:szCs w:val="20"/>
          <w:lang w:val="en"/>
        </w:rPr>
        <w:t>Dred Scott</w:t>
      </w:r>
      <w:r>
        <w:rPr>
          <w:rFonts w:ascii="Georgia" w:eastAsia="Times New Roman" w:hAnsi="Georgia" w:cs="Calibri"/>
          <w:color w:val="333333"/>
          <w:sz w:val="20"/>
          <w:szCs w:val="20"/>
          <w:lang w:val="en"/>
        </w:rPr>
        <w:t>decision in 1857.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“right” of a child to freely contract for long, tedious hours of work was upheld by the court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in 1918. Both decisions were later repudiated, just as the decision that a woman has a “right” to an abortion in the first trimester of pregnancy could later be repudiated if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is overturned by the Supreme Court.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Structure of the Constitution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Federalism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partnership created in the Constitution between the states and the federal government is called </w:t>
      </w:r>
      <w:r>
        <w:rPr>
          <w:rFonts w:ascii="Georgia" w:eastAsia="Times New Roman" w:hAnsi="Georgia" w:cs="Calibri"/>
          <w:b/>
          <w:color w:val="333333"/>
          <w:sz w:val="20"/>
          <w:szCs w:val="20"/>
          <w:u w:val="single"/>
          <w:lang w:val="en"/>
        </w:rPr>
        <w:t>federalism</w:t>
      </w:r>
      <w:r>
        <w:rPr>
          <w:rFonts w:ascii="Georgia" w:eastAsia="Times New Roman" w:hAnsi="Georgia" w:cs="Calibri"/>
          <w:color w:val="333333"/>
          <w:sz w:val="20"/>
          <w:szCs w:val="20"/>
          <w:lang w:val="en"/>
        </w:rPr>
        <w:t>. The Constitution is a document created by the states in which certain powers are delegated to the national government, and other powers are reserved to the states. This is made explicit in the Tenth Amendment.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Separation of Powers and Judicial Review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 </w:t>
      </w:r>
      <w:r>
        <w:rPr>
          <w:rFonts w:ascii="Georgia" w:eastAsia="Times New Roman" w:hAnsi="Georgia" w:cs="Calibri"/>
          <w:b/>
          <w:color w:val="333333"/>
          <w:sz w:val="20"/>
          <w:szCs w:val="20"/>
          <w:u w:val="single"/>
          <w:lang w:val="en"/>
        </w:rPr>
        <w:t>separation of powers</w:t>
      </w:r>
      <w:r>
        <w:rPr>
          <w:rFonts w:ascii="Georgia" w:eastAsia="Times New Roman" w:hAnsi="Georgia" w:cs="Calibri"/>
          <w:color w:val="333333"/>
          <w:sz w:val="20"/>
          <w:szCs w:val="20"/>
          <w:lang w:val="en"/>
        </w:rPr>
        <w:t>. Thus the president retains veto power, but the House of Representatives is entrusted with the power to initiate spending bills.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 </w:t>
      </w:r>
      <w:r>
        <w:rPr>
          <w:rFonts w:ascii="Georgia" w:eastAsia="Times New Roman" w:hAnsi="Georgia" w:cs="Calibri"/>
          <w:i/>
          <w:iCs/>
          <w:color w:val="333333"/>
          <w:sz w:val="20"/>
          <w:szCs w:val="20"/>
          <w:lang w:val="en"/>
        </w:rPr>
        <w:t>Marbury v. Madison</w:t>
      </w:r>
      <w:r>
        <w:rPr>
          <w:rFonts w:ascii="Georgia" w:eastAsia="Times New Roman" w:hAnsi="Georgia" w:cs="Calibri"/>
          <w:color w:val="333333"/>
          <w:sz w:val="20"/>
          <w:szCs w:val="20"/>
          <w:lang w:val="en"/>
        </w:rPr>
        <w:t> began that tradition in 1803, when the Supreme Court had marginal importance in the new republic. The decision in </w:t>
      </w:r>
      <w:r>
        <w:rPr>
          <w:rFonts w:ascii="Georgia" w:eastAsia="Times New Roman" w:hAnsi="Georgia" w:cs="Calibri"/>
          <w:i/>
          <w:iCs/>
          <w:color w:val="333333"/>
          <w:sz w:val="20"/>
          <w:szCs w:val="20"/>
          <w:lang w:val="en"/>
        </w:rPr>
        <w:t>Bush v. Gore</w:t>
      </w:r>
      <w:r>
        <w:rPr>
          <w:rFonts w:ascii="Georgia" w:eastAsia="Times New Roman" w:hAnsi="Georgia" w:cs="Calibri"/>
          <w:color w:val="333333"/>
          <w:sz w:val="20"/>
          <w:szCs w:val="20"/>
          <w:lang w:val="en"/>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w:t>
      </w:r>
      <w:r>
        <w:rPr>
          <w:rFonts w:ascii="Georgia" w:eastAsia="Times New Roman" w:hAnsi="Georgia" w:cs="Calibri"/>
          <w:i/>
          <w:iCs/>
          <w:color w:val="333333"/>
          <w:sz w:val="20"/>
          <w:szCs w:val="20"/>
          <w:lang w:val="en"/>
        </w:rPr>
        <w:t>Marbury</w:t>
      </w:r>
      <w:r>
        <w:rPr>
          <w:rFonts w:ascii="Georgia" w:eastAsia="Times New Roman" w:hAnsi="Georgia" w:cs="Calibri"/>
          <w:color w:val="333333"/>
          <w:sz w:val="20"/>
          <w:szCs w:val="20"/>
          <w:lang w:val="en"/>
        </w:rPr>
        <w:t> 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 </w:t>
      </w:r>
      <w:r>
        <w:rPr>
          <w:rFonts w:ascii="Georgia" w:eastAsia="Times New Roman" w:hAnsi="Georgia" w:cs="Calibri"/>
          <w:i/>
          <w:iCs/>
          <w:color w:val="333333"/>
          <w:sz w:val="20"/>
          <w:szCs w:val="20"/>
          <w:lang w:val="en"/>
        </w:rPr>
        <w:t>Bush v. Gore</w:t>
      </w:r>
      <w:r>
        <w:rPr>
          <w:rFonts w:ascii="Georgia" w:eastAsia="Times New Roman" w:hAnsi="Georgia" w:cs="Calibri"/>
          <w:color w:val="333333"/>
          <w:sz w:val="20"/>
          <w:szCs w:val="20"/>
          <w:lang w:val="en"/>
        </w:rPr>
        <w:t> decision indicates, the states are not entirely free to do what they might choose; their own sovereignty is limited by their union with the other states in a federal sovereign.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Supreme Court makes a “bad decision” as to what the Constitution means, it is not easily overturned. Either the court must change its mind (which it seldom does) or two-thirds of Congress and three-fourths of the states must make an amendment (Article V).</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Because the Supreme Court has this power of judicial review, there have been many arguments about how it should be exercised and what kind of “philosophy” a Supreme Court justice should have. President </w:t>
      </w:r>
      <w:r>
        <w:rPr>
          <w:rFonts w:ascii="Georgia" w:eastAsia="Times New Roman" w:hAnsi="Georgia" w:cs="Calibri"/>
          <w:color w:val="333333"/>
          <w:sz w:val="20"/>
          <w:szCs w:val="20"/>
          <w:lang w:val="en"/>
        </w:rPr>
        <w:lastRenderedPageBreak/>
        <w:t>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 </w:t>
      </w:r>
      <w:r>
        <w:rPr>
          <w:rFonts w:ascii="Georgia" w:eastAsia="Times New Roman" w:hAnsi="Georgia" w:cs="Calibri"/>
          <w:i/>
          <w:iCs/>
          <w:color w:val="333333"/>
          <w:sz w:val="20"/>
          <w:szCs w:val="20"/>
          <w:lang w:val="en"/>
        </w:rPr>
        <w:t>Kimel v. Florida Board of Regents</w:t>
      </w:r>
      <w:r>
        <w:rPr>
          <w:rFonts w:ascii="Georgia" w:eastAsia="Times New Roman" w:hAnsi="Georgia" w:cs="Calibri"/>
          <w:color w:val="333333"/>
          <w:sz w:val="20"/>
          <w:szCs w:val="20"/>
          <w:lang w:val="en"/>
        </w:rPr>
        <w:t>, or the </w:t>
      </w:r>
      <w:r>
        <w:rPr>
          <w:rFonts w:ascii="Georgia" w:eastAsia="Times New Roman" w:hAnsi="Georgia" w:cs="Calibri"/>
          <w:i/>
          <w:iCs/>
          <w:color w:val="333333"/>
          <w:sz w:val="20"/>
          <w:szCs w:val="20"/>
          <w:lang w:val="en"/>
        </w:rPr>
        <w:t>Citizens United v. Federal Election Commission</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4.6.5</w:t>
      </w:r>
      <w:r>
        <w:rPr>
          <w:rFonts w:ascii="Georgia" w:eastAsia="Times New Roman" w:hAnsi="Georgia" w:cs="Calibri"/>
          <w:color w:val="333333"/>
          <w:sz w:val="20"/>
          <w:szCs w:val="20"/>
          <w:lang w:val="en"/>
        </w:rPr>
        <w:t>), which held that corporations are “persons” with “free speech rights” that include spending unlimited amounts of money in campaign donations and political advocacy.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has been so controversial, this chapter includes a seminal case on “the right of privacy,” </w:t>
      </w:r>
      <w:r>
        <w:rPr>
          <w:rFonts w:ascii="Georgia" w:eastAsia="Times New Roman" w:hAnsi="Georgia" w:cs="Calibri"/>
          <w:i/>
          <w:iCs/>
          <w:color w:val="333333"/>
          <w:sz w:val="20"/>
          <w:szCs w:val="20"/>
          <w:lang w:val="en"/>
        </w:rPr>
        <w:t>Griswold v. Connecticut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4.6.1</w:t>
      </w:r>
      <w:r>
        <w:rPr>
          <w:rFonts w:ascii="Georgia" w:eastAsia="Times New Roman" w:hAnsi="Georgia" w:cs="Calibri"/>
          <w:color w:val="333333"/>
          <w:sz w:val="20"/>
          <w:szCs w:val="20"/>
          <w:lang w:val="en"/>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 </w:t>
      </w:r>
      <w:r>
        <w:rPr>
          <w:rFonts w:ascii="Georgia" w:eastAsia="Times New Roman" w:hAnsi="Georgia" w:cs="Calibri"/>
          <w:color w:val="2689C6"/>
          <w:sz w:val="20"/>
          <w:szCs w:val="20"/>
          <w:lang w:val="en"/>
        </w:rPr>
        <w:t>Section 4.5.3 "Fifth Amendment"</w:t>
      </w:r>
      <w:r>
        <w:rPr>
          <w:rFonts w:ascii="Georgia" w:eastAsia="Times New Roman" w:hAnsi="Georgia" w:cs="Calibri"/>
          <w:color w:val="333333"/>
          <w:sz w:val="20"/>
          <w:szCs w:val="20"/>
          <w:lang w:val="en"/>
        </w:rPr>
        <w:t>). The problem of judicial review and its proper scope is brought into sharp focus in the abortion controversy. Abortion became a lucrative service business after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was decided in 1973. That has gradually changed, with state laws that have limited rather than overruled </w:t>
      </w:r>
      <w:r>
        <w:rPr>
          <w:rFonts w:ascii="Georgia" w:eastAsia="Times New Roman" w:hAnsi="Georgia" w:cs="Calibri"/>
          <w:i/>
          <w:iCs/>
          <w:color w:val="333333"/>
          <w:sz w:val="20"/>
          <w:szCs w:val="20"/>
          <w:lang w:val="en"/>
        </w:rPr>
        <w:t xml:space="preserve">Roe v. Wade </w:t>
      </w:r>
      <w:r>
        <w:rPr>
          <w:rFonts w:ascii="Georgia" w:eastAsia="Times New Roman" w:hAnsi="Georgia" w:cs="Calibri"/>
          <w:color w:val="333333"/>
          <w:sz w:val="20"/>
          <w:szCs w:val="20"/>
          <w:lang w:val="en"/>
        </w:rPr>
        <w:t>and with persistent antiabortion protests, killings of abortion doctors, and efforts to publicize the human nature of the fetuses being aborted. The key here is to understand that there is no </w:t>
      </w:r>
      <w:r>
        <w:rPr>
          <w:rFonts w:ascii="Georgia" w:eastAsia="Times New Roman" w:hAnsi="Georgia" w:cs="Calibri"/>
          <w:i/>
          <w:iCs/>
          <w:color w:val="333333"/>
          <w:sz w:val="20"/>
          <w:szCs w:val="20"/>
          <w:lang w:val="en"/>
        </w:rPr>
        <w:t>explicit</w:t>
      </w:r>
      <w:r>
        <w:rPr>
          <w:rFonts w:ascii="Georgia" w:eastAsia="Times New Roman" w:hAnsi="Georgia" w:cs="Calibri"/>
          <w:color w:val="333333"/>
          <w:sz w:val="20"/>
          <w:szCs w:val="20"/>
          <w:lang w:val="en"/>
        </w:rPr>
        <w:t> mention in the Constitution of any right of privacy. As Justice Harry Blackmun argued in his majority opinion in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w:t>
      </w:r>
      <w:r>
        <w:rPr>
          <w:rFonts w:ascii="Georgia" w:eastAsia="Times New Roman" w:hAnsi="Georgia" w:cs="Calibri"/>
          <w:color w:val="333333"/>
          <w:sz w:val="20"/>
          <w:szCs w:val="20"/>
          <w:lang w:val="en"/>
        </w:rPr>
        <w:lastRenderedPageBreak/>
        <w:t>education.…The right of privacy…is broad enough to encompass a woman’s decision whether or not to terminate her pregnancy.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as a precedent could change that interpretation.</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8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A86150" w:rsidRDefault="00F714D4">
      <w:pPr>
        <w:numPr>
          <w:ilvl w:val="0"/>
          <w:numId w:val="84"/>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does a prior decision of the Supreme Court deserve overturning? Name one decision of the Supreme Court that you think is no longer “good law.” Does the court have to wait one hundred years to overturn its prior case precedents?</w:t>
      </w:r>
    </w:p>
    <w:p w:rsidR="00A86150" w:rsidRDefault="0081777E">
      <w:pPr>
        <w:spacing w:after="0" w:line="240" w:lineRule="auto"/>
        <w:jc w:val="cente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5" style="width:468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In</w:t>
      </w:r>
      <w:r>
        <w:rPr>
          <w:rStyle w:val="apple-converted-space"/>
          <w:rFonts w:ascii="Calibri" w:hAnsi="Calibri" w:cs="Calibri"/>
          <w:color w:val="333333"/>
          <w:sz w:val="20"/>
          <w:szCs w:val="20"/>
        </w:rPr>
        <w:t> </w:t>
      </w:r>
      <w:r>
        <w:rPr>
          <w:rStyle w:val="Emphasis"/>
          <w:rFonts w:ascii="Calibri" w:hAnsi="Calibri" w:cs="Calibri"/>
          <w:color w:val="333333"/>
          <w:sz w:val="20"/>
          <w:szCs w:val="20"/>
        </w:rPr>
        <w:t>Scott v. Sanford</w:t>
      </w:r>
      <w:r>
        <w:rPr>
          <w:rStyle w:val="apple-converted-space"/>
          <w:rFonts w:ascii="Calibri" w:hAnsi="Calibri" w:cs="Calibri"/>
          <w:color w:val="333333"/>
          <w:sz w:val="20"/>
          <w:szCs w:val="20"/>
        </w:rPr>
        <w:t> </w:t>
      </w:r>
      <w:r>
        <w:rPr>
          <w:rFonts w:ascii="Calibri" w:hAnsi="Calibri" w:cs="Calibri"/>
          <w:color w:val="333333"/>
          <w:sz w:val="20"/>
          <w:szCs w:val="20"/>
        </w:rPr>
        <w:t>(the Dred Scott decision), the court states that Scott should remain a slave, that as a slave he is not a citizen of the United States and thus not eligible to bring suit in a federal court, and that as a slave he is personal property and thus has never been free.</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Style w:val="Emphasis"/>
          <w:rFonts w:ascii="Calibri" w:hAnsi="Calibri" w:cs="Calibri"/>
          <w:color w:val="333333"/>
          <w:sz w:val="20"/>
          <w:szCs w:val="20"/>
        </w:rPr>
        <w:t>Roe v. Wade</w:t>
      </w:r>
      <w:r>
        <w:rPr>
          <w:rFonts w:ascii="Calibri" w:hAnsi="Calibri" w:cs="Calibri"/>
          <w:color w:val="333333"/>
          <w:sz w:val="20"/>
          <w:szCs w:val="20"/>
        </w:rPr>
        <w:t>, 410 US 113 (1973).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Kimel v. Florida Board of Regents</w:t>
      </w:r>
      <w:r>
        <w:rPr>
          <w:rFonts w:ascii="Calibri" w:hAnsi="Calibri" w:cs="Calibri"/>
          <w:color w:val="333333"/>
          <w:sz w:val="20"/>
          <w:szCs w:val="20"/>
        </w:rPr>
        <w:t>, 528 US 62 (2000).</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4.2 The Commerce Clause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85"/>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the specific clause through which Congress has the power to regulate commerce. What, specifically, does this clause say?</w:t>
      </w:r>
    </w:p>
    <w:p w:rsidR="00A86150" w:rsidRDefault="00F714D4">
      <w:pPr>
        <w:numPr>
          <w:ilvl w:val="0"/>
          <w:numId w:val="85"/>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early decisions of the Supreme Court interpreted the scope of the commerce clause and how that impacted the legislative proposals and programs of Franklin Delano Roosevelt during the Great Depression.</w:t>
      </w:r>
    </w:p>
    <w:p w:rsidR="00A86150" w:rsidRDefault="00F714D4">
      <w:pPr>
        <w:numPr>
          <w:ilvl w:val="0"/>
          <w:numId w:val="85"/>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both the wider use of the commerce clause from World War II through the 1990s and the limitations the Supreme Court imposed in </w:t>
      </w:r>
      <w:r>
        <w:rPr>
          <w:rFonts w:ascii="Calibri" w:eastAsia="Times New Roman" w:hAnsi="Calibri" w:cs="Calibri"/>
          <w:i/>
          <w:iCs/>
          <w:color w:val="333333"/>
          <w:sz w:val="20"/>
          <w:szCs w:val="20"/>
          <w:lang w:val="en"/>
        </w:rPr>
        <w:t>Lopez</w:t>
      </w:r>
      <w:r>
        <w:rPr>
          <w:rFonts w:ascii="Calibri" w:eastAsia="Times New Roman" w:hAnsi="Calibri" w:cs="Calibri"/>
          <w:color w:val="333333"/>
          <w:sz w:val="20"/>
          <w:szCs w:val="20"/>
          <w:lang w:val="en"/>
        </w:rPr>
        <w:t>and other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turn to Article I, Section 8. The </w:t>
      </w:r>
      <w:r>
        <w:rPr>
          <w:rFonts w:ascii="Georgia" w:eastAsia="Times New Roman" w:hAnsi="Georgia" w:cs="Calibri"/>
          <w:b/>
          <w:color w:val="333333"/>
          <w:sz w:val="20"/>
          <w:szCs w:val="20"/>
          <w:u w:val="single"/>
          <w:lang w:val="en"/>
        </w:rPr>
        <w:t>commerce clause</w:t>
      </w:r>
      <w:r>
        <w:rPr>
          <w:rFonts w:ascii="Georgia" w:eastAsia="Times New Roman" w:hAnsi="Georgia" w:cs="Calibri"/>
          <w:color w:val="333333"/>
          <w:sz w:val="20"/>
          <w:szCs w:val="20"/>
          <w:lang w:val="en"/>
        </w:rPr>
        <w:t> 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the first five parts of Article I, Section 8, which sets forth the powers of the federal legislature. The commerce clause is in boldface. It is short, but most federal legislation affecting business depends on this very clause:</w:t>
      </w:r>
    </w:p>
    <w:p w:rsidR="00A86150" w:rsidRDefault="00F714D4">
      <w:pPr>
        <w:shd w:val="clear" w:color="auto" w:fill="FFFFFF"/>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Section 8</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2] To borrow Money on the credit of the United States;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[Clause 3] To regulate Commerce with foreign Nations, and among the several States, and with the Indian Tribes;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[Clause 4] To establish a uniform Rule of Naturalization, and uniform Laws on the subject of Bankruptcies throughout the United States;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5] To coin Money, regulate the Value thereof, and of foreign Coin, and fix the Standard of Weights and Measures;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Early Commerce Clause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many years, the Supreme Court was very strict in applying the commerce clause: Congress could only use it to legislate aspects of the movement of goods from one state to another. Anything else was deemed local rather than national. For example,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 </w:t>
      </w:r>
      <w:r>
        <w:rPr>
          <w:rFonts w:ascii="Georgia" w:eastAsia="Times New Roman" w:hAnsi="Georgia" w:cs="Calibri"/>
          <w:i/>
          <w:iCs/>
          <w:color w:val="333333"/>
          <w:sz w:val="20"/>
          <w:szCs w:val="20"/>
          <w:lang w:val="en"/>
        </w:rPr>
        <w:t>Hipolite Egg Co. v. United States</w:t>
      </w:r>
      <w:r>
        <w:rPr>
          <w:rFonts w:ascii="Georgia" w:eastAsia="Times New Roman" w:hAnsi="Georgia" w:cs="Calibri"/>
          <w:color w:val="333333"/>
          <w:sz w:val="20"/>
          <w:szCs w:val="20"/>
          <w:lang w:val="en"/>
        </w:rPr>
        <w:t>, the Supreme Court had sustained the power of Congress to pass the Pure Food and Drug Act, which prohibited the introduction into the states by means of interstate commerce impure foods and drugs.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w:t>
      </w:r>
      <w:r>
        <w:rPr>
          <w:rFonts w:ascii="Georgia" w:eastAsia="Times New Roman" w:hAnsi="Georgia" w:cs="Calibri"/>
          <w:i/>
          <w:iCs/>
          <w:color w:val="333333"/>
          <w:sz w:val="20"/>
          <w:szCs w:val="20"/>
          <w:lang w:val="en"/>
        </w:rPr>
        <w:t>Hoke v. United States</w:t>
      </w:r>
      <w:r>
        <w:rPr>
          <w:rFonts w:ascii="Georgia" w:eastAsia="Times New Roman" w:hAnsi="Georgia" w:cs="Calibri"/>
          <w:color w:val="333333"/>
          <w:sz w:val="20"/>
          <w:szCs w:val="20"/>
          <w:lang w:val="en"/>
        </w:rPr>
        <w:t xml:space="preserve">,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w:t>
      </w:r>
      <w:r>
        <w:rPr>
          <w:rFonts w:ascii="Georgia" w:eastAsia="Times New Roman" w:hAnsi="Georgia" w:cs="Calibri"/>
          <w:color w:val="333333"/>
          <w:sz w:val="20"/>
          <w:szCs w:val="20"/>
          <w:lang w:val="en"/>
        </w:rPr>
        <w:lastRenderedPageBreak/>
        <w:t>food and drugs, the like facility can be taken away from the systematic enticement to, and the enslavement in prostitution and debauchery of women, and, more insistently, of girls.”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From the New Deal to the New Frontier and the Great Society:1930s–1970</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NLRB v. Jones &amp; Laughlin Steel Corporation</w:t>
      </w:r>
      <w:r>
        <w:rPr>
          <w:rFonts w:ascii="Georgia" w:eastAsia="Times New Roman" w:hAnsi="Georgia" w:cs="Calibri"/>
          <w:color w:val="333333"/>
          <w:sz w:val="20"/>
          <w:szCs w:val="20"/>
          <w:lang w:val="en"/>
        </w:rPr>
        <w:t xml:space="preserve">, a union dispute with management at a large steel-producing facility near Pittsburgh, Pennsylvania, became a court case. In this case, the NLRB had charged the Jones &amp; Laughlin Steel Corporation with discriminating against employees who were union members. </w:t>
      </w:r>
      <w:r>
        <w:rPr>
          <w:rFonts w:ascii="Georgia" w:eastAsia="Times New Roman" w:hAnsi="Georgia" w:cs="Calibri"/>
          <w:color w:val="333333"/>
          <w:sz w:val="20"/>
          <w:szCs w:val="20"/>
          <w:lang w:val="en"/>
        </w:rPr>
        <w:lastRenderedPageBreak/>
        <w:t>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Substantial Effects Doctrine: World War II to the 1990s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Subsequent to </w:t>
      </w:r>
      <w:r>
        <w:rPr>
          <w:rFonts w:ascii="Georgia" w:eastAsia="Times New Roman" w:hAnsi="Georgia" w:cs="Calibri"/>
          <w:i/>
          <w:iCs/>
          <w:color w:val="333333"/>
          <w:sz w:val="20"/>
          <w:szCs w:val="20"/>
          <w:lang w:val="en"/>
        </w:rPr>
        <w:t>NLRB v. Jones &amp; Laughlin Steel Corporation</w:t>
      </w:r>
      <w:r>
        <w:rPr>
          <w:rFonts w:ascii="Georgia" w:eastAsia="Times New Roman" w:hAnsi="Georgia" w:cs="Calibri"/>
          <w:color w:val="333333"/>
          <w:sz w:val="20"/>
          <w:szCs w:val="20"/>
          <w:lang w:val="en"/>
        </w:rPr>
        <w:t>, Congress and the courts generally accepted that even modest impacts on interstate commerce were “reachable” by federal legislation. For example, the case of </w:t>
      </w:r>
      <w:r>
        <w:rPr>
          <w:rFonts w:ascii="Georgia" w:eastAsia="Times New Roman" w:hAnsi="Georgia" w:cs="Calibri"/>
          <w:i/>
          <w:iCs/>
          <w:color w:val="333333"/>
          <w:sz w:val="20"/>
          <w:szCs w:val="20"/>
          <w:lang w:val="en"/>
        </w:rPr>
        <w:t>Wickard v. Filburn</w:t>
      </w:r>
      <w:r>
        <w:rPr>
          <w:rFonts w:ascii="Georgia" w:eastAsia="Times New Roman" w:hAnsi="Georgia" w:cs="Calibri"/>
          <w:color w:val="333333"/>
          <w:sz w:val="20"/>
          <w:szCs w:val="20"/>
          <w:lang w:val="en"/>
        </w:rPr>
        <w:t>, from 1942, represents a fairly long reach for Congress in regulating what appear to be very local economic decisions (</w:t>
      </w:r>
      <w:r>
        <w:rPr>
          <w:rFonts w:ascii="Georgia" w:eastAsia="Times New Roman" w:hAnsi="Georgia" w:cs="Calibri"/>
          <w:color w:val="2689C6"/>
          <w:sz w:val="20"/>
          <w:szCs w:val="20"/>
          <w:lang w:val="en"/>
        </w:rPr>
        <w:t>Section 4.6.2</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Wickard</w:t>
      </w:r>
      <w:r>
        <w:rPr>
          <w:rFonts w:ascii="Georgia" w:eastAsia="Times New Roman" w:hAnsi="Georgia" w:cs="Calibri"/>
          <w:color w:val="333333"/>
          <w:sz w:val="20"/>
          <w:szCs w:val="20"/>
          <w:lang w:val="en"/>
        </w:rPr>
        <w:t> 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 </w:t>
      </w:r>
      <w:r>
        <w:rPr>
          <w:rFonts w:ascii="Georgia" w:eastAsia="Times New Roman" w:hAnsi="Georgia" w:cs="Calibri"/>
          <w:i/>
          <w:iCs/>
          <w:color w:val="333333"/>
          <w:sz w:val="20"/>
          <w:szCs w:val="20"/>
          <w:lang w:val="en"/>
        </w:rPr>
        <w:t>Katzenbach v. McClung</w:t>
      </w:r>
      <w:r>
        <w:rPr>
          <w:rFonts w:ascii="Georgia" w:eastAsia="Times New Roman" w:hAnsi="Georgia" w:cs="Calibri"/>
          <w:color w:val="333333"/>
          <w:sz w:val="20"/>
          <w:szCs w:val="20"/>
          <w:lang w:val="en"/>
        </w:rPr>
        <w:t>(1964).</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For nearly thirty years following, it was widely assumed that Congress could almost always find some interstate commerce connection for any law it might pass. It thus came as something of a shock in 1995 when the Rehnquist court decided </w:t>
      </w:r>
      <w:r>
        <w:rPr>
          <w:rFonts w:ascii="Georgia" w:eastAsia="Times New Roman" w:hAnsi="Georgia" w:cs="Calibri"/>
          <w:i/>
          <w:iCs/>
          <w:color w:val="333333"/>
          <w:sz w:val="20"/>
          <w:szCs w:val="20"/>
          <w:lang w:val="en"/>
        </w:rPr>
        <w:t>U.S. v. Lopez</w:t>
      </w:r>
      <w:r>
        <w:rPr>
          <w:rFonts w:ascii="Georgia" w:eastAsia="Times New Roman" w:hAnsi="Georgia" w:cs="Calibri"/>
          <w:color w:val="333333"/>
          <w:sz w:val="20"/>
          <w:szCs w:val="20"/>
          <w:lang w:val="en"/>
        </w:rPr>
        <w:t>.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w:t>
      </w:r>
      <w:r>
        <w:rPr>
          <w:rFonts w:ascii="Georgia" w:eastAsia="Times New Roman" w:hAnsi="Georgia" w:cs="Calibri"/>
          <w:color w:val="333333"/>
          <w:sz w:val="20"/>
          <w:szCs w:val="20"/>
          <w:lang w:val="en"/>
        </w:rPr>
        <w:lastRenderedPageBreak/>
        <w:t>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 </w:t>
      </w:r>
      <w:r>
        <w:rPr>
          <w:rFonts w:ascii="Georgia" w:eastAsia="Times New Roman" w:hAnsi="Georgia" w:cs="Calibri"/>
          <w:i/>
          <w:iCs/>
          <w:color w:val="333333"/>
          <w:sz w:val="20"/>
          <w:szCs w:val="20"/>
          <w:lang w:val="en"/>
        </w:rPr>
        <w:t>U.S. v. Lopez</w:t>
      </w:r>
      <w:r>
        <w:rPr>
          <w:rFonts w:ascii="Georgia" w:eastAsia="Times New Roman" w:hAnsi="Georgia" w:cs="Calibri"/>
          <w:color w:val="333333"/>
          <w:sz w:val="20"/>
          <w:szCs w:val="20"/>
          <w:lang w:val="en"/>
        </w:rPr>
        <w:t> (1995) and </w:t>
      </w:r>
      <w:r>
        <w:rPr>
          <w:rFonts w:ascii="Georgia" w:eastAsia="Times New Roman" w:hAnsi="Georgia" w:cs="Calibri"/>
          <w:i/>
          <w:iCs/>
          <w:color w:val="333333"/>
          <w:sz w:val="20"/>
          <w:szCs w:val="20"/>
          <w:lang w:val="en"/>
        </w:rPr>
        <w:t>U.S. v. Morrison</w:t>
      </w:r>
      <w:r>
        <w:rPr>
          <w:rFonts w:ascii="Georgia" w:eastAsia="Times New Roman" w:hAnsi="Georgia" w:cs="Calibri"/>
          <w:color w:val="333333"/>
          <w:sz w:val="20"/>
          <w:szCs w:val="20"/>
          <w:lang w:val="en"/>
        </w:rPr>
        <w:t> (2000) to say that using medical marijuana did not “substantially affect” interstate commerce and therefore could not be regulated by Congress.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w:t>
      </w:r>
      <w:r>
        <w:rPr>
          <w:rFonts w:ascii="Georgia" w:eastAsia="Times New Roman" w:hAnsi="Georgia" w:cs="Calibri"/>
          <w:color w:val="333333"/>
          <w:sz w:val="20"/>
          <w:szCs w:val="20"/>
          <w:lang w:val="en"/>
        </w:rPr>
        <w:lastRenderedPageBreak/>
        <w:t>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how similar this reasoning is to the court’s earlier reasoning in </w:t>
      </w:r>
      <w:r>
        <w:rPr>
          <w:rFonts w:ascii="Georgia" w:eastAsia="Times New Roman" w:hAnsi="Georgia" w:cs="Calibri"/>
          <w:i/>
          <w:iCs/>
          <w:color w:val="333333"/>
          <w:sz w:val="20"/>
          <w:szCs w:val="20"/>
          <w:lang w:val="en"/>
        </w:rPr>
        <w:t>Wickard v. Filburn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4.6.2</w:t>
      </w:r>
      <w:r>
        <w:rPr>
          <w:rFonts w:ascii="Georgia" w:eastAsia="Times New Roman" w:hAnsi="Georgia" w:cs="Calibri"/>
          <w:color w:val="333333"/>
          <w:sz w:val="20"/>
          <w:szCs w:val="20"/>
          <w:lang w:val="en"/>
        </w:rPr>
        <w:t>). In contrast, the court’s conservative wing was adamant that federal power had been exceeded. Justice Clarence Thomas’s dissent in </w:t>
      </w:r>
      <w:r>
        <w:rPr>
          <w:rFonts w:ascii="Georgia" w:eastAsia="Times New Roman" w:hAnsi="Georgia" w:cs="Calibri"/>
          <w:i/>
          <w:iCs/>
          <w:color w:val="333333"/>
          <w:sz w:val="20"/>
          <w:szCs w:val="20"/>
          <w:lang w:val="en"/>
        </w:rPr>
        <w:t>Gonzalez v. Raich</w:t>
      </w:r>
      <w:r>
        <w:rPr>
          <w:rFonts w:ascii="Georgia" w:eastAsia="Times New Roman" w:hAnsi="Georgia" w:cs="Calibri"/>
          <w:color w:val="333333"/>
          <w:sz w:val="20"/>
          <w:szCs w:val="20"/>
          <w:lang w:val="en"/>
        </w:rPr>
        <w:t> 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8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A86150" w:rsidRDefault="00F714D4">
      <w:pPr>
        <w:numPr>
          <w:ilvl w:val="0"/>
          <w:numId w:val="86"/>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Supreme Court were to go back to the days of </w:t>
      </w:r>
      <w:r>
        <w:rPr>
          <w:rFonts w:ascii="Calibri" w:eastAsia="Times New Roman" w:hAnsi="Calibri" w:cs="Calibri"/>
          <w:i/>
          <w:iCs/>
          <w:color w:val="333333"/>
          <w:sz w:val="20"/>
          <w:szCs w:val="20"/>
          <w:lang w:val="en"/>
        </w:rPr>
        <w:t>Hammer v. Dagenhart</w:t>
      </w:r>
      <w:r>
        <w:rPr>
          <w:rFonts w:ascii="Calibri" w:eastAsia="Times New Roman" w:hAnsi="Calibri" w:cs="Calibri"/>
          <w:color w:val="333333"/>
          <w:sz w:val="20"/>
          <w:szCs w:val="20"/>
          <w:lang w:val="en"/>
        </w:rPr>
        <w:t xml:space="preserve"> and rule that only goods and services involving interstate movement could be subject to federal law, what kinds of federal programs </w:t>
      </w:r>
      <w:r>
        <w:rPr>
          <w:rFonts w:ascii="Calibri" w:eastAsia="Times New Roman" w:hAnsi="Calibri" w:cs="Calibri"/>
          <w:color w:val="333333"/>
          <w:sz w:val="20"/>
          <w:szCs w:val="20"/>
          <w:lang w:val="en"/>
        </w:rPr>
        <w:lastRenderedPageBreak/>
        <w:t>might be lacking a sound basis in the commerce clause? “Obamacare”? Medicare? Homeland security? Social Security? What other powers are granted to Congress under the Constitution to legislate for the general good of society?</w:t>
      </w:r>
    </w:p>
    <w:p w:rsidR="00A86150" w:rsidRDefault="0081777E">
      <w:pPr>
        <w:spacing w:after="0" w:line="240" w:lineRule="auto"/>
        <w:jc w:val="cente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pict>
          <v:rect id="_x0000_i1036" style="width:468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Hipolite Egg Co. v. United States</w:t>
      </w:r>
      <w:r>
        <w:rPr>
          <w:rFonts w:ascii="Calibri" w:hAnsi="Calibri" w:cs="Calibri"/>
          <w:color w:val="333333"/>
          <w:sz w:val="20"/>
          <w:szCs w:val="20"/>
        </w:rPr>
        <w:t>, 220 US 45 (1911).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Hoke v. United States</w:t>
      </w:r>
      <w:r>
        <w:rPr>
          <w:rFonts w:ascii="Calibri" w:hAnsi="Calibri" w:cs="Calibri"/>
          <w:color w:val="333333"/>
          <w:sz w:val="20"/>
          <w:szCs w:val="20"/>
        </w:rPr>
        <w:t>, 227 US 308 (1913).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Katzenbach v. McClung</w:t>
      </w:r>
      <w:r>
        <w:rPr>
          <w:rFonts w:ascii="Calibri" w:hAnsi="Calibri" w:cs="Calibri"/>
          <w:color w:val="333333"/>
          <w:sz w:val="20"/>
          <w:szCs w:val="20"/>
        </w:rPr>
        <w:t>, 379 US 294 (1964).</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4.3 Dormant Commerce Clause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87"/>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when Congress does not exercise its powers under the commerce clause, the Supreme Court may still limit state legislation that discriminates against interstate commerce or places an undue burden on interstate commerce.</w:t>
      </w:r>
    </w:p>
    <w:p w:rsidR="00A86150" w:rsidRDefault="00F714D4">
      <w:pPr>
        <w:numPr>
          <w:ilvl w:val="0"/>
          <w:numId w:val="87"/>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“discrimination” dormant-commerce-clause cases and “undue burden” dormant-commerce-clause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were never yielded up to the federal government.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 </w:t>
      </w:r>
      <w:r>
        <w:rPr>
          <w:rFonts w:ascii="Georgia" w:eastAsia="Times New Roman" w:hAnsi="Georgia" w:cs="Calibri"/>
          <w:b/>
          <w:color w:val="333333"/>
          <w:sz w:val="20"/>
          <w:szCs w:val="20"/>
          <w:u w:val="single"/>
          <w:lang w:val="en"/>
        </w:rPr>
        <w:t>dormant commerce clause</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ways that a state may violate the dormant commerce clause. If a state passes a law that is an “undue burden” on interstate commerce or that “discriminates” against interstate commerce, it will be struck down. </w:t>
      </w:r>
      <w:r>
        <w:rPr>
          <w:rFonts w:ascii="Georgia" w:eastAsia="Times New Roman" w:hAnsi="Georgia" w:cs="Calibri"/>
          <w:i/>
          <w:iCs/>
          <w:color w:val="333333"/>
          <w:sz w:val="20"/>
          <w:szCs w:val="20"/>
          <w:lang w:val="en"/>
        </w:rPr>
        <w:t>Kassel v. Consolidated Freightways</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4.7 "Summary and Exercises"</w:t>
      </w:r>
      <w:r>
        <w:rPr>
          <w:rFonts w:ascii="Georgia" w:eastAsia="Times New Roman" w:hAnsi="Georgia" w:cs="Calibri"/>
          <w:color w:val="333333"/>
          <w:sz w:val="20"/>
          <w:szCs w:val="20"/>
          <w:lang w:val="en"/>
        </w:rPr>
        <w:t>, is an example of a case where Iowa imposed an undue burden on interstate commerce by prohibiting double trailers on its highways.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Iowa’s prohibition was judicially declared void when the Supreme Court judged it to be an undue burden.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Discrimination cases such as </w:t>
      </w:r>
      <w:r>
        <w:rPr>
          <w:rFonts w:ascii="Georgia" w:eastAsia="Times New Roman" w:hAnsi="Georgia" w:cs="Calibri"/>
          <w:i/>
          <w:iCs/>
          <w:color w:val="333333"/>
          <w:sz w:val="20"/>
          <w:szCs w:val="20"/>
          <w:lang w:val="en"/>
        </w:rPr>
        <w:t>Hunt v. Washington Apple Advertising Commission</w:t>
      </w:r>
      <w:r>
        <w:rPr>
          <w:rFonts w:ascii="Georgia" w:eastAsia="Times New Roman" w:hAnsi="Georgia" w:cs="Calibri"/>
          <w:color w:val="333333"/>
          <w:sz w:val="20"/>
          <w:szCs w:val="20"/>
          <w:lang w:val="en"/>
        </w:rPr>
        <w:t> (</w:t>
      </w:r>
      <w:hyperlink r:id="rId18" w:anchor="mayer_1.0-ch04_s06" w:tgtFrame="_blank" w:history="1">
        <w:r>
          <w:rPr>
            <w:rStyle w:val="Hyperlink"/>
            <w:rFonts w:ascii="Georgia" w:eastAsia="Times New Roman" w:hAnsi="Georgia" w:cs="Calibri"/>
            <w:color w:val="2689C6"/>
            <w:sz w:val="20"/>
            <w:szCs w:val="20"/>
            <w:lang w:val="en"/>
          </w:rPr>
          <w:t>Section 4.6 "Cases"</w:t>
        </w:r>
      </w:hyperlink>
      <w:r>
        <w:rPr>
          <w:rFonts w:ascii="Georgia" w:eastAsia="Times New Roman" w:hAnsi="Georgia" w:cs="Calibri"/>
          <w:color w:val="333333"/>
          <w:sz w:val="20"/>
          <w:szCs w:val="20"/>
          <w:lang w:val="en"/>
        </w:rPr>
        <w:t>) pose a different standard. The court has been fairly inflexible here: if one state discriminates in its treatment of any article of commerce based on its state of origin, the court will strike down the law. For example, in </w:t>
      </w:r>
      <w:r>
        <w:rPr>
          <w:rFonts w:ascii="Georgia" w:eastAsia="Times New Roman" w:hAnsi="Georgia" w:cs="Calibri"/>
          <w:i/>
          <w:iCs/>
          <w:color w:val="333333"/>
          <w:sz w:val="20"/>
          <w:szCs w:val="20"/>
          <w:lang w:val="en"/>
        </w:rPr>
        <w:t>Oregon Waste Systems v. Department of Environmental Quality,</w:t>
      </w:r>
      <w:r>
        <w:rPr>
          <w:rFonts w:ascii="Georgia" w:eastAsia="Times New Roman" w:hAnsi="Georgia" w:cs="Calibri"/>
          <w:color w:val="333333"/>
          <w:sz w:val="20"/>
          <w:szCs w:val="20"/>
          <w:lang w:val="en"/>
        </w:rPr>
        <w:t xml:space="preserve">the state wanted to place a </w:t>
      </w:r>
      <w:r>
        <w:rPr>
          <w:rFonts w:ascii="Georgia" w:eastAsia="Times New Roman" w:hAnsi="Georgia" w:cs="Calibri"/>
          <w:color w:val="333333"/>
          <w:sz w:val="20"/>
          <w:szCs w:val="20"/>
          <w:lang w:val="en"/>
        </w:rPr>
        <w:lastRenderedPageBreak/>
        <w:t>slightly higher charge on waste coming from out of state.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Dealing with Unwelcome Waste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Senator Carl Levin, January 2003</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Michigan is facing an intolerable situation with regard to the importation of waste from other states and Canada.</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Canada is the largest source of waste imports to Michigan. Approximately 65 truckloads of waste come in to Michigan per day from Toronto alone, and an estimated 110–130 trucks come in from Canada each day.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have teamed up with Senator Stabenow and Congressman Dingell to introduce legislation that would strengthen our ability to stop shipments of waste from Canada.</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Canada could not export waste to Michigan without the 1986 agreement, but the U.S. has not implemented the provisions that are designed to protect the people of Michigan. Although those of us that </w:t>
      </w:r>
      <w:r>
        <w:rPr>
          <w:rFonts w:ascii="Georgia" w:eastAsia="Times New Roman" w:hAnsi="Georgia" w:cs="Calibri"/>
          <w:color w:val="333333"/>
          <w:sz w:val="20"/>
          <w:szCs w:val="20"/>
          <w:lang w:val="en"/>
        </w:rPr>
        <w:lastRenderedPageBreak/>
        <w:t>introduced this legislation believe that the Environmental Protection Agency has the authority to enforce this agreement, they have not done so. Our bill would require the EPA [Environmental Protection Agency] to enforce the agreement.</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bill would require the EPA to consider these factors in determining whether to accept imports of trash from Canada. It is my strong view that such a review should lead the EPA to say “no” to the status quo of trash imports.</w:t>
      </w:r>
    </w:p>
    <w:p w:rsidR="00A86150" w:rsidRDefault="00A86150">
      <w:pPr>
        <w:spacing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8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A86150" w:rsidRDefault="00F714D4">
      <w:pPr>
        <w:numPr>
          <w:ilvl w:val="0"/>
          <w:numId w:val="88"/>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w:t>
      </w:r>
      <w:r>
        <w:rPr>
          <w:rFonts w:ascii="Calibri" w:eastAsia="Times New Roman" w:hAnsi="Calibri" w:cs="Calibri"/>
          <w:color w:val="333333"/>
          <w:sz w:val="20"/>
          <w:szCs w:val="20"/>
          <w:lang w:val="en"/>
        </w:rPr>
        <w:lastRenderedPageBreak/>
        <w:t>find the Arizona legislation costly and burdensome and challenge the legislation after applied-for permits for longer trains are denied. What kind of dormant commerce clause challenge is this, and what would it take for the challenge to be successful?</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Kassell v. Consolidated Freightways</w:t>
      </w:r>
      <w:r>
        <w:rPr>
          <w:rFonts w:ascii="Calibri" w:eastAsia="Times New Roman" w:hAnsi="Calibri" w:cs="Calibri"/>
          <w:color w:val="333333"/>
          <w:sz w:val="20"/>
          <w:szCs w:val="20"/>
        </w:rPr>
        <w:t>, 450 US 662 (1981).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Oregon Waste Systems v. Department of Environmental Quality</w:t>
      </w:r>
      <w:r>
        <w:rPr>
          <w:rFonts w:ascii="Calibri" w:eastAsia="Times New Roman" w:hAnsi="Calibri" w:cs="Calibri"/>
          <w:color w:val="333333"/>
          <w:sz w:val="20"/>
          <w:szCs w:val="20"/>
        </w:rPr>
        <w:t>, 511 US 93 (1994).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Fort Gratiot Sanitary Landfill v. Michigan Dep’t of Natural Resources</w:t>
      </w:r>
      <w:r>
        <w:rPr>
          <w:rFonts w:ascii="Calibri" w:eastAsia="Times New Roman" w:hAnsi="Calibri" w:cs="Calibri"/>
          <w:color w:val="333333"/>
          <w:sz w:val="20"/>
          <w:szCs w:val="20"/>
        </w:rPr>
        <w:t>, 504 US 353 (1992).</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4.4 Preemption: The Supremacy Clause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8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role of the supremacy clause in the balance between state and federal power.</w:t>
      </w:r>
    </w:p>
    <w:p w:rsidR="00A86150" w:rsidRDefault="00F714D4">
      <w:pPr>
        <w:numPr>
          <w:ilvl w:val="0"/>
          <w:numId w:val="8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cases where state legislation is preempted by federal law and cases where state legislation is not preempted by federal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Fonts w:ascii="Georgia" w:eastAsia="Times New Roman" w:hAnsi="Georgia" w:cs="Calibri"/>
          <w:b/>
          <w:bCs/>
          <w:color w:val="333333"/>
          <w:sz w:val="20"/>
          <w:szCs w:val="20"/>
          <w:lang w:val="en"/>
        </w:rPr>
        <w:t>preemption</w:t>
      </w:r>
      <w:r>
        <w:rPr>
          <w:rFonts w:ascii="Georgia" w:eastAsia="Times New Roman" w:hAnsi="Georgia" w:cs="Calibri"/>
          <w:color w:val="333333"/>
          <w:sz w:val="20"/>
          <w:szCs w:val="20"/>
          <w:lang w:val="en"/>
        </w:rPr>
        <w:t> will (in accordance with the supremacy clause) void the state law or whatever parts of it are inconsistent with federal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w:t>
      </w:r>
      <w:r>
        <w:rPr>
          <w:rFonts w:ascii="Georgia" w:eastAsia="Times New Roman" w:hAnsi="Georgia" w:cs="Calibri"/>
          <w:color w:val="333333"/>
          <w:sz w:val="20"/>
          <w:szCs w:val="20"/>
          <w:lang w:val="en"/>
        </w:rPr>
        <w:lastRenderedPageBreak/>
        <w:t>made both a federal car and a California car, because federal Clean Air Act emissions restrictions do not preempt more rigorous state standards.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Supremacy Clause</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VI</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preemption</w:t>
      </w:r>
      <w:r>
        <w:rPr>
          <w:rFonts w:ascii="Georgia" w:eastAsia="Times New Roman" w:hAnsi="Georgia" w:cs="Calibri"/>
          <w:color w:val="333333"/>
          <w:sz w:val="20"/>
          <w:szCs w:val="20"/>
          <w:lang w:val="en"/>
        </w:rPr>
        <w:t xml:space="preserve"> 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Fonts w:ascii="Georgia" w:eastAsia="Times New Roman" w:hAnsi="Georgia" w:cs="Calibri"/>
          <w:i/>
          <w:iCs/>
          <w:color w:val="333333"/>
          <w:sz w:val="20"/>
          <w:szCs w:val="20"/>
          <w:lang w:val="en"/>
        </w:rPr>
        <w:t>any</w:t>
      </w:r>
      <w:r>
        <w:rPr>
          <w:rFonts w:ascii="Georgia" w:eastAsia="Times New Roman" w:hAnsi="Georgia" w:cs="Calibri"/>
          <w:color w:val="333333"/>
          <w:sz w:val="20"/>
          <w:szCs w:val="20"/>
          <w:lang w:val="en"/>
        </w:rPr>
        <w:t> federal law—even a regulation of a federal agency—would control over </w:t>
      </w:r>
      <w:r>
        <w:rPr>
          <w:rFonts w:ascii="Georgia" w:eastAsia="Times New Roman" w:hAnsi="Georgia" w:cs="Calibri"/>
          <w:i/>
          <w:iCs/>
          <w:color w:val="333333"/>
          <w:sz w:val="20"/>
          <w:szCs w:val="20"/>
          <w:lang w:val="en"/>
        </w:rPr>
        <w:t xml:space="preserve">any </w:t>
      </w:r>
      <w:r>
        <w:rPr>
          <w:rFonts w:ascii="Georgia" w:eastAsia="Times New Roman" w:hAnsi="Georgia" w:cs="Calibri"/>
          <w:color w:val="333333"/>
          <w:sz w:val="20"/>
          <w:szCs w:val="20"/>
          <w:lang w:val="en"/>
        </w:rPr>
        <w:t>conflicting state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w:t>
      </w:r>
      <w:r>
        <w:rPr>
          <w:rFonts w:ascii="Georgia" w:eastAsia="Times New Roman" w:hAnsi="Georgia" w:cs="Calibri"/>
          <w:color w:val="333333"/>
          <w:sz w:val="20"/>
          <w:szCs w:val="20"/>
          <w:lang w:val="en"/>
        </w:rPr>
        <w:lastRenderedPageBreak/>
        <w:t>the state is attempting to regulate, or whether a state law directly conflicts with federal law, or whether enforcement of the state law might frustrate federal purposes.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“occupation of the field” occurs, according to the court in </w:t>
      </w:r>
      <w:r>
        <w:rPr>
          <w:rFonts w:ascii="Georgia" w:eastAsia="Times New Roman" w:hAnsi="Georgia" w:cs="Calibri"/>
          <w:i/>
          <w:iCs/>
          <w:color w:val="333333"/>
          <w:sz w:val="20"/>
          <w:szCs w:val="20"/>
          <w:lang w:val="en"/>
        </w:rPr>
        <w:t>Pennsylvania v. Nelson</w:t>
      </w:r>
      <w:r>
        <w:rPr>
          <w:rFonts w:ascii="Georgia" w:eastAsia="Times New Roman" w:hAnsi="Georgia" w:cs="Calibri"/>
          <w:color w:val="333333"/>
          <w:sz w:val="20"/>
          <w:szCs w:val="20"/>
          <w:lang w:val="en"/>
        </w:rPr>
        <w:t> (1956),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Silkwood v. Kerr-McGee</w:t>
      </w:r>
      <w:r>
        <w:rPr>
          <w:rFonts w:ascii="Georgia" w:eastAsia="Times New Roman" w:hAnsi="Georgia" w:cs="Calibri"/>
          <w:color w:val="333333"/>
          <w:sz w:val="20"/>
          <w:szCs w:val="20"/>
          <w:lang w:val="en"/>
        </w:rPr>
        <w:t> (1984),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Cipollone v. Liggett Group</w:t>
      </w:r>
      <w:r>
        <w:rPr>
          <w:rFonts w:ascii="Georgia" w:eastAsia="Times New Roman" w:hAnsi="Georgia" w:cs="Calibri"/>
          <w:color w:val="333333"/>
          <w:sz w:val="20"/>
          <w:szCs w:val="20"/>
          <w:lang w:val="en"/>
        </w:rPr>
        <w:t> (1993)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tabs>
          <w:tab w:val="left" w:pos="9000"/>
        </w:tabs>
        <w:spacing w:after="15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90"/>
        </w:numPr>
        <w:shd w:val="clear" w:color="auto" w:fill="E3EFF7"/>
        <w:tabs>
          <w:tab w:val="left" w:pos="90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negotiated by the federal government. Are the Washington state requirements preempted by federal law?</w:t>
      </w:r>
    </w:p>
    <w:p w:rsidR="00A86150" w:rsidRDefault="00F714D4">
      <w:pPr>
        <w:numPr>
          <w:ilvl w:val="0"/>
          <w:numId w:val="90"/>
        </w:numPr>
        <w:shd w:val="clear" w:color="auto" w:fill="E3EFF7"/>
        <w:tabs>
          <w:tab w:val="left" w:pos="900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Cippolone v. Liggett Group</w:t>
      </w:r>
      <w:r>
        <w:rPr>
          <w:rFonts w:ascii="Calibri" w:eastAsia="Times New Roman" w:hAnsi="Calibri" w:cs="Calibri"/>
          <w:color w:val="333333"/>
          <w:sz w:val="20"/>
          <w:szCs w:val="20"/>
        </w:rPr>
        <w:t>, 505 US 504 (1993).</w:t>
      </w:r>
    </w:p>
    <w:p w:rsidR="00A86150" w:rsidRDefault="00A86150">
      <w:pPr>
        <w:shd w:val="clear" w:color="auto" w:fill="FFFFFF"/>
        <w:spacing w:after="0" w:line="439" w:lineRule="atLeast"/>
        <w:textAlignment w:val="baseline"/>
        <w:rPr>
          <w:rFonts w:ascii="Calibri" w:eastAsia="Times New Roman" w:hAnsi="Calibri" w:cs="Calibri"/>
          <w:color w:val="333333"/>
          <w:sz w:val="20"/>
          <w:szCs w:val="20"/>
        </w:rPr>
      </w:pP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4.5 Business and the Bill of Rights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tabs>
          <w:tab w:val="left" w:pos="8820"/>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91"/>
        </w:numPr>
        <w:shd w:val="clear" w:color="auto" w:fill="EAE9DC"/>
        <w:tabs>
          <w:tab w:val="clear" w:pos="720"/>
          <w:tab w:val="num" w:pos="1080"/>
          <w:tab w:val="left" w:pos="8820"/>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and describe which articles in the Bill of Rights apply to business activities and how they apply.</w:t>
      </w:r>
    </w:p>
    <w:p w:rsidR="00A86150" w:rsidRDefault="00F714D4">
      <w:pPr>
        <w:numPr>
          <w:ilvl w:val="0"/>
          <w:numId w:val="91"/>
        </w:numPr>
        <w:shd w:val="clear" w:color="auto" w:fill="EAE9DC"/>
        <w:tabs>
          <w:tab w:val="left" w:pos="8820"/>
          <w:tab w:val="left" w:pos="900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application of the Fourteenth Amendment—including the due process clause and the equal protection clause—to various rights enumerated in the original Bill of Rights.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already seen the Fourteenth Amendment’s application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 </w:t>
      </w:r>
      <w:r>
        <w:rPr>
          <w:rFonts w:ascii="Georgia" w:eastAsia="Times New Roman" w:hAnsi="Georgia" w:cs="Calibri"/>
          <w:i/>
          <w:iCs/>
          <w:color w:val="333333"/>
          <w:sz w:val="20"/>
          <w:szCs w:val="20"/>
          <w:lang w:val="en"/>
        </w:rPr>
        <w:t>Mapp v. Ohio</w:t>
      </w:r>
      <w:r>
        <w:rPr>
          <w:rFonts w:ascii="Georgia" w:eastAsia="Times New Roman" w:hAnsi="Georgia" w:cs="Calibri"/>
          <w:color w:val="333333"/>
          <w:sz w:val="20"/>
          <w:szCs w:val="20"/>
          <w:lang w:val="en"/>
        </w:rPr>
        <w:t> (1960),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some very basic principles to remember:</w:t>
      </w:r>
    </w:p>
    <w:p w:rsidR="00A86150" w:rsidRDefault="00F714D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guarantees of the Bill of Rights apply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xml:space="preserve"> to state and federal government action. They do not limit what a company or person in the private sector may do. For example, states may not </w:t>
      </w:r>
      <w:r>
        <w:rPr>
          <w:rFonts w:ascii="Georgia" w:eastAsia="Times New Roman" w:hAnsi="Georgia" w:cs="Calibri"/>
          <w:color w:val="333333"/>
          <w:sz w:val="20"/>
          <w:szCs w:val="20"/>
          <w:lang w:val="en"/>
        </w:rPr>
        <w:lastRenderedPageBreak/>
        <w:t>impose censorship on the media or limit free speech in a way that offends the First Amendment, but your boss (in the private sector) may order you not to talk to the media.</w:t>
      </w:r>
    </w:p>
    <w:p w:rsidR="00A86150" w:rsidRDefault="00F714D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States have rights, too. While “states rights” was a battle cry of Southern states before the Civil War, the question of what balance to strike between state sovereignty and federal union has never been simple. In </w:t>
      </w:r>
      <w:r>
        <w:rPr>
          <w:rFonts w:ascii="Georgia" w:eastAsia="Times New Roman" w:hAnsi="Georgia" w:cs="Calibri"/>
          <w:i/>
          <w:iCs/>
          <w:color w:val="333333"/>
          <w:sz w:val="20"/>
          <w:szCs w:val="20"/>
          <w:lang w:val="en"/>
        </w:rPr>
        <w:t>Kimel v. Florida</w:t>
      </w:r>
      <w:r>
        <w:rPr>
          <w:rFonts w:ascii="Georgia" w:eastAsia="Times New Roman" w:hAnsi="Georgia" w:cs="Calibri"/>
          <w:color w:val="333333"/>
          <w:sz w:val="20"/>
          <w:szCs w:val="20"/>
          <w:lang w:val="en"/>
        </w:rPr>
        <w:t>, for example, the Supreme Court found in the words of the Eleventh Amendment a basis for declaring that states may not have to obey certain federal statutes.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First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 </w:t>
      </w:r>
      <w:r>
        <w:rPr>
          <w:rFonts w:ascii="Georgia" w:eastAsia="Times New Roman" w:hAnsi="Georgia" w:cs="Calibri"/>
          <w:i/>
          <w:iCs/>
          <w:color w:val="333333"/>
          <w:sz w:val="20"/>
          <w:szCs w:val="20"/>
          <w:lang w:val="en"/>
        </w:rPr>
        <w:t xml:space="preserve">National Enquirer </w:t>
      </w:r>
      <w:r>
        <w:rPr>
          <w:rFonts w:ascii="Georgia" w:eastAsia="Times New Roman" w:hAnsi="Georgia" w:cs="Calibri"/>
          <w:color w:val="333333"/>
          <w:sz w:val="20"/>
          <w:szCs w:val="20"/>
          <w:lang w:val="en"/>
        </w:rPr>
        <w:t>writes exclusively about public figures, public officials, and celebrities; it is possible to say many things that aren’t completely true and still have the protection of the First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another case, </w:t>
      </w:r>
      <w:r>
        <w:rPr>
          <w:rFonts w:ascii="Georgia" w:eastAsia="Times New Roman" w:hAnsi="Georgia" w:cs="Calibri"/>
          <w:i/>
          <w:iCs/>
          <w:color w:val="333333"/>
          <w:sz w:val="20"/>
          <w:szCs w:val="20"/>
          <w:lang w:val="en"/>
        </w:rPr>
        <w:t>Austin v. Michigan Chamber of Commerce</w:t>
      </w:r>
      <w:r>
        <w:rPr>
          <w:rFonts w:ascii="Georgia" w:eastAsia="Times New Roman" w:hAnsi="Georgia" w:cs="Calibri"/>
          <w:color w:val="333333"/>
          <w:sz w:val="20"/>
          <w:szCs w:val="20"/>
          <w:lang w:val="en"/>
        </w:rPr>
        <w:t> (1990),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w:t>
      </w:r>
      <w:r>
        <w:rPr>
          <w:rFonts w:ascii="Georgia" w:eastAsia="Times New Roman" w:hAnsi="Georgia" w:cs="Calibri"/>
          <w:color w:val="333333"/>
          <w:sz w:val="20"/>
          <w:szCs w:val="20"/>
          <w:lang w:val="en"/>
        </w:rPr>
        <w:lastRenderedPageBreak/>
        <w:t>implemented to achieve the important goal of maintaining integrity in the political process. But as you will see in </w:t>
      </w:r>
      <w:r>
        <w:rPr>
          <w:rFonts w:ascii="Georgia" w:eastAsia="Times New Roman" w:hAnsi="Georgia" w:cs="Calibri"/>
          <w:i/>
          <w:iCs/>
          <w:color w:val="333333"/>
          <w:sz w:val="20"/>
          <w:szCs w:val="20"/>
          <w:lang w:val="en"/>
        </w:rPr>
        <w:t>Citizens United v. Federal Election Commission</w:t>
      </w:r>
      <w:r>
        <w:rPr>
          <w:rFonts w:ascii="Georgia" w:eastAsia="Times New Roman" w:hAnsi="Georgia" w:cs="Calibri"/>
          <w:color w:val="333333"/>
          <w:sz w:val="20"/>
          <w:szCs w:val="20"/>
          <w:lang w:val="en"/>
        </w:rPr>
        <w:t> (</w:t>
      </w:r>
      <w:hyperlink r:id="rId19" w:anchor="mayer_1.0-ch04_s06" w:tgtFrame="_blank" w:history="1">
        <w:r>
          <w:rPr>
            <w:rStyle w:val="Hyperlink"/>
            <w:rFonts w:ascii="Georgia" w:eastAsia="Times New Roman" w:hAnsi="Georgia" w:cs="Calibri"/>
            <w:color w:val="2689C6"/>
            <w:sz w:val="20"/>
            <w:szCs w:val="20"/>
            <w:lang w:val="en"/>
          </w:rPr>
          <w:t>Section 4.6 "Cases"</w:t>
        </w:r>
      </w:hyperlink>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was overruled; corporations are recognized as “persons” with First Amendment political speech rights that cannot be impaired by Congress or the states without some compelling governmental interest with restrictions on those rights that are “narrowly tailored.”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Fourth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1980s, Dow Chemical objected to an overflight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w:t>
      </w:r>
      <w:r>
        <w:rPr>
          <w:rFonts w:ascii="Georgia" w:eastAsia="Times New Roman" w:hAnsi="Georgia" w:cs="Calibri"/>
          <w:color w:val="333333"/>
          <w:sz w:val="20"/>
          <w:szCs w:val="20"/>
          <w:lang w:val="en"/>
        </w:rPr>
        <w:lastRenderedPageBreak/>
        <w:t>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Fifth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states, “No person shall be…deprived of life, liberty, or property, without due process of law; nor shall private property be taken for public use, without just compensation.”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has three principal aspects: </w:t>
      </w:r>
      <w:r>
        <w:rPr>
          <w:rFonts w:ascii="Georgia" w:eastAsia="Times New Roman" w:hAnsi="Georgia" w:cs="Calibri"/>
          <w:b/>
          <w:color w:val="333333"/>
          <w:sz w:val="20"/>
          <w:szCs w:val="20"/>
          <w:u w:val="single"/>
          <w:lang w:val="en"/>
        </w:rPr>
        <w:t>procedural due process</w:t>
      </w:r>
      <w:r>
        <w:rPr>
          <w:rFonts w:ascii="Georgia" w:eastAsia="Times New Roman" w:hAnsi="Georgia" w:cs="Calibri"/>
          <w:color w:val="333333"/>
          <w:sz w:val="20"/>
          <w:szCs w:val="20"/>
          <w:lang w:val="en"/>
        </w:rPr>
        <w:t>, the </w:t>
      </w:r>
      <w:r>
        <w:rPr>
          <w:rFonts w:ascii="Georgia" w:eastAsia="Times New Roman" w:hAnsi="Georgia" w:cs="Calibri"/>
          <w:b/>
          <w:color w:val="333333"/>
          <w:sz w:val="20"/>
          <w:szCs w:val="20"/>
          <w:u w:val="single"/>
          <w:lang w:val="en"/>
        </w:rPr>
        <w:t>takings clause</w:t>
      </w:r>
      <w:r>
        <w:rPr>
          <w:rFonts w:ascii="Georgia" w:eastAsia="Times New Roman" w:hAnsi="Georgia" w:cs="Calibri"/>
          <w:color w:val="333333"/>
          <w:sz w:val="20"/>
          <w:szCs w:val="20"/>
          <w:lang w:val="en"/>
        </w:rPr>
        <w:t>, and </w:t>
      </w:r>
      <w:r>
        <w:rPr>
          <w:rFonts w:ascii="Georgia" w:eastAsia="Times New Roman" w:hAnsi="Georgia" w:cs="Calibri"/>
          <w:b/>
          <w:color w:val="333333"/>
          <w:sz w:val="20"/>
          <w:szCs w:val="20"/>
          <w:u w:val="single"/>
          <w:lang w:val="en"/>
        </w:rPr>
        <w:t>substantive due process</w:t>
      </w:r>
      <w:r>
        <w:rPr>
          <w:rFonts w:ascii="Georgia" w:eastAsia="Times New Roman" w:hAnsi="Georgia" w:cs="Calibri"/>
          <w:color w:val="333333"/>
          <w:sz w:val="20"/>
          <w:szCs w:val="20"/>
          <w:lang w:val="en"/>
        </w:rPr>
        <w:t>. In terms of procedural due process, the amendment prevents government from arbitrarily taking the life of a criminal defendant. In civil lawsuits, it is also constitutionally essential that the proceedings be fair. This is why, for example, the defendant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had a serious constitutional argument, even though he lost.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Kelo v. City of New London</w:t>
      </w:r>
      <w:r>
        <w:rPr>
          <w:rFonts w:ascii="Georgia" w:eastAsia="Times New Roman" w:hAnsi="Georgia" w:cs="Calibri"/>
          <w:color w:val="333333"/>
          <w:sz w:val="20"/>
          <w:szCs w:val="20"/>
          <w:lang w:val="en"/>
        </w:rPr>
        <w:t>, Mrs. Kelo and other residents fought the city of New London, in its attempt to use powers of eminent domain to create an industrial park and recreation area that would have Pfizer &amp; Co. as a principal tenant.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city argued that increasing its tax base was a sufficient public purpose. In a very close decision, the Supreme Court determined that New London’s actions did not violate the takings clause. However, political reactions in various states resulted in a great deal of new </w:t>
      </w:r>
      <w:r>
        <w:rPr>
          <w:rFonts w:ascii="Georgia" w:eastAsia="Times New Roman" w:hAnsi="Georgia" w:cs="Calibri"/>
          <w:color w:val="333333"/>
          <w:sz w:val="20"/>
          <w:szCs w:val="20"/>
          <w:lang w:val="en"/>
        </w:rPr>
        <w:lastRenderedPageBreak/>
        <w:t>state legislation that would limit the scope of public purpose in eminent domain takings and provide additional compensation to property owners in many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w:t>
      </w:r>
      <w:r>
        <w:rPr>
          <w:rFonts w:ascii="Georgia" w:eastAsia="Times New Roman" w:hAnsi="Georgia" w:cs="Calibri"/>
          <w:i/>
          <w:iCs/>
          <w:color w:val="333333"/>
          <w:sz w:val="20"/>
          <w:szCs w:val="20"/>
          <w:lang w:val="en"/>
        </w:rPr>
        <w:t>Lochner v. New York</w:t>
      </w:r>
      <w:r>
        <w:rPr>
          <w:rFonts w:ascii="Georgia" w:eastAsia="Times New Roman" w:hAnsi="Georgia" w:cs="Calibri"/>
          <w:color w:val="333333"/>
          <w:sz w:val="20"/>
          <w:szCs w:val="20"/>
          <w:lang w:val="en"/>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 </w:t>
      </w:r>
      <w:r>
        <w:rPr>
          <w:rFonts w:ascii="Georgia" w:eastAsia="Times New Roman" w:hAnsi="Georgia" w:cs="Calibri"/>
          <w:i/>
          <w:iCs/>
          <w:color w:val="333333"/>
          <w:sz w:val="20"/>
          <w:szCs w:val="20"/>
          <w:lang w:val="en"/>
        </w:rPr>
        <w:t>liberty</w:t>
      </w:r>
      <w:r>
        <w:rPr>
          <w:rFonts w:ascii="Georgia" w:eastAsia="Times New Roman" w:hAnsi="Georgia" w:cs="Calibri"/>
          <w:color w:val="333333"/>
          <w:sz w:val="20"/>
          <w:szCs w:val="20"/>
          <w:lang w:val="en"/>
        </w:rPr>
        <w:t> 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liberty interests often are grouped to form a general right to privacy, which was first recognized in </w:t>
      </w:r>
      <w:r>
        <w:rPr>
          <w:rFonts w:ascii="Georgia" w:eastAsia="Times New Roman" w:hAnsi="Georgia" w:cs="Calibri"/>
          <w:i/>
          <w:iCs/>
          <w:color w:val="333333"/>
          <w:sz w:val="20"/>
          <w:szCs w:val="20"/>
          <w:lang w:val="en"/>
        </w:rPr>
        <w:t>Griswold v. Connecticut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4.6.1</w:t>
      </w:r>
      <w:r>
        <w:rPr>
          <w:rFonts w:ascii="Georgia" w:eastAsia="Times New Roman" w:hAnsi="Georgia" w:cs="Calibri"/>
          <w:color w:val="333333"/>
          <w:sz w:val="20"/>
          <w:szCs w:val="20"/>
          <w:lang w:val="en"/>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 </w:t>
      </w:r>
      <w:r>
        <w:rPr>
          <w:rFonts w:ascii="Georgia" w:eastAsia="Times New Roman" w:hAnsi="Georgia" w:cs="Calibri"/>
          <w:i/>
          <w:iCs/>
          <w:color w:val="333333"/>
          <w:sz w:val="20"/>
          <w:szCs w:val="20"/>
          <w:lang w:val="en"/>
        </w:rPr>
        <w:t>Cruzan v. Missouri Department of Health</w:t>
      </w:r>
      <w:r>
        <w:rPr>
          <w:rFonts w:ascii="Georgia" w:eastAsia="Times New Roman" w:hAnsi="Georgia" w:cs="Calibri"/>
          <w:color w:val="333333"/>
          <w:sz w:val="20"/>
          <w:szCs w:val="20"/>
          <w:lang w:val="en"/>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Fourteenth Amendment: Due Process and Equal Protection Guarantees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Fourteenth Amendment (1868) requires that states treat citizens of other states with due process. This can be either an issue of procedural due process (as in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or an issue of substantive due process. For substantive due process, consider what happened in an Alabama court not too long ago.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 </w:t>
      </w:r>
      <w:r>
        <w:rPr>
          <w:rFonts w:ascii="Georgia" w:eastAsia="Times New Roman" w:hAnsi="Georgia" w:cs="Calibri"/>
          <w:i/>
          <w:iCs/>
          <w:color w:val="333333"/>
          <w:sz w:val="20"/>
          <w:szCs w:val="20"/>
          <w:lang w:val="en"/>
        </w:rPr>
        <w:t>Brown v. Board of Education</w:t>
      </w:r>
      <w:r>
        <w:rPr>
          <w:rFonts w:ascii="Georgia" w:eastAsia="Times New Roman" w:hAnsi="Georgia" w:cs="Calibri"/>
          <w:color w:val="333333"/>
          <w:sz w:val="20"/>
          <w:szCs w:val="20"/>
          <w:lang w:val="en"/>
        </w:rPr>
        <w:t> (1954).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Governments make classifications every day, so not all classifications can be illegal under the equal protection clause. People with more income generally pay a greater percentage of their income in taxes. </w:t>
      </w:r>
      <w:r>
        <w:rPr>
          <w:rFonts w:ascii="Georgia" w:eastAsia="Times New Roman" w:hAnsi="Georgia" w:cs="Calibri"/>
          <w:color w:val="333333"/>
          <w:sz w:val="20"/>
          <w:szCs w:val="20"/>
          <w:lang w:val="en"/>
        </w:rPr>
        <w:lastRenderedPageBreak/>
        <w:t>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A86150" w:rsidRDefault="00F714D4">
      <w:pPr>
        <w:pStyle w:val="ListParagraph"/>
        <w:numPr>
          <w:ilvl w:val="0"/>
          <w:numId w:val="9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Minimal scrutiny: economic and social relations. Government actions are usually upheld if there is a rational basis for them.</w:t>
      </w:r>
    </w:p>
    <w:p w:rsidR="00A86150" w:rsidRDefault="00F714D4">
      <w:pPr>
        <w:pStyle w:val="ListParagraph"/>
        <w:numPr>
          <w:ilvl w:val="0"/>
          <w:numId w:val="9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Intermediate scrutiny: gender. Government classifications are sometimes upheld.</w:t>
      </w:r>
    </w:p>
    <w:p w:rsidR="00A86150" w:rsidRDefault="00F714D4">
      <w:pPr>
        <w:pStyle w:val="ListParagraph"/>
        <w:numPr>
          <w:ilvl w:val="0"/>
          <w:numId w:val="9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 scrutiny: race, ethnicity, and fundamental rights. Classifications based on any of these are almost never upheld.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strict scrutiny test will be applied to classifications involving racial and ethnic criteria as well as classifications that interfere with a fundamental right. In </w:t>
      </w:r>
      <w:r>
        <w:rPr>
          <w:rFonts w:ascii="Georgia" w:eastAsia="Times New Roman" w:hAnsi="Georgia" w:cs="Calibri"/>
          <w:i/>
          <w:iCs/>
          <w:color w:val="333333"/>
          <w:sz w:val="20"/>
          <w:szCs w:val="20"/>
          <w:lang w:val="en"/>
        </w:rPr>
        <w:t>Palmore v. Sidoti</w:t>
      </w:r>
      <w:r>
        <w:rPr>
          <w:rFonts w:ascii="Georgia" w:eastAsia="Times New Roman" w:hAnsi="Georgia" w:cs="Calibri"/>
          <w:color w:val="333333"/>
          <w:sz w:val="20"/>
          <w:szCs w:val="20"/>
          <w:lang w:val="en"/>
        </w:rPr>
        <w:t>, the state refused to award custody to the mother because her new spouse was racially different from the child.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bookmarkStart w:id="15" w:name="fn-8"/>
      <w:bookmarkEnd w:id="15"/>
      <w:r>
        <w:rPr>
          <w:rFonts w:ascii="Georgia" w:eastAsia="Times New Roman" w:hAnsi="Georgia" w:cs="Calibri"/>
          <w:color w:val="333333"/>
          <w:sz w:val="20"/>
          <w:szCs w:val="20"/>
          <w:lang w:val="en"/>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bookmarkStart w:id="16" w:name="fn-9"/>
      <w:bookmarkEnd w:id="16"/>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9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A86150" w:rsidRDefault="00F714D4">
      <w:pPr>
        <w:numPr>
          <w:ilvl w:val="0"/>
          <w:numId w:val="94"/>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w:t>
      </w:r>
      <w:r>
        <w:rPr>
          <w:rFonts w:ascii="Calibri" w:eastAsia="Times New Roman" w:hAnsi="Calibri" w:cs="Calibri"/>
          <w:color w:val="333333"/>
          <w:sz w:val="20"/>
          <w:szCs w:val="20"/>
          <w:lang w:val="en"/>
        </w:rPr>
        <w:lastRenderedPageBreak/>
        <w:t>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Jackson v. Metropolitan Edison Co.</w:t>
      </w:r>
      <w:r>
        <w:rPr>
          <w:rFonts w:ascii="Calibri" w:eastAsia="Times New Roman" w:hAnsi="Calibri" w:cs="Calibri"/>
          <w:color w:val="333333"/>
          <w:sz w:val="20"/>
          <w:szCs w:val="20"/>
        </w:rPr>
        <w:t>, 419 US 345 (1974).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Buckley v. Valeo</w:t>
      </w:r>
      <w:r>
        <w:rPr>
          <w:rFonts w:ascii="Calibri" w:eastAsia="Times New Roman" w:hAnsi="Calibri" w:cs="Calibri"/>
          <w:color w:val="333333"/>
          <w:sz w:val="20"/>
          <w:szCs w:val="20"/>
        </w:rPr>
        <w:t>, 424 US 1 (1976).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Kelo v. City of New London</w:t>
      </w:r>
      <w:r>
        <w:rPr>
          <w:rFonts w:ascii="Calibri" w:eastAsia="Times New Roman" w:hAnsi="Calibri" w:cs="Calibri"/>
          <w:color w:val="333333"/>
          <w:sz w:val="20"/>
          <w:szCs w:val="20"/>
        </w:rPr>
        <w:t>, 545 US 469 (2005).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Cruzan v. Missouri Department of Health</w:t>
      </w:r>
      <w:r>
        <w:rPr>
          <w:rFonts w:ascii="Calibri" w:eastAsia="Times New Roman" w:hAnsi="Calibri" w:cs="Calibri"/>
          <w:color w:val="333333"/>
          <w:sz w:val="20"/>
          <w:szCs w:val="20"/>
        </w:rPr>
        <w:t>, 497 US 261 (1990).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BMW of North America, Inc. v. Gore, 517 U.S. 559 (1996)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Plessy v. Ferguson</w:t>
      </w:r>
      <w:r>
        <w:rPr>
          <w:rFonts w:ascii="Calibri" w:eastAsia="Times New Roman" w:hAnsi="Calibri" w:cs="Calibri"/>
          <w:color w:val="333333"/>
          <w:sz w:val="20"/>
          <w:szCs w:val="20"/>
        </w:rPr>
        <w:t>, 163 US 537 (1896).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Virginia</w:t>
      </w:r>
      <w:r>
        <w:rPr>
          <w:rFonts w:ascii="Calibri" w:eastAsia="Times New Roman" w:hAnsi="Calibri" w:cs="Calibri"/>
          <w:color w:val="333333"/>
          <w:sz w:val="20"/>
          <w:szCs w:val="20"/>
        </w:rPr>
        <w:t>, 518 US 515 (1996).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bookmarkStart w:id="17" w:name="ftn.fn-8"/>
      <w:bookmarkEnd w:id="17"/>
      <w:r>
        <w:rPr>
          <w:rFonts w:ascii="Calibri" w:eastAsia="Times New Roman" w:hAnsi="Calibri" w:cs="Calibri"/>
          <w:color w:val="333333"/>
          <w:sz w:val="20"/>
          <w:szCs w:val="20"/>
        </w:rPr>
        <w:t> </w:t>
      </w:r>
      <w:r>
        <w:rPr>
          <w:rFonts w:ascii="Calibri" w:eastAsia="Times New Roman" w:hAnsi="Calibri" w:cs="Calibri"/>
          <w:i/>
          <w:iCs/>
          <w:color w:val="333333"/>
          <w:sz w:val="20"/>
          <w:szCs w:val="20"/>
        </w:rPr>
        <w:t>Palmore v. Sidoti</w:t>
      </w:r>
      <w:r>
        <w:rPr>
          <w:rFonts w:ascii="Calibri" w:eastAsia="Times New Roman" w:hAnsi="Calibri" w:cs="Calibri"/>
          <w:color w:val="333333"/>
          <w:sz w:val="20"/>
          <w:szCs w:val="20"/>
        </w:rPr>
        <w:t>, 466 US 429 (1984).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bookmarkStart w:id="18" w:name="ftn.fn-9"/>
      <w:bookmarkEnd w:id="18"/>
      <w:r>
        <w:rPr>
          <w:rFonts w:ascii="Calibri" w:eastAsia="Times New Roman" w:hAnsi="Calibri" w:cs="Calibri"/>
          <w:color w:val="333333"/>
          <w:sz w:val="20"/>
          <w:szCs w:val="20"/>
        </w:rPr>
        <w:t> </w:t>
      </w:r>
      <w:r>
        <w:rPr>
          <w:rFonts w:ascii="Calibri" w:eastAsia="Times New Roman" w:hAnsi="Calibri" w:cs="Calibri"/>
          <w:i/>
          <w:iCs/>
          <w:color w:val="333333"/>
          <w:sz w:val="20"/>
          <w:szCs w:val="20"/>
        </w:rPr>
        <w:t>Atty. Gen. of New York v. Soto-Lopez</w:t>
      </w:r>
      <w:r>
        <w:rPr>
          <w:rFonts w:ascii="Calibri" w:eastAsia="Times New Roman" w:hAnsi="Calibri" w:cs="Calibri"/>
          <w:color w:val="333333"/>
          <w:sz w:val="20"/>
          <w:szCs w:val="20"/>
        </w:rPr>
        <w:t>, 476 US 898 (1986).</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4.6 Cases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Griswold v. Connecticut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Griswold v. Connecticut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381 U.S. 479 (U.S. Supreme Court 1965)</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Plurality Opinion by Justice William O. Douglass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w:t>
      </w:r>
      <w:r>
        <w:rPr>
          <w:rFonts w:ascii="Georgia" w:eastAsia="Times New Roman" w:hAnsi="Georgia" w:cs="Calibri"/>
          <w:color w:val="333333"/>
          <w:sz w:val="20"/>
          <w:szCs w:val="20"/>
          <w:lang w:val="en"/>
        </w:rPr>
        <w:lastRenderedPageBreak/>
        <w:t>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Fourth and Fifth Amendments were described…as protection against all governmental invasions “of the sanctity of a man’s home and the privacies of life.” We recently referred in </w:t>
      </w:r>
      <w:r>
        <w:rPr>
          <w:rFonts w:ascii="Georgia" w:eastAsia="Times New Roman" w:hAnsi="Georgia" w:cs="Calibri"/>
          <w:i/>
          <w:iCs/>
          <w:color w:val="333333"/>
          <w:sz w:val="20"/>
          <w:szCs w:val="20"/>
          <w:lang w:val="en"/>
        </w:rPr>
        <w:t>Mapp v. Ohio…</w:t>
      </w:r>
      <w:r>
        <w:rPr>
          <w:rFonts w:ascii="Georgia" w:eastAsia="Times New Roman" w:hAnsi="Georgia" w:cs="Calibri"/>
          <w:color w:val="333333"/>
          <w:sz w:val="20"/>
          <w:szCs w:val="20"/>
          <w:lang w:val="en"/>
        </w:rPr>
        <w:t>to the Fourth Amendment as creating a “right to privacy, no less important than any other right carefully and particularly reserved to the people.”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in question here], in forbidding the </w:t>
      </w:r>
      <w:r>
        <w:rPr>
          <w:rFonts w:ascii="Georgia" w:eastAsia="Times New Roman" w:hAnsi="Georgia" w:cs="Calibri"/>
          <w:i/>
          <w:iCs/>
          <w:color w:val="333333"/>
          <w:sz w:val="20"/>
          <w:szCs w:val="20"/>
          <w:lang w:val="en"/>
        </w:rPr>
        <w:t>use</w:t>
      </w:r>
      <w:r>
        <w:rPr>
          <w:rFonts w:ascii="Georgia" w:eastAsia="Times New Roman" w:hAnsi="Georgia" w:cs="Calibri"/>
          <w:color w:val="333333"/>
          <w:sz w:val="20"/>
          <w:szCs w:val="20"/>
          <w:lang w:val="en"/>
        </w:rPr>
        <w:t> of contraceptives rather than regulating their manufacture or sale, seeks to achieve its goals by having a maximum destructive impact on [the marital] relationship. Such a law cannot stand.…Would we allow the police to search the sacred precincts of marital bedrooms for telltale signs of the use of contraceptives? The very idea is repulsive to the notions of privacy surrounding the marital relationship.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Stewart, whom Mr. Justice Black joins, dissenting.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 </w:t>
      </w:r>
      <w:r>
        <w:rPr>
          <w:rFonts w:ascii="Georgia" w:eastAsia="Times New Roman" w:hAnsi="Georgia" w:cs="Calibri"/>
          <w:i/>
          <w:iCs/>
          <w:color w:val="333333"/>
          <w:sz w:val="20"/>
          <w:szCs w:val="20"/>
          <w:lang w:val="en"/>
        </w:rPr>
        <w:t>United States v. Darby</w:t>
      </w:r>
      <w:r>
        <w:rPr>
          <w:rFonts w:ascii="Georgia" w:eastAsia="Times New Roman" w:hAnsi="Georgia" w:cs="Calibri"/>
          <w:color w:val="333333"/>
          <w:sz w:val="20"/>
          <w:szCs w:val="20"/>
          <w:lang w:val="en"/>
        </w:rPr>
        <w:t>, 312 U.S. 100, 124, was framed by James Madison and adopted by the States simply to make clear that the adoption of the Bill of Rights did not alter the plan that the </w:t>
      </w:r>
      <w:r>
        <w:rPr>
          <w:rFonts w:ascii="Georgia" w:eastAsia="Times New Roman" w:hAnsi="Georgia" w:cs="Calibri"/>
          <w:i/>
          <w:iCs/>
          <w:color w:val="333333"/>
          <w:sz w:val="20"/>
          <w:szCs w:val="20"/>
          <w:lang w:val="en"/>
        </w:rPr>
        <w:t>Federal</w:t>
      </w:r>
      <w:r>
        <w:rPr>
          <w:rFonts w:ascii="Georgia" w:eastAsia="Times New Roman" w:hAnsi="Georgia" w:cs="Calibri"/>
          <w:color w:val="333333"/>
          <w:sz w:val="20"/>
          <w:szCs w:val="20"/>
          <w:lang w:val="en"/>
        </w:rPr>
        <w:t> 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95"/>
        </w:numPr>
        <w:shd w:val="clear" w:color="auto" w:fill="E3EFF7"/>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opinion is the strict constructionist opinion here—Justice Douglas’s or that of Justices Stewart and Black?</w:t>
      </w:r>
    </w:p>
    <w:p w:rsidR="00A86150" w:rsidRDefault="00F714D4">
      <w:pPr>
        <w:numPr>
          <w:ilvl w:val="0"/>
          <w:numId w:val="95"/>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Wickard v. Filburn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Wickard v. Filburn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317 U.S. 111 (U.S. Supreme Court 1942)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Jackson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His 1941 wheat acreage allotment was 11.1 acres and a normal yield of 20.1 bushels of wheat an acre. He sowed, however, 23 acres, and harvested from his 11.9 acres of excess acreage 239 bushels, which under </w:t>
      </w:r>
      <w:r>
        <w:rPr>
          <w:rFonts w:ascii="Georgia" w:eastAsia="Times New Roman" w:hAnsi="Georgia" w:cs="Calibri"/>
          <w:color w:val="333333"/>
          <w:sz w:val="20"/>
          <w:szCs w:val="20"/>
          <w:lang w:val="en"/>
        </w:rPr>
        <w:lastRenderedPageBreak/>
        <w:t>the terms of the Act as amended on May 26, 1941, constituted farm marketing excess, subject to a penalty of 49 cents a bushel, or $117.11 in all.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Kassel v. Consolidated Freightways Corp.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Kassel v. Consolidated Freightways Corp.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450 U.S. 662 (U.S. Supreme Court 1981)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POWELL announced the judgment of the Court and delivered an opinion, in which JUSTICE WHITE, JUSTICE BLACKMUN, and JUSTICE STEVENS joined.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is whether an Iowa statute that prohibits the use of certain large trucks within the State unconstitutionally burdens interstate commerce.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w:t>
      </w:r>
      <w:r>
        <w:rPr>
          <w:rFonts w:ascii="Georgia" w:eastAsia="Times New Roman" w:hAnsi="Georgia" w:cs="Calibri"/>
          <w:color w:val="333333"/>
          <w:sz w:val="20"/>
          <w:szCs w:val="20"/>
          <w:lang w:val="en"/>
        </w:rPr>
        <w:lastRenderedPageBreak/>
        <w:t>through Iowa on Interstate 80, the principal east-west route linking New York, Chicago, and the west coast, and on Interstate 35, a major north-south route.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State of Iowa, however, by statute, restricts the length of vehicles that may use its highways. Unlike all other States in the West and Midwest, Iowa generally prohibits the use of 65-foot doubles within its borders.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w:t>
      </w:r>
      <w:r>
        <w:rPr>
          <w:rFonts w:ascii="Georgia" w:eastAsia="Times New Roman" w:hAnsi="Georgia" w:cs="Calibri"/>
          <w:color w:val="333333"/>
          <w:sz w:val="20"/>
          <w:szCs w:val="20"/>
          <w:lang w:val="en"/>
        </w:rPr>
        <w:lastRenderedPageBreak/>
        <w:t>configuration.…The evidence convincingly, if not overwhelmingly, establishes that the 65-foot twin is as safe as, if not safer than, the 60-foot twin and the 55-foot semi.…”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light of these findings, the District Court applied the standard we enunciated in </w:t>
      </w:r>
      <w:r>
        <w:rPr>
          <w:rFonts w:ascii="Georgia" w:eastAsia="Times New Roman" w:hAnsi="Georgia" w:cs="Calibri"/>
          <w:i/>
          <w:iCs/>
          <w:color w:val="333333"/>
          <w:sz w:val="20"/>
          <w:szCs w:val="20"/>
          <w:lang w:val="en"/>
        </w:rPr>
        <w:t>Raymond Motor Transportation, Inc. v. Rice</w:t>
      </w:r>
      <w:r>
        <w:rPr>
          <w:rFonts w:ascii="Georgia" w:eastAsia="Times New Roman" w:hAnsi="Georgia" w:cs="Calibri"/>
          <w:color w:val="333333"/>
          <w:sz w:val="20"/>
          <w:szCs w:val="20"/>
          <w:lang w:val="en"/>
        </w:rPr>
        <w:t>, 434 U.S. 429 (1978), and concluded that the state law impermissibly burdened interstate commerce: “[T]he balance here must be struck in favor of the federal interests. The </w:t>
      </w:r>
      <w:r>
        <w:rPr>
          <w:rFonts w:ascii="Georgia" w:eastAsia="Times New Roman" w:hAnsi="Georgia" w:cs="Calibri"/>
          <w:i/>
          <w:iCs/>
          <w:color w:val="333333"/>
          <w:sz w:val="20"/>
          <w:szCs w:val="20"/>
          <w:lang w:val="en"/>
        </w:rPr>
        <w:t>total effect</w:t>
      </w:r>
      <w:r>
        <w:rPr>
          <w:rFonts w:ascii="Georgia" w:eastAsia="Times New Roman" w:hAnsi="Georgia" w:cs="Calibri"/>
          <w:color w:val="333333"/>
          <w:sz w:val="20"/>
          <w:szCs w:val="20"/>
          <w:lang w:val="en"/>
        </w:rPr>
        <w:t> of the law as a safety measure in reducing accidents and casualties is so slight and problematical that it does not outweigh the national interest in keeping interstate commerce free from interferences that seriously impede 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for the Eighth Circuit affirmed. 612 F.2d 1064 (1979). It accepted the District Court’s finding that 65-foot doubles were as safe as 55-foot singles.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Iowa appealed, and we noted probable jurisdiction. 446 U.S. 950 (1980). We now affirm.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unnecessary to review in detail the evolution of the principles of Commerce Clause adjudication. The Clause is both a “prolific ‘ of national power and an equally prolific source of conflict with legislation of the </w:t>
      </w:r>
      <w:r>
        <w:rPr>
          <w:rFonts w:ascii="Georgia" w:eastAsia="Times New Roman" w:hAnsi="Georgia" w:cs="Calibri"/>
          <w:color w:val="333333"/>
          <w:sz w:val="20"/>
          <w:szCs w:val="20"/>
          <w:lang w:val="en"/>
        </w:rPr>
        <w:lastRenderedPageBreak/>
        <w:t>state[s].” </w:t>
      </w:r>
      <w:r>
        <w:rPr>
          <w:rFonts w:ascii="Georgia" w:eastAsia="Times New Roman" w:hAnsi="Georgia" w:cs="Calibri"/>
          <w:i/>
          <w:iCs/>
          <w:color w:val="333333"/>
          <w:sz w:val="20"/>
          <w:szCs w:val="20"/>
          <w:lang w:val="en"/>
        </w:rPr>
        <w:t>H. P. Hood &amp; Sons, Inc. v. Du Mond</w:t>
      </w:r>
      <w:r>
        <w:rPr>
          <w:rFonts w:ascii="Georgia" w:eastAsia="Times New Roman" w:hAnsi="Georgia" w:cs="Calibri"/>
          <w:color w:val="333333"/>
          <w:sz w:val="20"/>
          <w:szCs w:val="20"/>
          <w:lang w:val="en"/>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 </w:t>
      </w:r>
      <w:r>
        <w:rPr>
          <w:rFonts w:ascii="Georgia" w:eastAsia="Times New Roman" w:hAnsi="Georgia" w:cs="Calibri"/>
          <w:i/>
          <w:iCs/>
          <w:color w:val="333333"/>
          <w:sz w:val="20"/>
          <w:szCs w:val="20"/>
          <w:lang w:val="en"/>
        </w:rPr>
        <w:t>Hunt v. Washington Apple Advertising Comm’n</w:t>
      </w:r>
      <w:r>
        <w:rPr>
          <w:rFonts w:ascii="Georgia" w:eastAsia="Times New Roman" w:hAnsi="Georgia" w:cs="Calibri"/>
          <w:color w:val="333333"/>
          <w:sz w:val="20"/>
          <w:szCs w:val="20"/>
          <w:lang w:val="en"/>
        </w:rPr>
        <w:t>, 432 U.S. 333 at 350 (1977). The Clause requires that some aspects of trade generally must remain free from interference by the States. When a State ventures excessively into the regulation of these aspects of commerce, it “trespasses upon national interests,” </w:t>
      </w:r>
      <w:r>
        <w:rPr>
          <w:rFonts w:ascii="Georgia" w:eastAsia="Times New Roman" w:hAnsi="Georgia" w:cs="Calibri"/>
          <w:i/>
          <w:iCs/>
          <w:color w:val="333333"/>
          <w:sz w:val="20"/>
          <w:szCs w:val="20"/>
          <w:lang w:val="en"/>
        </w:rPr>
        <w:t>Great A&amp;P Tea Co. v. Cottrell</w:t>
      </w:r>
      <w:r>
        <w:rPr>
          <w:rFonts w:ascii="Georgia" w:eastAsia="Times New Roman" w:hAnsi="Georgia" w:cs="Calibri"/>
          <w:color w:val="333333"/>
          <w:sz w:val="20"/>
          <w:szCs w:val="20"/>
          <w:lang w:val="en"/>
        </w:rPr>
        <w:t>, 424 U.S. 366, 424 U.S. 373 (1976), and the courts will hold the state regulation invalid under the Clause alone.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 </w:t>
      </w:r>
      <w:r>
        <w:rPr>
          <w:rFonts w:ascii="Georgia" w:eastAsia="Times New Roman" w:hAnsi="Georgia" w:cs="Calibri"/>
          <w:i/>
          <w:iCs/>
          <w:color w:val="333333"/>
          <w:sz w:val="20"/>
          <w:szCs w:val="20"/>
          <w:lang w:val="en"/>
        </w:rPr>
        <w:t>Southern Pacific Co. v. Arizona</w:t>
      </w:r>
      <w:r>
        <w:rPr>
          <w:rFonts w:ascii="Georgia" w:eastAsia="Times New Roman" w:hAnsi="Georgia" w:cs="Calibri"/>
          <w:color w:val="333333"/>
          <w:sz w:val="20"/>
          <w:szCs w:val="20"/>
          <w:lang w:val="en"/>
        </w:rPr>
        <w:t>, 325 U.S. 761 (1945).</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extent of permissible state regulation is not always easy to measure. It may be said with confidence, however, that a State’s power to regulate commerce is never greater than in matters traditionally of local concern. </w:t>
      </w:r>
      <w:r>
        <w:rPr>
          <w:rFonts w:ascii="Georgia" w:eastAsia="Times New Roman" w:hAnsi="Georgia" w:cs="Calibri"/>
          <w:i/>
          <w:iCs/>
          <w:color w:val="333333"/>
          <w:sz w:val="20"/>
          <w:szCs w:val="20"/>
          <w:lang w:val="en"/>
        </w:rPr>
        <w:t>Washington Apple Advertising Comm’n, supra</w:t>
      </w:r>
      <w:r>
        <w:rPr>
          <w:rFonts w:ascii="Georgia" w:eastAsia="Times New Roman" w:hAnsi="Georgia" w:cs="Calibri"/>
          <w:color w:val="333333"/>
          <w:sz w:val="20"/>
          <w:szCs w:val="20"/>
          <w:lang w:val="en"/>
        </w:rPr>
        <w:t> at 432 U.S. 350. For example, regulations that touch upon safety—especially highway safety—are those that “the Court has been most reluctant to invalidate.” </w:t>
      </w:r>
      <w:r>
        <w:rPr>
          <w:rFonts w:ascii="Georgia" w:eastAsia="Times New Roman" w:hAnsi="Georgia" w:cs="Calibri"/>
          <w:i/>
          <w:iCs/>
          <w:color w:val="333333"/>
          <w:sz w:val="20"/>
          <w:szCs w:val="20"/>
          <w:lang w:val="en"/>
        </w:rPr>
        <w:t>Raymond, supra</w:t>
      </w:r>
      <w:r>
        <w:rPr>
          <w:rFonts w:ascii="Georgia" w:eastAsia="Times New Roman" w:hAnsi="Georgia" w:cs="Calibri"/>
          <w:color w:val="333333"/>
          <w:sz w:val="20"/>
          <w:szCs w:val="20"/>
          <w:lang w:val="en"/>
        </w:rPr>
        <w:t> at 434 U.S. 443 (and other cases cited). Indeed, “if safety justifications are not illusory, the Court will not second-guess legislative judgment about their importance in comparison with related burdens on interstate commerce.” </w:t>
      </w:r>
      <w:r>
        <w:rPr>
          <w:rFonts w:ascii="Georgia" w:eastAsia="Times New Roman" w:hAnsi="Georgia" w:cs="Calibri"/>
          <w:i/>
          <w:iCs/>
          <w:color w:val="333333"/>
          <w:sz w:val="20"/>
          <w:szCs w:val="20"/>
          <w:lang w:val="en"/>
        </w:rPr>
        <w:t>Raymond, supra</w:t>
      </w:r>
      <w:r>
        <w:rPr>
          <w:rFonts w:ascii="Georgia" w:eastAsia="Times New Roman" w:hAnsi="Georgia" w:cs="Calibri"/>
          <w:color w:val="333333"/>
          <w:sz w:val="20"/>
          <w:szCs w:val="20"/>
          <w:lang w:val="en"/>
        </w:rPr>
        <w:t> at 434 U.S. at 449. Those who would challenge such bona fide safety regulations must overcome a “strong presumption of validity.” </w:t>
      </w:r>
      <w:r>
        <w:rPr>
          <w:rFonts w:ascii="Georgia" w:eastAsia="Times New Roman" w:hAnsi="Georgia" w:cs="Calibri"/>
          <w:i/>
          <w:iCs/>
          <w:color w:val="333333"/>
          <w:sz w:val="20"/>
          <w:szCs w:val="20"/>
          <w:lang w:val="en"/>
        </w:rPr>
        <w:t>Bibb v. Navajo Freight Lines, Inc.</w:t>
      </w:r>
      <w:r>
        <w:rPr>
          <w:rFonts w:ascii="Georgia" w:eastAsia="Times New Roman" w:hAnsi="Georgia" w:cs="Calibri"/>
          <w:color w:val="333333"/>
          <w:sz w:val="20"/>
          <w:szCs w:val="20"/>
          <w:lang w:val="en"/>
        </w:rPr>
        <w:t>, 359 U.S. 520 at (1959).</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xml:space="preserve"> we declined to “accept the State’s contention that the inquiry under the Commerce Clause is ended without a weighing of the </w:t>
      </w:r>
      <w:r>
        <w:rPr>
          <w:rFonts w:ascii="Georgia" w:eastAsia="Times New Roman" w:hAnsi="Georgia" w:cs="Calibri"/>
          <w:color w:val="333333"/>
          <w:sz w:val="20"/>
          <w:szCs w:val="20"/>
          <w:lang w:val="en"/>
        </w:rPr>
        <w:lastRenderedPageBreak/>
        <w:t>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434 U.S. at 441; </w:t>
      </w:r>
      <w:r>
        <w:rPr>
          <w:rFonts w:ascii="Georgia" w:eastAsia="Times New Roman" w:hAnsi="Georgia" w:cs="Calibri"/>
          <w:i/>
          <w:iCs/>
          <w:color w:val="333333"/>
          <w:sz w:val="20"/>
          <w:szCs w:val="20"/>
          <w:lang w:val="en"/>
        </w:rPr>
        <w:t>accord, Pike v. Bruce Church, Inc.</w:t>
      </w:r>
      <w:r>
        <w:rPr>
          <w:rFonts w:ascii="Georgia" w:eastAsia="Times New Roman" w:hAnsi="Georgia" w:cs="Calibri"/>
          <w:color w:val="333333"/>
          <w:sz w:val="20"/>
          <w:szCs w:val="20"/>
          <w:lang w:val="en"/>
        </w:rPr>
        <w:t>, 397 U.S. 137 at 142 (1970);</w:t>
      </w:r>
      <w:r>
        <w:rPr>
          <w:rFonts w:ascii="Georgia" w:eastAsia="Times New Roman" w:hAnsi="Georgia" w:cs="Calibri"/>
          <w:i/>
          <w:iCs/>
          <w:color w:val="333333"/>
          <w:sz w:val="20"/>
          <w:szCs w:val="20"/>
          <w:lang w:val="en"/>
        </w:rPr>
        <w:t>Bibb, supra</w:t>
      </w:r>
      <w:r>
        <w:rPr>
          <w:rFonts w:ascii="Georgia" w:eastAsia="Times New Roman" w:hAnsi="Georgia" w:cs="Calibri"/>
          <w:color w:val="333333"/>
          <w:sz w:val="20"/>
          <w:szCs w:val="20"/>
          <w:lang w:val="en"/>
        </w:rPr>
        <w:t>, at 359 U.S. at 525-530.</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Applying these general principles, we conclude that the Iowa truck length limitations unconstitutionally burden interstate commerce.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Raymond Motor Transportation, Inc. v. Rice</w:t>
      </w:r>
      <w:r>
        <w:rPr>
          <w:rFonts w:ascii="Georgia" w:eastAsia="Times New Roman" w:hAnsi="Georgia" w:cs="Calibri"/>
          <w:color w:val="333333"/>
          <w:sz w:val="20"/>
          <w:szCs w:val="20"/>
          <w:lang w:val="en"/>
        </w:rPr>
        <w:t>, the Court held that a Wisconsin statute that precluded the use of 65-foot doubles violated the Commerce Clause. This case is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revisited. Here, as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Iowa made a more serious effort to support the safety rationale of its law than did Wisconsin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“[s]ixty-five foot twin trailer combinations have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been shown by experiences in other states to be less safe than 60-foot twin trailer combinations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conventional tractor-semitrailers.”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although Iowa introduced more evidence on the question of safety than did Wisconsin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the record as a whole was not more favorable to the State.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Consolidated, meanwhile, demonstrated that Iowa’s law substantially burdens interstate commerce. Trucking companies that wish to continue to use 65-foot doubles must route them around Iowa or detach </w:t>
      </w:r>
      <w:r>
        <w:rPr>
          <w:rFonts w:ascii="Georgia" w:eastAsia="Times New Roman" w:hAnsi="Georgia" w:cs="Calibri"/>
          <w:color w:val="333333"/>
          <w:sz w:val="20"/>
          <w:szCs w:val="20"/>
          <w:lang w:val="en"/>
        </w:rPr>
        <w:lastRenderedPageBreak/>
        <w:t>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Consolidated alone incurred about $2 million per year in increased costs.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 Omitted]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the statutory exemptions, their history, and the arguments Iowa has advanced in support of its law in this litigation all suggest that the deference traditionally accorded a State’s safety judgment is not warranted. </w:t>
      </w:r>
      <w:r>
        <w:rPr>
          <w:rFonts w:ascii="Georgia" w:eastAsia="Times New Roman" w:hAnsi="Georgia" w:cs="Calibri"/>
          <w:i/>
          <w:iCs/>
          <w:color w:val="333333"/>
          <w:sz w:val="20"/>
          <w:szCs w:val="20"/>
          <w:lang w:val="en"/>
        </w:rPr>
        <w:t>See Raymond, supra</w:t>
      </w:r>
      <w:r>
        <w:rPr>
          <w:rFonts w:ascii="Georgia" w:eastAsia="Times New Roman" w:hAnsi="Georgia" w:cs="Calibri"/>
          <w:color w:val="333333"/>
          <w:sz w:val="20"/>
          <w:szCs w:val="20"/>
          <w:lang w:val="en"/>
        </w:rPr>
        <w:t> at 434 U.S. at 444-447. The controlling factors thus are the findings of the District Court, accepted by the Court of Appeals, with respect to the relative safety of the types of trucks at issue, and the substantiality of the burden on interstate commerce.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Iowa has imposed this burden without any significant countervailing safety interest, its statute violates the Commerce Clause. The judgment of the Court of Appeals is affirmed.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96"/>
        </w:numPr>
        <w:shd w:val="clear" w:color="auto" w:fill="E3EFF7"/>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Under the Constitution, what gives Iowa the right to make rules regarding the size or configuration of trucks upon highways within the state?</w:t>
      </w:r>
    </w:p>
    <w:p w:rsidR="00A86150" w:rsidRDefault="00F714D4">
      <w:pPr>
        <w:numPr>
          <w:ilvl w:val="0"/>
          <w:numId w:val="96"/>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Iowa try to exempt trucking lines based in Iowa, or was the statutory rule nondiscriminatory as to the origin of trucks that traveled on Iowa highways?</w:t>
      </w:r>
    </w:p>
    <w:p w:rsidR="00A86150" w:rsidRDefault="00F714D4">
      <w:pPr>
        <w:numPr>
          <w:ilvl w:val="0"/>
          <w:numId w:val="96"/>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there any federal size or weight standards noted in the case? Is there any kind of truck size or weight that could be limited by Iowa law, or must Iowa simply accept federal standards or, if none, impose no standards at all?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Hunt v. Washington Apple Advertising Commission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Hunt v. Washington Apple Advertising Commission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432 U.S. 33 (U.S. Supreme Court 1977)</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CHIEF JUSTICE BURGER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w:t>
      </w:r>
      <w:r>
        <w:rPr>
          <w:rFonts w:ascii="Georgia" w:eastAsia="Times New Roman" w:hAnsi="Georgia" w:cs="Calibri"/>
          <w:color w:val="333333"/>
          <w:sz w:val="20"/>
          <w:szCs w:val="20"/>
          <w:lang w:val="en"/>
        </w:rPr>
        <w:lastRenderedPageBreak/>
        <w:t>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w:t>
      </w:r>
      <w:r>
        <w:rPr>
          <w:rFonts w:ascii="Georgia" w:eastAsia="Times New Roman" w:hAnsi="Georgia" w:cs="Calibri"/>
          <w:color w:val="333333"/>
          <w:sz w:val="20"/>
          <w:szCs w:val="20"/>
          <w:lang w:val="en"/>
        </w:rPr>
        <w:lastRenderedPageBreak/>
        <w:t>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 </w:t>
      </w:r>
      <w:r>
        <w:rPr>
          <w:rFonts w:ascii="Georgia" w:eastAsia="Times New Roman" w:hAnsi="Georgia" w:cs="Calibri"/>
          <w:i/>
          <w:iCs/>
          <w:color w:val="333333"/>
          <w:sz w:val="20"/>
          <w:szCs w:val="20"/>
          <w:lang w:val="en"/>
        </w:rPr>
        <w:t>the costs</w:t>
      </w:r>
      <w:r>
        <w:rPr>
          <w:rFonts w:ascii="Georgia" w:eastAsia="Times New Roman" w:hAnsi="Georgia" w:cs="Calibri"/>
          <w:color w:val="333333"/>
          <w:sz w:val="20"/>
          <w:szCs w:val="20"/>
          <w:lang w:val="en"/>
        </w:rPr>
        <w:t> 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the statute has the effect of </w:t>
      </w:r>
      <w:r>
        <w:rPr>
          <w:rFonts w:ascii="Georgia" w:eastAsia="Times New Roman" w:hAnsi="Georgia" w:cs="Calibri"/>
          <w:i/>
          <w:iCs/>
          <w:color w:val="333333"/>
          <w:sz w:val="20"/>
          <w:szCs w:val="20"/>
          <w:lang w:val="en"/>
        </w:rPr>
        <w:t>stripping away</w:t>
      </w:r>
      <w:r>
        <w:rPr>
          <w:rFonts w:ascii="Georgia" w:eastAsia="Times New Roman" w:hAnsi="Georgia" w:cs="Calibri"/>
          <w:color w:val="333333"/>
          <w:sz w:val="20"/>
          <w:szCs w:val="20"/>
          <w:lang w:val="en"/>
        </w:rPr>
        <w:t xml:space="preserve"> 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w:t>
      </w:r>
      <w:r>
        <w:rPr>
          <w:rFonts w:ascii="Georgia" w:eastAsia="Times New Roman" w:hAnsi="Georgia" w:cs="Calibri"/>
          <w:color w:val="333333"/>
          <w:sz w:val="20"/>
          <w:szCs w:val="20"/>
          <w:lang w:val="en"/>
        </w:rPr>
        <w:lastRenderedPageBreak/>
        <w:t>emphasis on color, and its supporting mandatory inspections. Once again, the statute had no similar impact on the North Carolina apple industry and thus operated to its benefit.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by </w:t>
      </w:r>
      <w:r>
        <w:rPr>
          <w:rFonts w:ascii="Georgia" w:eastAsia="Times New Roman" w:hAnsi="Georgia" w:cs="Calibri"/>
          <w:i/>
          <w:iCs/>
          <w:color w:val="333333"/>
          <w:sz w:val="20"/>
          <w:szCs w:val="20"/>
          <w:lang w:val="en"/>
        </w:rPr>
        <w:t>prohibiting</w:t>
      </w:r>
      <w:r>
        <w:rPr>
          <w:rFonts w:ascii="Georgia" w:eastAsia="Times New Roman" w:hAnsi="Georgia" w:cs="Calibri"/>
          <w:color w:val="333333"/>
          <w:sz w:val="20"/>
          <w:szCs w:val="20"/>
          <w:lang w:val="en"/>
        </w:rPr>
        <w:t> Washington growers and dealers from marketing apples under their State’s grades, the statute has a </w:t>
      </w:r>
      <w:r>
        <w:rPr>
          <w:rFonts w:ascii="Georgia" w:eastAsia="Times New Roman" w:hAnsi="Georgia" w:cs="Calibri"/>
          <w:i/>
          <w:iCs/>
          <w:color w:val="333333"/>
          <w:sz w:val="20"/>
          <w:szCs w:val="20"/>
          <w:lang w:val="en"/>
        </w:rPr>
        <w:t>leveling effect</w:t>
      </w:r>
      <w:r>
        <w:rPr>
          <w:rFonts w:ascii="Georgia" w:eastAsia="Times New Roman" w:hAnsi="Georgia" w:cs="Calibri"/>
          <w:color w:val="333333"/>
          <w:sz w:val="20"/>
          <w:szCs w:val="20"/>
          <w:lang w:val="en"/>
        </w:rPr>
        <w:t> 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 </w:t>
      </w:r>
      <w:r>
        <w:rPr>
          <w:rFonts w:ascii="Georgia" w:eastAsia="Times New Roman" w:hAnsi="Georgia" w:cs="Calibri"/>
          <w:i/>
          <w:iCs/>
          <w:color w:val="333333"/>
          <w:sz w:val="20"/>
          <w:szCs w:val="20"/>
          <w:lang w:val="en"/>
        </w:rPr>
        <w:t>since they were mainly responsible for</w:t>
      </w:r>
      <w:r>
        <w:rPr>
          <w:rFonts w:ascii="Georgia" w:eastAsia="Times New Roman" w:hAnsi="Georgia" w:cs="Calibri"/>
          <w:color w:val="333333"/>
          <w:sz w:val="20"/>
          <w:szCs w:val="20"/>
          <w:lang w:val="en"/>
        </w:rPr>
        <w:t> this </w:t>
      </w:r>
      <w:r>
        <w:rPr>
          <w:rFonts w:ascii="Georgia" w:eastAsia="Times New Roman" w:hAnsi="Georgia" w:cs="Calibri"/>
          <w:i/>
          <w:iCs/>
          <w:color w:val="333333"/>
          <w:sz w:val="20"/>
          <w:szCs w:val="20"/>
          <w:lang w:val="en"/>
        </w:rPr>
        <w:t>legislation being passed</w:t>
      </w:r>
      <w:r>
        <w:rPr>
          <w:rFonts w:ascii="Georgia" w:eastAsia="Times New Roman" w:hAnsi="Georgia" w:cs="Calibri"/>
          <w:color w:val="333333"/>
          <w:sz w:val="20"/>
          <w:szCs w:val="20"/>
          <w:lang w:val="en"/>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affirmed the lower court’s holding that the North Carolina statute was unconstitutional.]</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97"/>
        </w:numPr>
        <w:shd w:val="clear" w:color="auto" w:fill="E3EFF7"/>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Was the North Carolina law discriminatory on its face? Was it, possibly, an undue burden on interstate commerce? Why wouldn’t it be?</w:t>
      </w:r>
    </w:p>
    <w:p w:rsidR="00A86150" w:rsidRDefault="00F714D4">
      <w:pPr>
        <w:numPr>
          <w:ilvl w:val="0"/>
          <w:numId w:val="97"/>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evidence was there of discriminatory intent behind the North Carolina law? Did that evidence even matter? Why or why not?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Citizens United v. Federal Election Commission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v. Federal Election Commission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588 U.S. ____; 130 S.Ct. 876 (U.S. Supreme Court 2010)</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Kennedy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 </w:t>
      </w:r>
      <w:r>
        <w:rPr>
          <w:rFonts w:ascii="Georgia" w:eastAsia="Times New Roman" w:hAnsi="Georgia" w:cs="Calibri"/>
          <w:i/>
          <w:iCs/>
          <w:color w:val="333333"/>
          <w:sz w:val="20"/>
          <w:szCs w:val="20"/>
          <w:lang w:val="en"/>
        </w:rPr>
        <w:t>McConnell v. Federal Election Comm’n</w:t>
      </w:r>
      <w:r>
        <w:rPr>
          <w:rFonts w:ascii="Georgia" w:eastAsia="Times New Roman" w:hAnsi="Georgia" w:cs="Calibri"/>
          <w:color w:val="333333"/>
          <w:sz w:val="20"/>
          <w:szCs w:val="20"/>
          <w:lang w:val="en"/>
        </w:rPr>
        <w:t>, 540 U.S. 93, 203–209 (2003). The holding of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rested to a large extent on an earlier case, </w:t>
      </w:r>
      <w:r>
        <w:rPr>
          <w:rFonts w:ascii="Georgia" w:eastAsia="Times New Roman" w:hAnsi="Georgia" w:cs="Calibri"/>
          <w:i/>
          <w:iCs/>
          <w:color w:val="333333"/>
          <w:sz w:val="20"/>
          <w:szCs w:val="20"/>
          <w:lang w:val="en"/>
        </w:rPr>
        <w:t xml:space="preserve">Austin v. Michigan Chamber of </w:t>
      </w:r>
      <w:r>
        <w:rPr>
          <w:rFonts w:ascii="Georgia" w:eastAsia="Times New Roman" w:hAnsi="Georgia" w:cs="Calibri"/>
          <w:i/>
          <w:iCs/>
          <w:color w:val="333333"/>
          <w:sz w:val="20"/>
          <w:szCs w:val="20"/>
          <w:lang w:val="en"/>
        </w:rPr>
        <w:lastRenderedPageBreak/>
        <w:t>Commerce</w:t>
      </w:r>
      <w:r>
        <w:rPr>
          <w:rFonts w:ascii="Georgia" w:eastAsia="Times New Roman" w:hAnsi="Georgia" w:cs="Calibri"/>
          <w:color w:val="333333"/>
          <w:sz w:val="20"/>
          <w:szCs w:val="20"/>
          <w:lang w:val="en"/>
        </w:rPr>
        <w:t>, 494 U.S. 652 (1990).</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had held that political speech may be banned based on the speaker’s corporate identity.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case we are asked to reconsider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and, in effect,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It has been noted that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was a significant departure from ancient First Amendment principles,” </w:t>
      </w:r>
      <w:r>
        <w:rPr>
          <w:rFonts w:ascii="Georgia" w:eastAsia="Times New Roman" w:hAnsi="Georgia" w:cs="Calibri"/>
          <w:i/>
          <w:iCs/>
          <w:color w:val="333333"/>
          <w:sz w:val="20"/>
          <w:szCs w:val="20"/>
          <w:lang w:val="en"/>
        </w:rPr>
        <w:t>Federal Election Comm’n v. Wisconsin Right to Life, Inc.</w:t>
      </w:r>
      <w:r>
        <w:rPr>
          <w:rFonts w:ascii="Georgia" w:eastAsia="Times New Roman" w:hAnsi="Georgia" w:cs="Calibri"/>
          <w:color w:val="333333"/>
          <w:sz w:val="20"/>
          <w:szCs w:val="20"/>
          <w:lang w:val="en"/>
        </w:rPr>
        <w:t>, 551 U.S. 449, 490 (2007) (</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(Scalia, J., concurring in part and concurring in judgment). We agree with that conclusion and hold that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does not compel the continued acceptance of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The Government may regulate corporate political speech through disclaimer and disclosure requirements, but it may not suppress that speech altogether. We turn to the case now before us.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is a nonprofit corporation. It has an annual budget of about $12 million. Most of its funds are from donations by individuals; but, in addition, it accepts a small portion of its funds from for-profit corporations.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January 2008, Citizens United released a film entitled </w:t>
      </w:r>
      <w:r>
        <w:rPr>
          <w:rFonts w:ascii="Georgia" w:eastAsia="Times New Roman" w:hAnsi="Georgia" w:cs="Calibri"/>
          <w:i/>
          <w:iCs/>
          <w:color w:val="333333"/>
          <w:sz w:val="20"/>
          <w:szCs w:val="20"/>
          <w:lang w:val="en"/>
        </w:rPr>
        <w:t>Hillary: The Movie</w:t>
      </w:r>
      <w:r>
        <w:rPr>
          <w:rFonts w:ascii="Georgia" w:eastAsia="Times New Roman" w:hAnsi="Georgia" w:cs="Calibri"/>
          <w:color w:val="333333"/>
          <w:sz w:val="20"/>
          <w:szCs w:val="20"/>
          <w:lang w:val="en"/>
        </w:rPr>
        <w:t>. We refer to the film as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It is a 90-minute documentary about then-Senator Hillary Clinton, who was a candidate in the Democratic Party’s 2008 Presidential primary elections.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mentions Senator Clinton by name and depicts interviews with political commentators and other persons, most of them quite critical of Senator Clinton.…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2007, a cable company offered, for a payment of $1.2 million, to make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available on a video-on-demand channel called “Elections ’08.”…Citizens United was prepared to pay for the video-on-demand; and to promote the film, it produced two 10-second ads and one 30-second ad for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B</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Fonts w:ascii="Georgia" w:eastAsia="Times New Roman" w:hAnsi="Georgia" w:cs="Calibri"/>
          <w:i/>
          <w:iCs/>
          <w:color w:val="333333"/>
          <w:sz w:val="20"/>
          <w:szCs w:val="20"/>
          <w:lang w:val="en"/>
        </w:rPr>
        <w:t>publicly distributed</w:t>
      </w:r>
      <w:r>
        <w:rPr>
          <w:rFonts w:ascii="Georgia" w:eastAsia="Times New Roman" w:hAnsi="Georgia" w:cs="Calibri"/>
          <w:color w:val="333333"/>
          <w:sz w:val="20"/>
          <w:szCs w:val="20"/>
          <w:lang w:val="en"/>
        </w:rPr>
        <w:t> 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wanted to make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and (2) BCRA’s disclaimer and disclosure requirements, BCRA §§201 and 311, are unconstitutional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and to the three ads for the movie.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denied Citizens United’s motion for a preliminary injunction, and then granted the FEC’s motion for summary judgment.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held that §441b was facially constitutional under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and that §441b was 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281.</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[Omitted: the court considers whether it is possible to reject the BCRA without declaring certain provisions unconstitutional. The court concludes it cannot find a basis to reject the BCRA that does not involve constitutional issues.]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that is just the beginning. PACs must file detailed monthly reports with the FEC, which are due at different times depending on the type of election that is about to occur.…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Pr>
          <w:rFonts w:ascii="Georgia" w:eastAsia="Times New Roman" w:hAnsi="Georgia" w:cs="Calibri"/>
          <w:i/>
          <w:iCs/>
          <w:color w:val="333333"/>
          <w:sz w:val="20"/>
          <w:szCs w:val="20"/>
          <w:lang w:val="en"/>
        </w:rPr>
        <w:t>Buckley v. Valeo</w:t>
      </w:r>
      <w:r>
        <w:rPr>
          <w:rFonts w:ascii="Georgia" w:eastAsia="Times New Roman" w:hAnsi="Georgia" w:cs="Calibri"/>
          <w:color w:val="333333"/>
          <w:sz w:val="20"/>
          <w:szCs w:val="20"/>
          <w:lang w:val="en"/>
        </w:rPr>
        <w:t>, 424 U.S. 1 at 19 (1976).…</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Speech is an essential mechanism of democracy, for it is the means to hold officials accountable to the people. See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these reasons, political speech must prevail against laws that would suppress it, whether by design or inadvertence. Laws that burden political speech are “subject to strict scrutiny,” which requires the </w:t>
      </w:r>
      <w:r>
        <w:rPr>
          <w:rFonts w:ascii="Georgia" w:eastAsia="Times New Roman" w:hAnsi="Georgia" w:cs="Calibri"/>
          <w:color w:val="333333"/>
          <w:sz w:val="20"/>
          <w:szCs w:val="20"/>
          <w:lang w:val="en"/>
        </w:rPr>
        <w:lastRenderedPageBreak/>
        <w:t>Government to prove that the restriction “furthers a compelling interest and is narrowly tailored to achieve that interest.”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784. The Court has thus rejected the argument that political speech of corporations or other associations should be treated differently under the First Amendment simply because such associations are not “natural persons.”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and effect of this law is to prevent corporations, including small and nonprofit corporations, from presenting both facts and opinions to the public. This makes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’s antidistortion rationale all the more an aberration. “[T]he First Amendment protects the right of corporations to petition legislative and administrative bodies.”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435 U.S., at 792, n. 31.…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 </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 </w:t>
      </w:r>
      <w:r>
        <w:rPr>
          <w:rFonts w:ascii="Georgia" w:eastAsia="Times New Roman" w:hAnsi="Georgia" w:cs="Calibri"/>
          <w:i/>
          <w:iCs/>
          <w:color w:val="333333"/>
          <w:sz w:val="20"/>
          <w:szCs w:val="20"/>
          <w:lang w:val="en"/>
        </w:rPr>
        <w:t xml:space="preserve">quid pro quo </w:t>
      </w:r>
      <w:r>
        <w:rPr>
          <w:rFonts w:ascii="Georgia" w:eastAsia="Times New Roman" w:hAnsi="Georgia" w:cs="Calibri"/>
          <w:color w:val="333333"/>
          <w:sz w:val="20"/>
          <w:szCs w:val="20"/>
          <w:lang w:val="en"/>
        </w:rPr>
        <w:t>corruption.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precedent is to be respected unless the most convincing of reasons demonstrates that adherence to it puts us on a course that is sure error. “Beyond workability, the relevant factors in deciding whether to adhere to the principle of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include the antiquity of the precedent, the reliance interests at stake, and of course whether the decision was well reasoned.” [citing prior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considerations counsel in favor of rejecting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which itself contravened this Court’s earlier precedents in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xml:space="preserve">. “This Court has not hesitated to overrule decisions offensive to the First Amendment.” </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551 U.S., at 500 (opinion of Scalia, J.).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is a principle of policy and not a mechanical formula of adherence to the latest decision.”</w:t>
      </w:r>
      <w:r>
        <w:rPr>
          <w:rFonts w:ascii="Georgia" w:eastAsia="Times New Roman" w:hAnsi="Georgia" w:cs="Calibri"/>
          <w:i/>
          <w:iCs/>
          <w:color w:val="333333"/>
          <w:sz w:val="20"/>
          <w:szCs w:val="20"/>
          <w:lang w:val="en"/>
        </w:rPr>
        <w:t>Helvering</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Hallock</w:t>
      </w:r>
      <w:r>
        <w:rPr>
          <w:rFonts w:ascii="Georgia" w:eastAsia="Times New Roman" w:hAnsi="Georgia" w:cs="Calibri"/>
          <w:color w:val="333333"/>
          <w:sz w:val="20"/>
          <w:szCs w:val="20"/>
          <w:lang w:val="en"/>
        </w:rPr>
        <w:t>, 309 U.S. 106 at 119 (1940).</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is undermined by experience since its announcement. Political speech is so ingrained in our culture that speakers find ways to circumvent campaign finance laws. See, </w:t>
      </w:r>
      <w:r>
        <w:rPr>
          <w:rFonts w:ascii="Georgia" w:eastAsia="Times New Roman" w:hAnsi="Georgia" w:cs="Calibri"/>
          <w:i/>
          <w:iCs/>
          <w:color w:val="333333"/>
          <w:sz w:val="20"/>
          <w:szCs w:val="20"/>
          <w:lang w:val="en"/>
        </w:rPr>
        <w:t>e.g.</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Due consideration leads to this conclusion: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should be and now is overruled. We return to the principle established in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that the Government may not suppress political speech on the basis of the speaker’s corporate identity. No sufficient governmental interest justifies limits on the political speech of nonprofit or for-profit corporations.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 Omitted]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word concerning the plot of the movie </w:t>
      </w:r>
      <w:r>
        <w:rPr>
          <w:rFonts w:ascii="Georgia" w:eastAsia="Times New Roman" w:hAnsi="Georgia" w:cs="Calibri"/>
          <w:i/>
          <w:iCs/>
          <w:color w:val="333333"/>
          <w:sz w:val="20"/>
          <w:szCs w:val="20"/>
          <w:lang w:val="en"/>
        </w:rPr>
        <w:t xml:space="preserve">Mr. Smith Goes to Washington </w:t>
      </w:r>
      <w:r>
        <w:rPr>
          <w:rFonts w:ascii="Georgia" w:eastAsia="Times New Roman" w:hAnsi="Georgia" w:cs="Calibri"/>
          <w:color w:val="333333"/>
          <w:sz w:val="20"/>
          <w:szCs w:val="20"/>
          <w:lang w:val="en"/>
        </w:rPr>
        <w:t>reached the circles of Government, some officials sought, by persuasion, to discourage its distribution. See Smoodin, “Compulsory” Viewing for Every Citizen: </w:t>
      </w:r>
      <w:r>
        <w:rPr>
          <w:rFonts w:ascii="Georgia" w:eastAsia="Times New Roman" w:hAnsi="Georgia" w:cs="Calibri"/>
          <w:i/>
          <w:iCs/>
          <w:color w:val="333333"/>
          <w:sz w:val="20"/>
          <w:szCs w:val="20"/>
          <w:lang w:val="en"/>
        </w:rPr>
        <w:t>Mr. Smith</w:t>
      </w:r>
      <w:r>
        <w:rPr>
          <w:rFonts w:ascii="Georgia" w:eastAsia="Times New Roman" w:hAnsi="Georgia" w:cs="Calibri"/>
          <w:color w:val="333333"/>
          <w:sz w:val="20"/>
          <w:szCs w:val="20"/>
          <w:lang w:val="en"/>
        </w:rPr>
        <w:t xml:space="preserve"> and the Rhetoric of Reception, 35 Cinema Journal 3, 19, and n. 52 (Winter 1996) (citing Mr. Smith Riles Washington, Time, Oct. 30, 1939, p. 49); Nugent, Capra’s Capitol Offense, N. Y. Times, Oct. 29, 1939, p. X5. Under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though, officials could have done more than discourage its distribution—they could have banned the film. After all, it, like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was speech funded by a corporation that was critical of Members of Congress. </w:t>
      </w:r>
      <w:r>
        <w:rPr>
          <w:rFonts w:ascii="Georgia" w:eastAsia="Times New Roman" w:hAnsi="Georgia" w:cs="Calibri"/>
          <w:i/>
          <w:iCs/>
          <w:color w:val="333333"/>
          <w:sz w:val="20"/>
          <w:szCs w:val="20"/>
          <w:lang w:val="en"/>
        </w:rPr>
        <w:t>Mr. Smith Goes to Washington</w:t>
      </w:r>
      <w:r>
        <w:rPr>
          <w:rFonts w:ascii="Georgia" w:eastAsia="Times New Roman" w:hAnsi="Georgia" w:cs="Calibri"/>
          <w:color w:val="333333"/>
          <w:sz w:val="20"/>
          <w:szCs w:val="20"/>
          <w:lang w:val="en"/>
        </w:rPr>
        <w:t> may be fiction and caricature; but fiction and caricature can be a powerful force.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w:t>
      </w:r>
      <w:r>
        <w:rPr>
          <w:rFonts w:ascii="Georgia" w:eastAsia="Times New Roman" w:hAnsi="Georgia" w:cs="Calibri"/>
          <w:color w:val="333333"/>
          <w:sz w:val="20"/>
          <w:szCs w:val="20"/>
          <w:lang w:val="en"/>
        </w:rPr>
        <w:lastRenderedPageBreak/>
        <w:t>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members of the public might consider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341 (opinion of Kennedy, J.).</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District Court is reversed with respect to the constitutionality of 2 U.S.C. §441b’s restrictions on corporate independent expenditures. The case is remanded for further proceedings consistent with this opinion.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9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A86150" w:rsidRDefault="00F714D4">
      <w:pPr>
        <w:numPr>
          <w:ilvl w:val="0"/>
          <w:numId w:val="9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a corporation’s contributions to political parties and candidates tax deductible as a business expense? Should they be?</w:t>
      </w:r>
    </w:p>
    <w:p w:rsidR="00A86150" w:rsidRDefault="00F714D4">
      <w:pPr>
        <w:numPr>
          <w:ilvl w:val="0"/>
          <w:numId w:val="9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the donation of money equivalent to speech? Is this a strict construction of the Constitution to hold that it is?</w:t>
      </w:r>
    </w:p>
    <w:p w:rsidR="00A86150" w:rsidRDefault="00F714D4">
      <w:pPr>
        <w:numPr>
          <w:ilvl w:val="0"/>
          <w:numId w:val="98"/>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Based on the Court’s description of the </w:t>
      </w:r>
      <w:r>
        <w:rPr>
          <w:rFonts w:ascii="Calibri" w:eastAsia="Times New Roman" w:hAnsi="Calibri" w:cs="Calibri"/>
          <w:i/>
          <w:iCs/>
          <w:color w:val="333333"/>
          <w:sz w:val="20"/>
          <w:szCs w:val="20"/>
          <w:lang w:val="en"/>
        </w:rPr>
        <w:t>Austin</w:t>
      </w:r>
      <w:r>
        <w:rPr>
          <w:rFonts w:ascii="Calibri" w:eastAsia="Times New Roman" w:hAnsi="Calibri" w:cs="Calibri"/>
          <w:color w:val="333333"/>
          <w:sz w:val="20"/>
          <w:szCs w:val="20"/>
          <w:lang w:val="en"/>
        </w:rPr>
        <w:t> case, what purpose do you think the </w:t>
      </w:r>
      <w:r>
        <w:rPr>
          <w:rFonts w:ascii="Calibri" w:eastAsia="Times New Roman" w:hAnsi="Calibri" w:cs="Calibri"/>
          <w:i/>
          <w:iCs/>
          <w:color w:val="333333"/>
          <w:sz w:val="20"/>
          <w:szCs w:val="20"/>
          <w:lang w:val="en"/>
        </w:rPr>
        <w:t>Austin</w:t>
      </w:r>
      <w:r>
        <w:rPr>
          <w:rFonts w:ascii="Calibri" w:eastAsia="Times New Roman" w:hAnsi="Calibri" w:cs="Calibri"/>
          <w:color w:val="333333"/>
          <w:sz w:val="20"/>
          <w:szCs w:val="20"/>
          <w:lang w:val="en"/>
        </w:rPr>
        <w:t> court was trying to achieve by limiting corporate campaign contributions? Was that purpose consistent (or inconsistent) with anything in the Constitution, or is the Constitution essentially silent on this issue?</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4.7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A86150" w:rsidRDefault="00F714D4">
      <w:pPr>
        <w:shd w:val="clear" w:color="auto" w:fill="E3EFF7"/>
        <w:spacing w:before="150"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A86150" w:rsidRDefault="00F714D4">
      <w:pPr>
        <w:numPr>
          <w:ilvl w:val="0"/>
          <w:numId w:val="9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A86150" w:rsidRDefault="00A86150">
      <w:pPr>
        <w:spacing w:after="0" w:line="439" w:lineRule="atLeast"/>
        <w:ind w:left="360" w:right="72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100"/>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Harvey filed a suit against the state of Colorado, claiming that a Colorado state law violates the commerce clause. The court will agree if the statute</w:t>
      </w:r>
    </w:p>
    <w:p w:rsidR="00A86150" w:rsidRDefault="00F714D4">
      <w:pPr>
        <w:numPr>
          <w:ilvl w:val="1"/>
          <w:numId w:val="101"/>
        </w:numPr>
        <w:shd w:val="clear" w:color="auto" w:fill="E3EFF7"/>
        <w:spacing w:after="0" w:line="439" w:lineRule="atLeast"/>
        <w:ind w:left="108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places an undue burden on interstate commerce</w:t>
      </w:r>
    </w:p>
    <w:p w:rsidR="00A86150" w:rsidRDefault="00F714D4">
      <w:pPr>
        <w:numPr>
          <w:ilvl w:val="1"/>
          <w:numId w:val="101"/>
        </w:numPr>
        <w:shd w:val="clear" w:color="auto" w:fill="E3EFF7"/>
        <w:spacing w:after="0" w:line="439" w:lineRule="atLeast"/>
        <w:ind w:left="108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promotes the public health, safety, morals, or general welfare of Colorado</w:t>
      </w:r>
    </w:p>
    <w:p w:rsidR="00A86150" w:rsidRDefault="00F714D4">
      <w:pPr>
        <w:numPr>
          <w:ilvl w:val="1"/>
          <w:numId w:val="101"/>
        </w:numPr>
        <w:shd w:val="clear" w:color="auto" w:fill="E3EFF7"/>
        <w:spacing w:after="0" w:line="439" w:lineRule="atLeast"/>
        <w:ind w:left="108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regulates economic activities within the state’s borders</w:t>
      </w:r>
    </w:p>
    <w:p w:rsidR="00A86150" w:rsidRDefault="00F714D4">
      <w:pPr>
        <w:numPr>
          <w:ilvl w:val="1"/>
          <w:numId w:val="101"/>
        </w:numPr>
        <w:shd w:val="clear" w:color="auto" w:fill="E3EFF7"/>
        <w:spacing w:after="0" w:line="439" w:lineRule="atLeast"/>
        <w:ind w:left="108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w:t>
      </w:r>
    </w:p>
    <w:p w:rsidR="00A86150" w:rsidRDefault="00F714D4">
      <w:pPr>
        <w:numPr>
          <w:ilvl w:val="1"/>
          <w:numId w:val="101"/>
        </w:numPr>
        <w:shd w:val="clear" w:color="auto" w:fill="E3EFF7"/>
        <w:spacing w:after="0" w:line="439" w:lineRule="atLeast"/>
        <w:ind w:left="108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 and c</w:t>
      </w:r>
    </w:p>
    <w:p w:rsidR="00A86150" w:rsidRDefault="00F714D4">
      <w:pPr>
        <w:numPr>
          <w:ilvl w:val="0"/>
          <w:numId w:val="101"/>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 legislature in Maine enacts a law that directly conflicts with a federal law. Mapco Industries, located in Portland, Maine, cannot comply with both the state and the federal law.</w:t>
      </w:r>
    </w:p>
    <w:p w:rsidR="00A86150" w:rsidRDefault="00F714D4">
      <w:pPr>
        <w:numPr>
          <w:ilvl w:val="0"/>
          <w:numId w:val="102"/>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Because of federalism, the state law will have priority, as long as Maine is using its police powers.</w:t>
      </w:r>
    </w:p>
    <w:p w:rsidR="00A86150" w:rsidRDefault="00F714D4">
      <w:pPr>
        <w:numPr>
          <w:ilvl w:val="0"/>
          <w:numId w:val="102"/>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Because there’s a conflict, both laws are invalid; the state and the federal government will have to work out a compromise of some sort.</w:t>
      </w:r>
    </w:p>
    <w:p w:rsidR="00A86150" w:rsidRDefault="00F714D4">
      <w:pPr>
        <w:numPr>
          <w:ilvl w:val="0"/>
          <w:numId w:val="102"/>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federal law preempts the state law.</w:t>
      </w:r>
    </w:p>
    <w:p w:rsidR="00A86150" w:rsidRDefault="00F714D4">
      <w:pPr>
        <w:numPr>
          <w:ilvl w:val="0"/>
          <w:numId w:val="102"/>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laws govern concurrently.</w:t>
      </w:r>
    </w:p>
    <w:p w:rsidR="00A86150" w:rsidRDefault="00F714D4">
      <w:pPr>
        <w:numPr>
          <w:ilvl w:val="0"/>
          <w:numId w:val="103"/>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A86150" w:rsidRDefault="00F714D4">
      <w:pPr>
        <w:numPr>
          <w:ilvl w:val="0"/>
          <w:numId w:val="104"/>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supremacy clause</w:t>
      </w:r>
    </w:p>
    <w:p w:rsidR="00A86150" w:rsidRDefault="00F714D4">
      <w:pPr>
        <w:numPr>
          <w:ilvl w:val="0"/>
          <w:numId w:val="104"/>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protection clause</w:t>
      </w:r>
    </w:p>
    <w:p w:rsidR="00A86150" w:rsidRDefault="00F714D4">
      <w:pPr>
        <w:numPr>
          <w:ilvl w:val="0"/>
          <w:numId w:val="104"/>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due process clause of the Fourteenth Amendment</w:t>
      </w:r>
    </w:p>
    <w:p w:rsidR="00A86150" w:rsidRDefault="00F714D4">
      <w:pPr>
        <w:numPr>
          <w:ilvl w:val="0"/>
          <w:numId w:val="104"/>
        </w:numPr>
        <w:shd w:val="clear" w:color="auto" w:fill="E3EFF7"/>
        <w:tabs>
          <w:tab w:val="clear" w:pos="720"/>
          <w:tab w:val="num" w:pos="90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Tenth Amendment</w:t>
      </w:r>
    </w:p>
    <w:p w:rsidR="00A86150" w:rsidRDefault="00F714D4">
      <w:pPr>
        <w:numPr>
          <w:ilvl w:val="0"/>
          <w:numId w:val="105"/>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A86150" w:rsidRDefault="00F714D4">
      <w:pPr>
        <w:numPr>
          <w:ilvl w:val="0"/>
          <w:numId w:val="106"/>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Tenth Amendment</w:t>
      </w:r>
    </w:p>
    <w:p w:rsidR="00A86150" w:rsidRDefault="00F714D4">
      <w:pPr>
        <w:numPr>
          <w:ilvl w:val="0"/>
          <w:numId w:val="106"/>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First Amendment</w:t>
      </w:r>
    </w:p>
    <w:p w:rsidR="00A86150" w:rsidRDefault="00F714D4">
      <w:pPr>
        <w:numPr>
          <w:ilvl w:val="0"/>
          <w:numId w:val="106"/>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Calloways’ right to equal protection of the laws</w:t>
      </w:r>
    </w:p>
    <w:p w:rsidR="00A86150" w:rsidRDefault="00F714D4">
      <w:pPr>
        <w:numPr>
          <w:ilvl w:val="0"/>
          <w:numId w:val="106"/>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commerce clause, since only the federal laws can prevent an article of commerce from entering into Minnesota’s market</w:t>
      </w:r>
    </w:p>
    <w:p w:rsidR="00A86150" w:rsidRDefault="00F714D4">
      <w:pPr>
        <w:numPr>
          <w:ilvl w:val="0"/>
          <w:numId w:val="107"/>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Raunch Unlimited, a Virginia partnership, sells smut whenever and wherever it can. Some of its material is “obscene” (meeting the Supreme Court’s definition under </w:t>
      </w:r>
      <w:r>
        <w:rPr>
          <w:rFonts w:ascii="Calibri" w:eastAsia="Times New Roman" w:hAnsi="Calibri" w:cs="Calibri"/>
          <w:i/>
          <w:iCs/>
          <w:color w:val="333333"/>
          <w:sz w:val="20"/>
          <w:szCs w:val="20"/>
          <w:lang w:val="en"/>
        </w:rPr>
        <w:t>Miller v. California</w:t>
      </w:r>
      <w:r>
        <w:rPr>
          <w:rFonts w:ascii="Calibri" w:eastAsia="Times New Roman" w:hAnsi="Calibri" w:cs="Calibri"/>
          <w:color w:val="333333"/>
          <w:sz w:val="20"/>
          <w:szCs w:val="20"/>
          <w:lang w:val="en"/>
        </w:rPr>
        <w:t>) and includes child pornography. North Carolina has a statute that criminalizes obscenity. What are possible results if a store in Raleigh, North Carolina, carries Raunch merchandise?</w:t>
      </w:r>
    </w:p>
    <w:p w:rsidR="00A86150" w:rsidRDefault="00F714D4">
      <w:pPr>
        <w:numPr>
          <w:ilvl w:val="0"/>
          <w:numId w:val="108"/>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partners could be arrested in North Carolina and may well be convicted.</w:t>
      </w:r>
    </w:p>
    <w:p w:rsidR="00A86150" w:rsidRDefault="00F714D4">
      <w:pPr>
        <w:numPr>
          <w:ilvl w:val="0"/>
          <w:numId w:val="108"/>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in Raleigh may be the basis for a criminal conviction.</w:t>
      </w:r>
    </w:p>
    <w:p w:rsidR="00A86150" w:rsidRDefault="00F714D4">
      <w:pPr>
        <w:numPr>
          <w:ilvl w:val="0"/>
          <w:numId w:val="108"/>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are protected under the First Amendment’s right of free speech.</w:t>
      </w:r>
    </w:p>
    <w:p w:rsidR="00A86150" w:rsidRDefault="00F714D4">
      <w:pPr>
        <w:numPr>
          <w:ilvl w:val="0"/>
          <w:numId w:val="108"/>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are protected under state law.</w:t>
      </w:r>
    </w:p>
    <w:p w:rsidR="00A86150" w:rsidRDefault="00F714D4">
      <w:pPr>
        <w:numPr>
          <w:ilvl w:val="0"/>
          <w:numId w:val="108"/>
        </w:numPr>
        <w:shd w:val="clear" w:color="auto" w:fill="E3EFF7"/>
        <w:tabs>
          <w:tab w:val="clear" w:pos="720"/>
          <w:tab w:val="num" w:pos="990"/>
        </w:tabs>
        <w:spacing w:after="0" w:line="366" w:lineRule="atLeast"/>
        <w:ind w:left="108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w:t>
      </w:r>
    </w:p>
    <w:p w:rsidR="00A86150" w:rsidRDefault="00A86150">
      <w:pPr>
        <w:spacing w:after="0" w:line="366" w:lineRule="atLeast"/>
        <w:ind w:left="108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10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10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10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109"/>
        </w:numPr>
        <w:shd w:val="clear" w:color="auto" w:fill="E3EFF7"/>
        <w:spacing w:after="0"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109"/>
        </w:numPr>
        <w:shd w:val="clear" w:color="auto" w:fill="E3EFF7"/>
        <w:spacing w:line="439" w:lineRule="atLeast"/>
        <w:ind w:left="36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5</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Administrative Law</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27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110"/>
        </w:numPr>
        <w:shd w:val="clear" w:color="auto" w:fill="EAE9DC"/>
        <w:tabs>
          <w:tab w:val="clear" w:pos="720"/>
          <w:tab w:val="num" w:pos="1020"/>
        </w:tabs>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purpose served by federal administrative agencies.</w:t>
      </w:r>
    </w:p>
    <w:p w:rsidR="00A86150" w:rsidRDefault="00F714D4">
      <w:pPr>
        <w:numPr>
          <w:ilvl w:val="0"/>
          <w:numId w:val="110"/>
        </w:numPr>
        <w:shd w:val="clear" w:color="auto" w:fill="EAE9DC"/>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difference between executive branch agencies and independent agencies.</w:t>
      </w:r>
    </w:p>
    <w:p w:rsidR="00A86150" w:rsidRDefault="00F714D4">
      <w:pPr>
        <w:numPr>
          <w:ilvl w:val="0"/>
          <w:numId w:val="110"/>
        </w:numPr>
        <w:shd w:val="clear" w:color="auto" w:fill="EAE9DC"/>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political control of agencies by the president and Congress.</w:t>
      </w:r>
    </w:p>
    <w:p w:rsidR="00A86150" w:rsidRDefault="00F714D4">
      <w:pPr>
        <w:numPr>
          <w:ilvl w:val="0"/>
          <w:numId w:val="110"/>
        </w:numPr>
        <w:shd w:val="clear" w:color="auto" w:fill="EAE9DC"/>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agencies make rules and conduct hearings.</w:t>
      </w:r>
    </w:p>
    <w:p w:rsidR="00A86150" w:rsidRDefault="00F714D4">
      <w:pPr>
        <w:numPr>
          <w:ilvl w:val="0"/>
          <w:numId w:val="110"/>
        </w:numPr>
        <w:shd w:val="clear" w:color="auto" w:fill="EAE9DC"/>
        <w:spacing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courts can be used to challenge administrative rulings.</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5.1 Administrative Agencies: Their Structure and Powers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11"/>
        </w:numPr>
        <w:shd w:val="clear" w:color="auto" w:fill="EAE9DC"/>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reasons why we have federal administrative agencies.</w:t>
      </w:r>
    </w:p>
    <w:p w:rsidR="00A86150" w:rsidRDefault="00F714D4">
      <w:pPr>
        <w:numPr>
          <w:ilvl w:val="0"/>
          <w:numId w:val="111"/>
        </w:numPr>
        <w:shd w:val="clear" w:color="auto" w:fill="EAE9DC"/>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executive branch agencies and independent agencies.</w:t>
      </w:r>
    </w:p>
    <w:p w:rsidR="00A86150" w:rsidRDefault="00F714D4">
      <w:pPr>
        <w:numPr>
          <w:ilvl w:val="0"/>
          <w:numId w:val="111"/>
        </w:numPr>
        <w:shd w:val="clear" w:color="auto" w:fill="EAE9DC"/>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constitutional issue that questions whether administrative agencies could have authority to make enforceable rules that affect business.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Have Administrative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 </w:t>
      </w:r>
      <w:r>
        <w:rPr>
          <w:rFonts w:ascii="Georgia" w:eastAsia="Times New Roman" w:hAnsi="Georgia" w:cs="Calibri"/>
          <w:b/>
          <w:color w:val="333333"/>
          <w:sz w:val="20"/>
          <w:szCs w:val="20"/>
          <w:u w:val="single"/>
          <w:lang w:val="en"/>
        </w:rPr>
        <w:t>administrative agencies</w:t>
      </w:r>
      <w:r>
        <w:rPr>
          <w:rFonts w:ascii="Georgia" w:eastAsia="Times New Roman" w:hAnsi="Georgia" w:cs="Calibri"/>
          <w:color w:val="333333"/>
          <w:sz w:val="20"/>
          <w:szCs w:val="20"/>
          <w:lang w:val="en"/>
        </w:rPr>
        <w:t> to make rules that have the same binding effect as statutes by Congress.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Regulate the Economy at All?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Negative externalities must be “fixed,” as well. For example, as we see in tort law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federal equal opportunity employment laws) would empower plaintiffs to go to court and have the law struck down as unconstitutional.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Ideal Conditions for a Free Market</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buyers and many sellers, and none of them has a substantial share of the market.</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sellers in the market are free to enter the market or leave it.</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all sellers have full and perfect knowledge of what other buyers and sellers are up to, including knowledge of prices, quantity, and quality of all goods being bought or sold.</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goods being sold in the market are similar enough to each other that participants do not have strong preferences as to which seller or buyer they deal with.</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costs and benefits of making or using the goods that are exchanged in the market are borne only by those who buy or sell those goods and not by third parties or people “external” to the market transaction. (That is, there are no “externalities.”)</w:t>
      </w:r>
    </w:p>
    <w:p w:rsidR="00A86150" w:rsidRDefault="00F714D4">
      <w:pPr>
        <w:pStyle w:val="ListParagraph"/>
        <w:numPr>
          <w:ilvl w:val="0"/>
          <w:numId w:val="112"/>
        </w:numPr>
        <w:shd w:val="clear" w:color="auto" w:fill="F4F4F4"/>
        <w:tabs>
          <w:tab w:val="num" w:pos="450"/>
        </w:tabs>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sellers are utility maximizers; each participant in the market tries to get as much as possible for as little as possible.</w:t>
      </w:r>
    </w:p>
    <w:p w:rsidR="00A86150" w:rsidRDefault="00F714D4">
      <w:pPr>
        <w:pStyle w:val="ListParagraph"/>
        <w:numPr>
          <w:ilvl w:val="0"/>
          <w:numId w:val="112"/>
        </w:numPr>
        <w:shd w:val="clear" w:color="auto" w:fill="F4F4F4"/>
        <w:tabs>
          <w:tab w:val="num" w:pos="450"/>
        </w:tabs>
        <w:spacing w:before="24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no parties, institutions, or governmental units regulating the price, quantity, or quality of any of the goods being bought and sold in the market.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some forms of legislation and regulation are needed to counter a tendency toward consolidation of economic power and discriminatory attitudes toward certain individuals and groups (</w:t>
      </w:r>
      <w:r>
        <w:rPr>
          <w:rFonts w:ascii="Georgia" w:eastAsia="Times New Roman" w:hAnsi="Georgia" w:cs="Calibri"/>
          <w:color w:val="2689C6"/>
          <w:sz w:val="20"/>
          <w:szCs w:val="20"/>
          <w:lang w:val="en"/>
        </w:rPr>
        <w:t>Chapter 30 "Employment Law"</w:t>
      </w:r>
      <w:r>
        <w:rPr>
          <w:rFonts w:ascii="Georgia" w:eastAsia="Times New Roman" w:hAnsi="Georgia" w:cs="Calibri"/>
          <w:color w:val="333333"/>
          <w:sz w:val="20"/>
          <w:szCs w:val="20"/>
          <w:lang w:val="en"/>
        </w:rPr>
        <w:t>) and to insist that people and companies clean up their own messes and not hide information that would empower voluntary choices in the free market.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 </w:t>
      </w:r>
      <w:r>
        <w:rPr>
          <w:rFonts w:ascii="Georgia" w:eastAsia="Times New Roman" w:hAnsi="Georgia" w:cs="Calibri"/>
          <w:i/>
          <w:iCs/>
          <w:color w:val="333333"/>
          <w:sz w:val="20"/>
          <w:szCs w:val="20"/>
          <w:lang w:val="en"/>
        </w:rPr>
        <w:t>noncompetition.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Federal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Classification of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 ICC and the FTC, the major independent agencies are the Federal Communications Commission (1934), Securities and Exchange Commission (1934), National Labor Relations Board (1935), and Environmental Protection Agency (1970). See </w:t>
      </w:r>
      <w:r>
        <w:rPr>
          <w:rFonts w:ascii="Georgia" w:eastAsia="Times New Roman" w:hAnsi="Georgia" w:cs="Calibri"/>
          <w:color w:val="2689C6"/>
          <w:sz w:val="20"/>
          <w:szCs w:val="20"/>
          <w:lang w:val="en"/>
        </w:rPr>
        <w:t>Note 5.4 "Ideal Conditions for a Free Market"</w:t>
      </w:r>
      <w:r>
        <w:rPr>
          <w:rFonts w:ascii="Georgia" w:eastAsia="Times New Roman" w:hAnsi="Georgia" w:cs="Calibri"/>
          <w:color w:val="333333"/>
          <w:sz w:val="20"/>
          <w:szCs w:val="20"/>
          <w:lang w:val="en"/>
        </w:rPr>
        <w:t> in the sidebar.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Powers of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Constitution and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can establish an agency through legislation. When Congress gives powers to an agency, the legislation is known as an </w:t>
      </w:r>
      <w:r>
        <w:rPr>
          <w:rFonts w:ascii="Georgia" w:eastAsia="Times New Roman" w:hAnsi="Georgia" w:cs="Calibri"/>
          <w:b/>
          <w:color w:val="333333"/>
          <w:sz w:val="20"/>
          <w:szCs w:val="20"/>
          <w:u w:val="single"/>
          <w:lang w:val="en"/>
        </w:rPr>
        <w:t>enabling act</w:t>
      </w:r>
      <w:r>
        <w:rPr>
          <w:rFonts w:ascii="Georgia" w:eastAsia="Times New Roman" w:hAnsi="Georgia" w:cs="Calibri"/>
          <w:color w:val="333333"/>
          <w:sz w:val="20"/>
          <w:szCs w:val="20"/>
          <w:lang w:val="en"/>
        </w:rPr>
        <w:t xml:space="preserve">. The concept that Congress can delegate power to an agency is known as the </w:t>
      </w:r>
      <w:r>
        <w:rPr>
          <w:rFonts w:ascii="Georgia" w:eastAsia="Times New Roman" w:hAnsi="Georgia" w:cs="Calibri"/>
          <w:b/>
          <w:color w:val="333333"/>
          <w:sz w:val="20"/>
          <w:szCs w:val="20"/>
          <w:u w:val="single"/>
          <w:lang w:val="en"/>
        </w:rPr>
        <w:t>delegation doctrine</w:t>
      </w:r>
      <w:r>
        <w:rPr>
          <w:rFonts w:ascii="Georgia" w:eastAsia="Times New Roman" w:hAnsi="Georgia" w:cs="Calibri"/>
          <w:color w:val="333333"/>
          <w:sz w:val="20"/>
          <w:szCs w:val="20"/>
          <w:lang w:val="en"/>
        </w:rPr>
        <w:t>.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1935, in </w:t>
      </w:r>
      <w:r>
        <w:rPr>
          <w:rFonts w:ascii="Georgia" w:eastAsia="Times New Roman" w:hAnsi="Georgia" w:cs="Calibri"/>
          <w:i/>
          <w:iCs/>
          <w:color w:val="333333"/>
          <w:sz w:val="20"/>
          <w:szCs w:val="20"/>
          <w:lang w:val="en"/>
        </w:rPr>
        <w:t>Schechter Poultry Corp. v. United States</w:t>
      </w:r>
      <w:r>
        <w:rPr>
          <w:rFonts w:ascii="Georgia" w:eastAsia="Times New Roman" w:hAnsi="Georgia" w:cs="Calibri"/>
          <w:color w:val="333333"/>
          <w:sz w:val="20"/>
          <w:szCs w:val="20"/>
          <w:lang w:val="en"/>
        </w:rPr>
        <w:t>, the Supreme Court overturned the National Industrial Recovery Act on the ground that the congressional delegation of power was too broad.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 </w:t>
      </w:r>
      <w:r>
        <w:rPr>
          <w:rFonts w:ascii="Georgia" w:eastAsia="Times New Roman" w:hAnsi="Georgia" w:cs="Calibri"/>
          <w:color w:val="2689C6"/>
          <w:sz w:val="20"/>
          <w:szCs w:val="20"/>
          <w:lang w:val="en"/>
        </w:rPr>
        <w:t>Section 5.2 "Controlling Administrative Agencies"</w:t>
      </w:r>
      <w:r>
        <w:rPr>
          <w:rFonts w:ascii="Georgia" w:eastAsia="Times New Roman" w:hAnsi="Georgia" w:cs="Calibri"/>
          <w:color w:val="333333"/>
          <w:sz w:val="20"/>
          <w:szCs w:val="20"/>
          <w:lang w:val="en"/>
        </w:rPr>
        <w:t>, there are both executive and judicial controls over administrative agency activities, as well as ongoing control by Congress through funding and the continuing oversight of agencies, both in hearings and through subsequent statutory amendments.</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13"/>
        </w:numPr>
        <w:shd w:val="clear" w:color="auto" w:fill="E3EFF7"/>
        <w:tabs>
          <w:tab w:val="clear" w:pos="720"/>
          <w:tab w:val="num" w:pos="195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Congress needs to delegate rule-making authority to a specialized agency.</w:t>
      </w:r>
    </w:p>
    <w:p w:rsidR="00A86150" w:rsidRDefault="00F714D4">
      <w:pPr>
        <w:numPr>
          <w:ilvl w:val="0"/>
          <w:numId w:val="113"/>
        </w:numPr>
        <w:shd w:val="clear" w:color="auto" w:fill="E3EFF7"/>
        <w:tabs>
          <w:tab w:val="clear" w:pos="720"/>
          <w:tab w:val="num" w:pos="162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there is any need for interference in the market by means of laws or regulations.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Schechter Poultry Corp. v. United States</w:t>
      </w:r>
      <w:r>
        <w:rPr>
          <w:rFonts w:ascii="Calibri" w:eastAsia="Times New Roman" w:hAnsi="Calibri" w:cs="Calibri"/>
          <w:color w:val="333333"/>
          <w:sz w:val="20"/>
          <w:szCs w:val="20"/>
        </w:rPr>
        <w:t>, 295 US 495 (1935).</w:t>
      </w:r>
    </w:p>
    <w:p w:rsidR="00A86150" w:rsidRDefault="00F714D4">
      <w:pPr>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5.2 Controlling Administrative Agencies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14"/>
        </w:numPr>
        <w:shd w:val="clear" w:color="auto" w:fill="EAE9DC"/>
        <w:tabs>
          <w:tab w:val="clear" w:pos="720"/>
          <w:tab w:val="num" w:pos="19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president controls administrative agencies.</w:t>
      </w:r>
    </w:p>
    <w:p w:rsidR="00A86150" w:rsidRDefault="00F714D4">
      <w:pPr>
        <w:numPr>
          <w:ilvl w:val="0"/>
          <w:numId w:val="114"/>
        </w:numPr>
        <w:shd w:val="clear" w:color="auto" w:fill="EAE9DC"/>
        <w:tabs>
          <w:tab w:val="clear" w:pos="720"/>
          <w:tab w:val="num" w:pos="16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Congress controls administrative agencies.</w:t>
      </w:r>
    </w:p>
    <w:p w:rsidR="00A86150" w:rsidRDefault="00F714D4">
      <w:pPr>
        <w:numPr>
          <w:ilvl w:val="0"/>
          <w:numId w:val="114"/>
        </w:numPr>
        <w:shd w:val="clear" w:color="auto" w:fill="EAE9DC"/>
        <w:tabs>
          <w:tab w:val="clear" w:pos="720"/>
          <w:tab w:val="num" w:pos="1620"/>
        </w:tabs>
        <w:spacing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courts can control administrative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agencies are the focal point of controversy because they are policy-making bodies, incorporating facets of legislative, executive, and judicial power in a hybrid form that fits uneasily at best in the framework of American government (see </w:t>
      </w:r>
      <w:r>
        <w:rPr>
          <w:rFonts w:ascii="Georgia" w:eastAsia="Times New Roman" w:hAnsi="Georgia" w:cs="Calibri"/>
          <w:color w:val="2689C6"/>
          <w:sz w:val="20"/>
          <w:szCs w:val="20"/>
          <w:lang w:val="en"/>
        </w:rPr>
        <w:t>Figure 5.1 "Major Administrative Agencies of the United States"</w:t>
      </w:r>
      <w:r>
        <w:rPr>
          <w:rFonts w:ascii="Georgia" w:eastAsia="Times New Roman" w:hAnsi="Georgia" w:cs="Calibri"/>
          <w:color w:val="333333"/>
          <w:sz w:val="20"/>
          <w:szCs w:val="20"/>
          <w:lang w:val="en"/>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A86150" w:rsidRDefault="00F714D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5.1</w:t>
      </w:r>
      <w:r>
        <w:rPr>
          <w:rFonts w:ascii="Georgia" w:eastAsia="Times New Roman" w:hAnsi="Georgia" w:cs="Calibri"/>
          <w:i/>
          <w:iCs/>
          <w:color w:val="BB9966"/>
          <w:sz w:val="21"/>
          <w:szCs w:val="21"/>
          <w:lang w:val="en"/>
        </w:rPr>
        <w:t> Major Administrative Agencies of the United States</w:t>
      </w:r>
    </w:p>
    <w:p w:rsidR="00A86150" w:rsidRDefault="00F714D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4286250"/>
            <wp:effectExtent l="0" t="0" r="0" b="0"/>
            <wp:docPr id="20" name="Picture 7" descr="http://images.flatworldknowledge.com/mayerlawentrep/mayerlawentrep-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ayerlawentrep/mayerlawentrep-fig05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Legislative Control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Executive Control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Judicial Review of Agency Actions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agencies are creatures of law and like everyone else must obey the law. The courts have jurisdiction to hear claims that the agencies have overstepped their legal authority or have acted in some unlawful manner.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 </w:t>
      </w:r>
      <w:r>
        <w:rPr>
          <w:rFonts w:ascii="Georgia" w:eastAsia="Times New Roman" w:hAnsi="Georgia" w:cs="Calibri"/>
          <w:color w:val="2689C6"/>
          <w:sz w:val="20"/>
          <w:szCs w:val="20"/>
          <w:lang w:val="en"/>
        </w:rPr>
        <w:t>Section 5.5.2 "Strategies for Obtaining Judicial Review"</w:t>
      </w:r>
      <w:r>
        <w:rPr>
          <w:rFonts w:ascii="Georgia" w:eastAsia="Times New Roman" w:hAnsi="Georgia" w:cs="Calibri"/>
          <w:color w:val="333333"/>
          <w:sz w:val="20"/>
          <w:szCs w:val="20"/>
          <w:lang w:val="en"/>
        </w:rPr>
        <w:t> on “Strategies for Obtaining Judicial Review”).</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Administrative agencies are given unusual powers: to legislate, investigate, and adjudicate. But these powers are limited by executive and legislative controls and by judicial review.</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15"/>
        </w:numPr>
        <w:shd w:val="clear" w:color="auto" w:fill="E3EFF7"/>
        <w:tabs>
          <w:tab w:val="clear" w:pos="720"/>
          <w:tab w:val="num" w:pos="162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Find the website of the Consumer Product Safety Commission (CPSC). Identify from that site a product that has been banned by the CPSC for sale in the United States. What reasons were given for its exclusion from the US market?</w:t>
      </w:r>
    </w:p>
    <w:p w:rsidR="00A86150" w:rsidRDefault="00F714D4">
      <w:pPr>
        <w:numPr>
          <w:ilvl w:val="0"/>
          <w:numId w:val="115"/>
        </w:numPr>
        <w:shd w:val="clear" w:color="auto" w:fill="E3EFF7"/>
        <w:tabs>
          <w:tab w:val="clear" w:pos="720"/>
          <w:tab w:val="num" w:pos="162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has Congress told the CPSC to do in its enabling act? Is this a clear enough mandate to guide the agency? What could Congress do if the CPSC does something that may be outside of the scope of its powers? What can an affected business do?</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5.3 The Administrative Procedure Act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6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16"/>
        </w:numPr>
        <w:shd w:val="clear" w:color="auto" w:fill="EAE9DC"/>
        <w:tabs>
          <w:tab w:val="clear" w:pos="720"/>
          <w:tab w:val="num" w:pos="2220"/>
        </w:tabs>
        <w:spacing w:after="0" w:line="439" w:lineRule="atLeast"/>
        <w:ind w:left="99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the Administrative Procedure Act was needed.</w:t>
      </w:r>
    </w:p>
    <w:p w:rsidR="00A86150" w:rsidRDefault="00F714D4">
      <w:pPr>
        <w:numPr>
          <w:ilvl w:val="0"/>
          <w:numId w:val="116"/>
        </w:numPr>
        <w:shd w:val="clear" w:color="auto" w:fill="EAE9DC"/>
        <w:tabs>
          <w:tab w:val="clear" w:pos="720"/>
          <w:tab w:val="num" w:pos="1620"/>
        </w:tabs>
        <w:spacing w:after="0" w:line="439" w:lineRule="atLeast"/>
        <w:ind w:left="99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hearings are conducted under the act.</w:t>
      </w:r>
    </w:p>
    <w:p w:rsidR="00A86150" w:rsidRDefault="00F714D4">
      <w:pPr>
        <w:numPr>
          <w:ilvl w:val="0"/>
          <w:numId w:val="116"/>
        </w:numPr>
        <w:shd w:val="clear" w:color="auto" w:fill="EAE9DC"/>
        <w:tabs>
          <w:tab w:val="clear" w:pos="720"/>
          <w:tab w:val="num" w:pos="1320"/>
        </w:tabs>
        <w:spacing w:line="439" w:lineRule="atLeast"/>
        <w:ind w:left="99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act affects rulemaking by agencies.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1946, Congress enacted the </w:t>
      </w:r>
      <w:r>
        <w:rPr>
          <w:rFonts w:ascii="Georgia" w:eastAsia="Times New Roman" w:hAnsi="Georgia" w:cs="Calibri"/>
          <w:b/>
          <w:color w:val="333333"/>
          <w:sz w:val="20"/>
          <w:szCs w:val="20"/>
          <w:u w:val="single"/>
          <w:lang w:val="en"/>
        </w:rPr>
        <w:t>Administrative Procedure Act </w:t>
      </w:r>
      <w:r>
        <w:rPr>
          <w:rFonts w:ascii="Georgia" w:eastAsia="Times New Roman" w:hAnsi="Georgia" w:cs="Calibri"/>
          <w:color w:val="333333"/>
          <w:sz w:val="20"/>
          <w:szCs w:val="20"/>
          <w:lang w:val="en"/>
        </w:rPr>
        <w:t>(APA).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Trial-Type Hearings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 </w:t>
      </w:r>
      <w:r>
        <w:rPr>
          <w:rFonts w:ascii="Georgia" w:eastAsia="Times New Roman" w:hAnsi="Georgia" w:cs="Calibri"/>
          <w:b/>
          <w:color w:val="333333"/>
          <w:sz w:val="20"/>
          <w:szCs w:val="20"/>
          <w:u w:val="single"/>
          <w:lang w:val="en"/>
        </w:rPr>
        <w:t>administrative law judge</w:t>
      </w:r>
      <w:r>
        <w:rPr>
          <w:rFonts w:ascii="Georgia" w:eastAsia="Times New Roman" w:hAnsi="Georgia" w:cs="Calibri"/>
          <w:color w:val="333333"/>
          <w:sz w:val="20"/>
          <w:szCs w:val="20"/>
          <w:lang w:val="en"/>
        </w:rPr>
        <w:t> (ALJ),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Rulemaking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w:t>
      </w:r>
      <w:r>
        <w:rPr>
          <w:rFonts w:ascii="Georgia" w:eastAsia="Times New Roman" w:hAnsi="Georgia" w:cs="Calibri"/>
          <w:b/>
          <w:color w:val="333333"/>
          <w:sz w:val="20"/>
          <w:szCs w:val="20"/>
          <w:u w:val="single"/>
          <w:lang w:val="en"/>
        </w:rPr>
        <w:t xml:space="preserve"> Federal Register </w:t>
      </w:r>
      <w:r>
        <w:rPr>
          <w:rFonts w:ascii="Georgia" w:eastAsia="Times New Roman" w:hAnsi="Georgia" w:cs="Calibri"/>
          <w:color w:val="333333"/>
          <w:sz w:val="20"/>
          <w:szCs w:val="20"/>
          <w:lang w:val="en"/>
        </w:rPr>
        <w:t>of their intent to do so. The </w:t>
      </w:r>
      <w:r>
        <w:rPr>
          <w:rFonts w:ascii="Georgia" w:eastAsia="Times New Roman" w:hAnsi="Georgia" w:cs="Calibri"/>
          <w:i/>
          <w:iCs/>
          <w:color w:val="333333"/>
          <w:sz w:val="20"/>
          <w:szCs w:val="20"/>
          <w:lang w:val="en"/>
        </w:rPr>
        <w:t>Federal Register</w:t>
      </w:r>
      <w:r>
        <w:rPr>
          <w:rFonts w:ascii="Georgia" w:eastAsia="Times New Roman" w:hAnsi="Georgia" w:cs="Calibri"/>
          <w:color w:val="333333"/>
          <w:sz w:val="20"/>
          <w:szCs w:val="20"/>
          <w:lang w:val="en"/>
        </w:rPr>
        <w:t> 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 </w:t>
      </w:r>
      <w:r>
        <w:rPr>
          <w:rFonts w:ascii="Georgia" w:eastAsia="Times New Roman" w:hAnsi="Georgia" w:cs="Calibri"/>
          <w:i/>
          <w:iCs/>
          <w:color w:val="333333"/>
          <w:sz w:val="20"/>
          <w:szCs w:val="20"/>
          <w:lang w:val="en"/>
        </w:rPr>
        <w:t>hold</w:t>
      </w:r>
      <w:r>
        <w:rPr>
          <w:rFonts w:ascii="Georgia" w:eastAsia="Times New Roman" w:hAnsi="Georgia" w:cs="Calibri"/>
          <w:color w:val="333333"/>
          <w:sz w:val="20"/>
          <w:szCs w:val="20"/>
          <w:lang w:val="en"/>
        </w:rPr>
        <w:t> an adversary hearing.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regulations are not legally binding unless they are published. Agencies must publish in the </w:t>
      </w:r>
      <w:r>
        <w:rPr>
          <w:rFonts w:ascii="Georgia" w:eastAsia="Times New Roman" w:hAnsi="Georgia" w:cs="Calibri"/>
          <w:i/>
          <w:iCs/>
          <w:color w:val="333333"/>
          <w:sz w:val="20"/>
          <w:szCs w:val="20"/>
          <w:lang w:val="en"/>
        </w:rPr>
        <w:t>Federal Register</w:t>
      </w:r>
      <w:r>
        <w:rPr>
          <w:rFonts w:ascii="Georgia" w:eastAsia="Times New Roman" w:hAnsi="Georgia" w:cs="Calibri"/>
          <w:color w:val="333333"/>
          <w:sz w:val="20"/>
          <w:szCs w:val="20"/>
          <w:lang w:val="en"/>
        </w:rPr>
        <w:t xml:space="preserve"> the text of final regulations, which ordinarily do not become effective until thirty days later. Every year the annual output of regulations is collected and reprinted in the </w:t>
      </w:r>
      <w:r>
        <w:rPr>
          <w:rFonts w:ascii="Georgia" w:eastAsia="Times New Roman" w:hAnsi="Georgia" w:cs="Calibri"/>
          <w:b/>
          <w:color w:val="333333"/>
          <w:sz w:val="20"/>
          <w:szCs w:val="20"/>
          <w:u w:val="single"/>
          <w:lang w:val="en"/>
        </w:rPr>
        <w:t>Code of Federal Regulations (CFR)</w:t>
      </w:r>
      <w:r>
        <w:rPr>
          <w:rFonts w:ascii="Georgia" w:eastAsia="Times New Roman" w:hAnsi="Georgia" w:cs="Calibri"/>
          <w:color w:val="333333"/>
          <w:sz w:val="20"/>
          <w:szCs w:val="20"/>
          <w:lang w:val="en"/>
        </w:rPr>
        <w:t>, a multivolume paperback series containing all federal rules and regulations keyed to the fifty titles of the US Code (the compilation of </w:t>
      </w:r>
      <w:r>
        <w:rPr>
          <w:rFonts w:ascii="Georgia" w:eastAsia="Times New Roman" w:hAnsi="Georgia" w:cs="Calibri"/>
          <w:i/>
          <w:iCs/>
          <w:color w:val="333333"/>
          <w:sz w:val="20"/>
          <w:szCs w:val="20"/>
          <w:lang w:val="en"/>
        </w:rPr>
        <w:t>all</w:t>
      </w:r>
      <w:r>
        <w:rPr>
          <w:rFonts w:ascii="Georgia" w:eastAsia="Times New Roman" w:hAnsi="Georgia" w:cs="Calibri"/>
          <w:color w:val="333333"/>
          <w:sz w:val="20"/>
          <w:szCs w:val="20"/>
          <w:lang w:val="en"/>
        </w:rPr>
        <w:t> federal statutes enacted by Congress and grouped according to subject).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17"/>
        </w:numPr>
        <w:shd w:val="clear" w:color="auto" w:fill="E3EFF7"/>
        <w:tabs>
          <w:tab w:val="clear" w:pos="720"/>
          <w:tab w:val="num" w:pos="171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w:t>
      </w:r>
      <w:hyperlink r:id="rId21" w:anchor="!home" w:tgtFrame="_blank" w:history="1">
        <w:r>
          <w:rPr>
            <w:rStyle w:val="Hyperlink"/>
            <w:rFonts w:ascii="Calibri" w:eastAsia="Times New Roman" w:hAnsi="Calibri" w:cs="Calibri"/>
            <w:color w:val="2689C6"/>
            <w:sz w:val="20"/>
            <w:szCs w:val="20"/>
            <w:lang w:val="en"/>
          </w:rPr>
          <w:t>http://www.regulations.gov/search/Regs/home.html#home</w:t>
        </w:r>
      </w:hyperlink>
      <w:r>
        <w:rPr>
          <w:rFonts w:ascii="Calibri" w:eastAsia="Times New Roman" w:hAnsi="Calibri" w:cs="Calibri"/>
          <w:color w:val="333333"/>
          <w:sz w:val="20"/>
          <w:szCs w:val="20"/>
          <w:lang w:val="en"/>
        </w:rPr>
        <w:t>. Browse the site. Find a topic that interests you, and then find a proposed regulation. Notice how comments on the proposed rule are invited.</w:t>
      </w:r>
    </w:p>
    <w:p w:rsidR="00A86150" w:rsidRDefault="00F714D4">
      <w:pPr>
        <w:numPr>
          <w:ilvl w:val="0"/>
          <w:numId w:val="117"/>
        </w:numPr>
        <w:shd w:val="clear" w:color="auto" w:fill="E3EFF7"/>
        <w:tabs>
          <w:tab w:val="clear" w:pos="720"/>
          <w:tab w:val="num" w:pos="171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there be a trial by an administrative agency? Describe the process.</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5.4 Administrative Burdens on Business Operations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63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18"/>
        </w:numPr>
        <w:shd w:val="clear" w:color="auto" w:fill="EAE9DC"/>
        <w:tabs>
          <w:tab w:val="clear" w:pos="720"/>
          <w:tab w:val="num" w:pos="2340"/>
        </w:tabs>
        <w:spacing w:after="0" w:line="439" w:lineRule="atLeast"/>
        <w:ind w:left="9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paperwork burden imposed by administrative agencies.</w:t>
      </w:r>
    </w:p>
    <w:p w:rsidR="00A86150" w:rsidRDefault="00F714D4">
      <w:pPr>
        <w:numPr>
          <w:ilvl w:val="0"/>
          <w:numId w:val="118"/>
        </w:numPr>
        <w:shd w:val="clear" w:color="auto" w:fill="EAE9DC"/>
        <w:tabs>
          <w:tab w:val="clear" w:pos="720"/>
          <w:tab w:val="num" w:pos="1710"/>
        </w:tabs>
        <w:spacing w:after="0" w:line="439" w:lineRule="atLeast"/>
        <w:ind w:left="9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agencies have the power of investigation, and what limits there are to that power.</w:t>
      </w:r>
    </w:p>
    <w:p w:rsidR="00A86150" w:rsidRDefault="00F714D4">
      <w:pPr>
        <w:numPr>
          <w:ilvl w:val="0"/>
          <w:numId w:val="118"/>
        </w:numPr>
        <w:shd w:val="clear" w:color="auto" w:fill="EAE9DC"/>
        <w:tabs>
          <w:tab w:val="clear" w:pos="720"/>
          <w:tab w:val="num" w:pos="1380"/>
        </w:tabs>
        <w:spacing w:line="439" w:lineRule="atLeast"/>
        <w:ind w:left="9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need for the Freedom of Information Act and how it works in the US legal system.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Paperwork Burden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administrative process is not frictionless. The interplay between government agency and private enterprise can burden business operations in a number of ways. Several of these are noted in this section.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Inspections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 </w:t>
      </w:r>
      <w:r>
        <w:rPr>
          <w:rFonts w:ascii="Georgia" w:eastAsia="Times New Roman" w:hAnsi="Georgia" w:cs="Calibri"/>
          <w:i/>
          <w:iCs/>
          <w:color w:val="333333"/>
          <w:sz w:val="20"/>
          <w:szCs w:val="20"/>
          <w:lang w:val="en"/>
        </w:rPr>
        <w:t>Marshall v. Barlow’s, Inc.</w:t>
      </w:r>
      <w:r>
        <w:rPr>
          <w:rFonts w:ascii="Georgia" w:eastAsia="Times New Roman" w:hAnsi="Georgia" w:cs="Calibri"/>
          <w:color w:val="333333"/>
          <w:sz w:val="20"/>
          <w:szCs w:val="20"/>
          <w:lang w:val="en"/>
        </w:rPr>
        <w:t>, the court held that no less than private individuals, businesses are entitled to refuse police demands to search the premises unless a court has issued a search warrant.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Access to Business Information in Government Files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A86150" w:rsidRDefault="00F714D4">
      <w:pPr>
        <w:pStyle w:val="ListParagraph"/>
        <w:numPr>
          <w:ilvl w:val="0"/>
          <w:numId w:val="119"/>
        </w:numPr>
        <w:shd w:val="clear" w:color="auto" w:fill="FFFFFF"/>
        <w:tabs>
          <w:tab w:val="clear" w:pos="720"/>
          <w:tab w:val="num" w:pos="144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required by executive order of the president to be kept secret in the interest of national defense or public policy</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related solely to the internal personnel rules and practice of an agency</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exempted from disclosure by another statute</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interagency memos or decisions reflecting the deliberative process</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personnel files and other files that if disclosed, would constitute an unwarranted invasion of personal privacy</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information compiled for law enforcement purposes</w:t>
      </w:r>
    </w:p>
    <w:p w:rsidR="00A86150" w:rsidRDefault="00F714D4">
      <w:pPr>
        <w:pStyle w:val="ListParagraph"/>
        <w:numPr>
          <w:ilvl w:val="0"/>
          <w:numId w:val="119"/>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geological information concerning wells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the government may provide such information but is not required to provide such information; it retains discretion to provide information or not.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2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two examples of a closely regulated industry. Explain why some warrantless searches would be allowed.</w:t>
      </w:r>
    </w:p>
    <w:p w:rsidR="00A86150" w:rsidRDefault="00F714D4">
      <w:pPr>
        <w:numPr>
          <w:ilvl w:val="0"/>
          <w:numId w:val="120"/>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Find out why FOIA requests often take months or years to accomplish.</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FTC Line of Business Report Litigation</w:t>
      </w:r>
      <w:r>
        <w:rPr>
          <w:rFonts w:ascii="Calibri" w:eastAsia="Times New Roman" w:hAnsi="Calibri" w:cs="Calibri"/>
          <w:color w:val="333333"/>
          <w:sz w:val="20"/>
          <w:szCs w:val="20"/>
        </w:rPr>
        <w:t>, 595 F.2d 685 (D.C. Cir. 1978).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Marshall v. Barlow’s, Inc.</w:t>
      </w:r>
      <w:r>
        <w:rPr>
          <w:rFonts w:ascii="Calibri" w:eastAsia="Times New Roman" w:hAnsi="Calibri" w:cs="Calibri"/>
          <w:color w:val="333333"/>
          <w:sz w:val="20"/>
          <w:szCs w:val="20"/>
        </w:rPr>
        <w:t>, 436 US 307 (1978).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New York v. Burger</w:t>
      </w:r>
      <w:r>
        <w:rPr>
          <w:rFonts w:ascii="Calibri" w:eastAsia="Times New Roman" w:hAnsi="Calibri" w:cs="Calibri"/>
          <w:color w:val="333333"/>
          <w:sz w:val="20"/>
          <w:szCs w:val="20"/>
        </w:rPr>
        <w:t>, 482 US 691 (1987).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Dow Chemical Co. v. United States Environmental Protection Agency</w:t>
      </w:r>
      <w:r>
        <w:rPr>
          <w:rFonts w:ascii="Calibri" w:eastAsia="Times New Roman" w:hAnsi="Calibri" w:cs="Calibri"/>
          <w:color w:val="333333"/>
          <w:sz w:val="20"/>
          <w:szCs w:val="20"/>
        </w:rPr>
        <w:t>, 476 US 227 (1986).</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5.5 The Scope of Judicial Review</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21"/>
        </w:numPr>
        <w:shd w:val="clear" w:color="auto" w:fill="EAE9DC"/>
        <w:tabs>
          <w:tab w:val="clear" w:pos="720"/>
          <w:tab w:val="num" w:pos="10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“exhaustion of remedies” requirement.</w:t>
      </w:r>
    </w:p>
    <w:p w:rsidR="00A86150" w:rsidRDefault="00F714D4">
      <w:pPr>
        <w:numPr>
          <w:ilvl w:val="0"/>
          <w:numId w:val="121"/>
        </w:numPr>
        <w:shd w:val="clear" w:color="auto" w:fill="EAE9DC"/>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Detail various strategies for obtaining judicial review of agency rules.</w:t>
      </w:r>
    </w:p>
    <w:p w:rsidR="00A86150" w:rsidRDefault="00F714D4">
      <w:pPr>
        <w:numPr>
          <w:ilvl w:val="0"/>
          <w:numId w:val="121"/>
        </w:numPr>
        <w:shd w:val="clear" w:color="auto" w:fill="EAE9DC"/>
        <w:spacing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under what circumstances it is possible to sue the government.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Exhaustion of Administrative Remedies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w:t>
      </w:r>
      <w:r>
        <w:rPr>
          <w:rFonts w:ascii="Georgia" w:eastAsia="Times New Roman" w:hAnsi="Georgia" w:cs="Calibri"/>
          <w:b/>
          <w:color w:val="333333"/>
          <w:sz w:val="20"/>
          <w:szCs w:val="20"/>
          <w:u w:val="single"/>
          <w:lang w:val="en"/>
        </w:rPr>
        <w:t>exhaustion of administrative remedies</w:t>
      </w:r>
      <w:r>
        <w:rPr>
          <w:rFonts w:ascii="Georgia" w:eastAsia="Times New Roman" w:hAnsi="Georgia" w:cs="Calibri"/>
          <w:color w:val="333333"/>
          <w:sz w:val="20"/>
          <w:szCs w:val="20"/>
          <w:lang w:val="en"/>
        </w:rPr>
        <w:t> 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Strategies for Obtaining Judicial Review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 </w:t>
      </w:r>
      <w:r>
        <w:rPr>
          <w:rFonts w:ascii="Georgia" w:eastAsia="Times New Roman" w:hAnsi="Georgia" w:cs="Calibri"/>
          <w:color w:val="2689C6"/>
          <w:sz w:val="20"/>
          <w:szCs w:val="20"/>
          <w:lang w:val="en"/>
        </w:rPr>
        <w:t>Section 5.6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American Textile Manufacturers Institute v. Donovan</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summary, then, an individual or a company may (after exhaustion of administrative remedies) challenge agency action where such action is the following:</w:t>
      </w:r>
    </w:p>
    <w:p w:rsidR="00A86150" w:rsidRDefault="00F714D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agency’s scope of authority</w:t>
      </w:r>
    </w:p>
    <w:p w:rsidR="00A86150" w:rsidRDefault="00F714D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US Constitution or the Administrative Procedure Act</w:t>
      </w:r>
    </w:p>
    <w:p w:rsidR="00A86150" w:rsidRDefault="00F714D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substantial evidence test</w:t>
      </w:r>
    </w:p>
    <w:p w:rsidR="00A86150" w:rsidRDefault="00F714D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unwarranted by the facts</w:t>
      </w:r>
    </w:p>
    <w:p w:rsidR="00A86150" w:rsidRDefault="00F714D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arbitrary, capricious, an abuse of discretion, or otherwise not in accord with the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Suing the Government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 </w:t>
      </w:r>
      <w:r>
        <w:rPr>
          <w:rFonts w:ascii="Georgia" w:eastAsia="Times New Roman" w:hAnsi="Georgia" w:cs="Calibri"/>
          <w:i/>
          <w:iCs/>
          <w:color w:val="333333"/>
          <w:sz w:val="20"/>
          <w:szCs w:val="20"/>
          <w:lang w:val="en"/>
        </w:rPr>
        <w:t>state</w:t>
      </w:r>
      <w:r>
        <w:rPr>
          <w:rFonts w:ascii="Georgia" w:eastAsia="Times New Roman" w:hAnsi="Georgia" w:cs="Calibri"/>
          <w:color w:val="333333"/>
          <w:sz w:val="20"/>
          <w:szCs w:val="20"/>
          <w:lang w:val="en"/>
        </w:rPr>
        <w:t> officials can be sued in federal court for money damages whenever “under color of any state law” they deprive anyone of his rights under the Constitution or federal law. In </w:t>
      </w:r>
      <w:r>
        <w:rPr>
          <w:rFonts w:ascii="Georgia" w:eastAsia="Times New Roman" w:hAnsi="Georgia" w:cs="Calibri"/>
          <w:i/>
          <w:iCs/>
          <w:color w:val="333333"/>
          <w:sz w:val="20"/>
          <w:szCs w:val="20"/>
          <w:lang w:val="en"/>
        </w:rPr>
        <w:t>Bivens v. Six Unknown Federal Narcotics Agents</w:t>
      </w:r>
      <w:r>
        <w:rPr>
          <w:rFonts w:ascii="Georgia" w:eastAsia="Times New Roman" w:hAnsi="Georgia" w:cs="Calibri"/>
          <w:color w:val="333333"/>
          <w:sz w:val="20"/>
          <w:szCs w:val="20"/>
          <w:lang w:val="en"/>
        </w:rPr>
        <w:t>, the Supreme Court held that </w:t>
      </w:r>
      <w:r>
        <w:rPr>
          <w:rFonts w:ascii="Georgia" w:eastAsia="Times New Roman" w:hAnsi="Georgia" w:cs="Calibri"/>
          <w:i/>
          <w:iCs/>
          <w:color w:val="333333"/>
          <w:sz w:val="20"/>
          <w:szCs w:val="20"/>
          <w:lang w:val="en"/>
        </w:rPr>
        <w:t>federal</w:t>
      </w:r>
      <w:r>
        <w:rPr>
          <w:rFonts w:ascii="Georgia" w:eastAsia="Times New Roman" w:hAnsi="Georgia" w:cs="Calibri"/>
          <w:color w:val="333333"/>
          <w:sz w:val="20"/>
          <w:szCs w:val="20"/>
          <w:lang w:val="en"/>
        </w:rPr>
        <w:t> agents may be sued for violating the plaintiff’s Fourth Amendment rights against an unlawful search of his home.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Subsequent cases have followed this logic to permit suits for violations of other constitutional provisions. This area of the law is in a state of flux, and it is likely to continue to evolve.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Unfortunately for Charles, he will lose his case. In </w:t>
      </w:r>
      <w:r>
        <w:rPr>
          <w:rFonts w:ascii="Georgia" w:eastAsia="Times New Roman" w:hAnsi="Georgia" w:cs="Calibri"/>
          <w:i/>
          <w:iCs/>
          <w:color w:val="333333"/>
          <w:sz w:val="20"/>
          <w:szCs w:val="20"/>
          <w:lang w:val="en"/>
        </w:rPr>
        <w:t>Office of Personnel Management v. Richmond</w:t>
      </w:r>
      <w:r>
        <w:rPr>
          <w:rFonts w:ascii="Georgia" w:eastAsia="Times New Roman" w:hAnsi="Georgia" w:cs="Calibri"/>
          <w:color w:val="333333"/>
          <w:sz w:val="20"/>
          <w:szCs w:val="20"/>
          <w:lang w:val="en"/>
        </w:rPr>
        <w:t>, the Supreme Court reasoned that it would be unconstitutional to permit recovery.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23"/>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US courts require that someone seeking judicial review of an agency order first exhaust administrative remedies?</w:t>
      </w:r>
    </w:p>
    <w:p w:rsidR="00A86150" w:rsidRDefault="00F714D4">
      <w:pPr>
        <w:numPr>
          <w:ilvl w:val="0"/>
          <w:numId w:val="123"/>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the Internet, find a case where someone has successfully sued the US government under the Federal Tort Claims Act. What kind of case was it? Did the government argue sovereign immunity? Does sovereign immunity even make sense to you?</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Motor Vehicle Manufacturers’ Assn. v. State Farm Mutual Ins.</w:t>
      </w:r>
      <w:r>
        <w:rPr>
          <w:rFonts w:ascii="Calibri" w:eastAsia="Times New Roman" w:hAnsi="Calibri" w:cs="Calibri"/>
          <w:color w:val="333333"/>
          <w:sz w:val="20"/>
          <w:szCs w:val="20"/>
        </w:rPr>
        <w:t>, 463 US 29 (1983).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Dalehite v. United States</w:t>
      </w:r>
      <w:r>
        <w:rPr>
          <w:rFonts w:ascii="Calibri" w:eastAsia="Times New Roman" w:hAnsi="Calibri" w:cs="Calibri"/>
          <w:color w:val="333333"/>
          <w:sz w:val="20"/>
          <w:szCs w:val="20"/>
        </w:rPr>
        <w:t>, 346 US 15 (1953).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Bivens v. Six Unknown Federal Narcotics Agents</w:t>
      </w:r>
      <w:r>
        <w:rPr>
          <w:rFonts w:ascii="Calibri" w:eastAsia="Times New Roman" w:hAnsi="Calibri" w:cs="Calibri"/>
          <w:color w:val="333333"/>
          <w:sz w:val="20"/>
          <w:szCs w:val="20"/>
        </w:rPr>
        <w:t>, 403 US 388 (1971).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Office of Personnel Management v. Richmond</w:t>
      </w:r>
      <w:r>
        <w:rPr>
          <w:rFonts w:ascii="Calibri" w:eastAsia="Times New Roman" w:hAnsi="Calibri" w:cs="Calibri"/>
          <w:color w:val="333333"/>
          <w:sz w:val="20"/>
          <w:szCs w:val="20"/>
        </w:rPr>
        <w:t>, 110 S. Ct. 2465 (1990).</w:t>
      </w:r>
    </w:p>
    <w:p w:rsidR="00A86150" w:rsidRDefault="00F714D4">
      <w:pPr>
        <w:rPr>
          <w:rFonts w:ascii="Georgia" w:eastAsia="Times New Roman" w:hAnsi="Georgia" w:cs="Times New Roman"/>
          <w:color w:val="333333"/>
          <w:sz w:val="21"/>
          <w:szCs w:val="21"/>
        </w:rPr>
      </w:pPr>
      <w:r>
        <w:rPr>
          <w:rFonts w:ascii="Georgia" w:eastAsia="Times New Roman" w:hAnsi="Georgia" w:cs="Times New Roman"/>
          <w:color w:val="333333"/>
          <w:sz w:val="21"/>
          <w:szCs w:val="21"/>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5.6 Cases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Marshall v. Barlow’s, Inc</w:t>
      </w:r>
      <w:r>
        <w:rPr>
          <w:rFonts w:ascii="Calibri" w:eastAsia="Times New Roman" w:hAnsi="Calibri" w:cs="Calibri"/>
          <w:b/>
          <w:bCs/>
          <w:color w:val="333333"/>
          <w:sz w:val="28"/>
          <w:szCs w:val="28"/>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Marshall v. Barlow’s, Inc.</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436 U.S. 307 (U.S. Supreme Court 1978)</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WHITE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inspector had none. Thereupon, Mr. Barlow refused the inspector admission to the employee area of his business. He said he was relying on his rights as guaranteed by the Fourth Amendment of the United States Constitution.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private homes. To hold otherwise would belie the origin of that Amendment, and the American colonial experience.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has already held that warrantless searches are generally unreasonable, and that this rule applies to commercial premises as well as homes. In </w:t>
      </w:r>
      <w:r>
        <w:rPr>
          <w:rFonts w:ascii="Georgia" w:eastAsia="Times New Roman" w:hAnsi="Georgia" w:cs="Calibri"/>
          <w:i/>
          <w:iCs/>
          <w:color w:val="333333"/>
          <w:sz w:val="20"/>
          <w:szCs w:val="20"/>
          <w:lang w:val="en"/>
        </w:rPr>
        <w:t>Camara v. Municipal Court</w:t>
      </w:r>
      <w:r>
        <w:rPr>
          <w:rFonts w:ascii="Georgia" w:eastAsia="Times New Roman" w:hAnsi="Georgia" w:cs="Calibri"/>
          <w:color w:val="333333"/>
          <w:sz w:val="20"/>
          <w:szCs w:val="20"/>
          <w:lang w:val="en"/>
        </w:rPr>
        <w:t>, we held: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 in certain carefully defined classes of cases, a search of private property without proper consent is ‘unreasonable’ unless it has been authorized by a valid search warrant.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same day, we also ruled: As we explained in </w:t>
      </w:r>
      <w:r>
        <w:rPr>
          <w:rFonts w:ascii="Georgia" w:eastAsia="Times New Roman" w:hAnsi="Georgia" w:cs="Calibri"/>
          <w:i/>
          <w:iCs/>
          <w:color w:val="333333"/>
          <w:sz w:val="20"/>
          <w:szCs w:val="20"/>
          <w:lang w:val="en"/>
        </w:rPr>
        <w:t>Camara</w:t>
      </w:r>
      <w:r>
        <w:rPr>
          <w:rFonts w:ascii="Georgia" w:eastAsia="Times New Roman" w:hAnsi="Georgia" w:cs="Calibri"/>
          <w:color w:val="333333"/>
          <w:sz w:val="20"/>
          <w:szCs w:val="20"/>
          <w:lang w:val="en"/>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exception from the search warrant requirement has been recognized for “pervasively regulated business[es],” </w:t>
      </w:r>
      <w:r>
        <w:rPr>
          <w:rFonts w:ascii="Georgia" w:eastAsia="Times New Roman" w:hAnsi="Georgia" w:cs="Calibri"/>
          <w:i/>
          <w:iCs/>
          <w:color w:val="333333"/>
          <w:sz w:val="20"/>
          <w:szCs w:val="20"/>
          <w:lang w:val="en"/>
        </w:rPr>
        <w:t>United States v. Biswell</w:t>
      </w:r>
      <w:r>
        <w:rPr>
          <w:rFonts w:ascii="Georgia" w:eastAsia="Times New Roman" w:hAnsi="Georgia" w:cs="Calibri"/>
          <w:color w:val="333333"/>
          <w:sz w:val="20"/>
          <w:szCs w:val="20"/>
          <w:lang w:val="en"/>
        </w:rPr>
        <w:t>, 406 U.S. 311, 316 (1972), and for “closely regulated” industries “long subject to close supervision and inspection,” </w:t>
      </w:r>
      <w:r>
        <w:rPr>
          <w:rFonts w:ascii="Georgia" w:eastAsia="Times New Roman" w:hAnsi="Georgia" w:cs="Calibri"/>
          <w:i/>
          <w:iCs/>
          <w:color w:val="333333"/>
          <w:sz w:val="20"/>
          <w:szCs w:val="20"/>
          <w:lang w:val="en"/>
        </w:rPr>
        <w:t>Colonnade Catering Corp. v. United States</w:t>
      </w:r>
      <w:r>
        <w:rPr>
          <w:rFonts w:ascii="Georgia" w:eastAsia="Times New Roman" w:hAnsi="Georgia" w:cs="Calibri"/>
          <w:color w:val="333333"/>
          <w:sz w:val="20"/>
          <w:szCs w:val="20"/>
          <w:lang w:val="en"/>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Pr>
          <w:rFonts w:ascii="Georgia" w:eastAsia="Times New Roman" w:hAnsi="Georgia" w:cs="Calibri"/>
          <w:i/>
          <w:iCs/>
          <w:color w:val="333333"/>
          <w:sz w:val="20"/>
          <w:szCs w:val="20"/>
          <w:lang w:val="en"/>
        </w:rPr>
        <w:t>Colonnade</w:t>
      </w:r>
      <w:r>
        <w:rPr>
          <w:rFonts w:ascii="Georgia" w:eastAsia="Times New Roman" w:hAnsi="Georgia" w:cs="Calibri"/>
          <w:color w:val="333333"/>
          <w:sz w:val="20"/>
          <w:szCs w:val="20"/>
          <w:lang w:val="en"/>
        </w:rPr>
        <w:t>) and firearms (</w:t>
      </w:r>
      <w:r>
        <w:rPr>
          <w:rFonts w:ascii="Georgia" w:eastAsia="Times New Roman" w:hAnsi="Georgia" w:cs="Calibri"/>
          <w:i/>
          <w:iCs/>
          <w:color w:val="333333"/>
          <w:sz w:val="20"/>
          <w:szCs w:val="20"/>
          <w:lang w:val="en"/>
        </w:rPr>
        <w:t>Biswell</w:t>
      </w:r>
      <w:r>
        <w:rPr>
          <w:rFonts w:ascii="Georgia" w:eastAsia="Times New Roman" w:hAnsi="Georgia" w:cs="Calibri"/>
          <w:color w:val="333333"/>
          <w:sz w:val="20"/>
          <w:szCs w:val="20"/>
          <w:lang w:val="en"/>
        </w:rPr>
        <w:t>) are industries of this type when an entrepreneur embarks upon such a business, he has voluntarily chosen to subject himself to a full arsenal of governmental regulation.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clear import of our cases is that the closely regulated industry of the type involved in </w:t>
      </w:r>
      <w:r>
        <w:rPr>
          <w:rFonts w:ascii="Georgia" w:eastAsia="Times New Roman" w:hAnsi="Georgia" w:cs="Calibri"/>
          <w:i/>
          <w:iCs/>
          <w:color w:val="333333"/>
          <w:sz w:val="20"/>
          <w:szCs w:val="20"/>
          <w:lang w:val="en"/>
        </w:rPr>
        <w:t>Colonnade</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Biswell</w:t>
      </w:r>
      <w:r>
        <w:rPr>
          <w:rFonts w:ascii="Georgia" w:eastAsia="Times New Roman" w:hAnsi="Georgia" w:cs="Calibri"/>
          <w:color w:val="333333"/>
          <w:sz w:val="20"/>
          <w:szCs w:val="20"/>
          <w:lang w:val="en"/>
        </w:rPr>
        <w:t> is the exception. The Secretary would make it the rule. Invoking the Walsh-Healey Act of 1936, 41 U.S.C. § 35 et </w:t>
      </w:r>
      <w:r>
        <w:rPr>
          <w:rFonts w:ascii="Georgia" w:eastAsia="Times New Roman" w:hAnsi="Georgia" w:cs="Calibri"/>
          <w:i/>
          <w:iCs/>
          <w:color w:val="333333"/>
          <w:sz w:val="20"/>
          <w:szCs w:val="20"/>
          <w:lang w:val="en"/>
        </w:rPr>
        <w:t>seq.</w:t>
      </w:r>
      <w:r>
        <w:rPr>
          <w:rFonts w:ascii="Georgia" w:eastAsia="Times New Roman" w:hAnsi="Georgia" w:cs="Calibri"/>
          <w:color w:val="333333"/>
          <w:sz w:val="20"/>
          <w:szCs w:val="20"/>
          <w:lang w:val="en"/>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judgment is affirmed.]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2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 as briefly and clearly as possible, the argument that Barlow’s is making in this case.</w:t>
      </w:r>
    </w:p>
    <w:p w:rsidR="00A86150" w:rsidRDefault="00F714D4">
      <w:pPr>
        <w:numPr>
          <w:ilvl w:val="0"/>
          <w:numId w:val="12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some industries or businesses be “closely regulated”? What are some of those businesses?</w:t>
      </w:r>
    </w:p>
    <w:p w:rsidR="00A86150" w:rsidRDefault="00F714D4">
      <w:pPr>
        <w:numPr>
          <w:ilvl w:val="0"/>
          <w:numId w:val="12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Fourth Amendment speaks of “people” being secure in their “persons, houses, papers, and effects.” Why would the Fourth Amendment apply to a business, which is not in a “house”?</w:t>
      </w:r>
    </w:p>
    <w:p w:rsidR="00A86150" w:rsidRDefault="00F714D4">
      <w:pPr>
        <w:numPr>
          <w:ilvl w:val="0"/>
          <w:numId w:val="124"/>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Fourth Amendment does not distinguish between closely regulated industries and those that are not, why does the court do so?</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American Textile Manufacturers Institute v. Donovan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American Textile Manufacturers Institute v. Donovan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452 U.S. 490 (1981)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BRENNAN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OSHA enact the most protective standard possible to eliminate a significant risk of material health impairment, subject to the constraints of economic and technological feasibility.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held that the Act did not require OSHA to compare costs and benefits.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449 U.S. 817 (1980), to resolve this important question, which was presented but not decided in last Term’s </w:t>
      </w:r>
      <w:r>
        <w:rPr>
          <w:rFonts w:ascii="Georgia" w:eastAsia="Times New Roman" w:hAnsi="Georgia" w:cs="Calibri"/>
          <w:i/>
          <w:iCs/>
          <w:color w:val="333333"/>
          <w:sz w:val="20"/>
          <w:szCs w:val="20"/>
          <w:lang w:val="en"/>
        </w:rPr>
        <w:t>Industrial Union Dept. v. American Petroleum Institute</w:t>
      </w:r>
      <w:r>
        <w:rPr>
          <w:rFonts w:ascii="Georgia" w:eastAsia="Times New Roman" w:hAnsi="Georgia" w:cs="Calibri"/>
          <w:color w:val="333333"/>
          <w:sz w:val="20"/>
          <w:szCs w:val="20"/>
          <w:lang w:val="en"/>
        </w:rPr>
        <w:t>, 448 U.S. 607 (1980), and to decide other issues related to the Cotton Dust Standard.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limit for total cotton dust. 34 Fed. Reg. 7953 (1969). Following passage of the Act in 1970, the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of lint-free respirable dust. Several months later, OSHA published an Advance Notice of Proposed Rulemaking, 39 Fed.Reg.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December 28, 1976, OSHA published a proposal to replace the existing federal standard on cotton dust with a new permanent standard, pursuant to § 6(b)(5) of the Act, 29 U.S.C. § 655(b)(5). 41 Fed.Reg. 56498. The proposed standard contained a PEL of 200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of vertical elutriated lint-free respirable cotton dust for all segments of the cotton industry.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 It also suggested an implementation strategy for achieving the PEL that relied on respirators for the short term and engineering controls for the long-term. OSHA invited interested parties to submit written comments within a 90-day period.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starting point of our analysis is the language of the statute itself. Section 6(b)(5) of the Act, 29 U.S.C. § 655(b)(5) (emphasis added), provides: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Secretary, in promulgating standards dealing with toxic materials or harmful physical agents under this subsection, shall set the standard which most adequately assures, </w:t>
      </w:r>
      <w:r>
        <w:rPr>
          <w:rFonts w:ascii="Georgia" w:eastAsia="Times New Roman" w:hAnsi="Georgia" w:cs="Calibri"/>
          <w:b/>
          <w:bCs/>
          <w:color w:val="333333"/>
          <w:sz w:val="20"/>
          <w:szCs w:val="20"/>
          <w:lang w:val="en"/>
        </w:rPr>
        <w:t>to the extent feasible</w:t>
      </w:r>
      <w:r>
        <w:rPr>
          <w:rFonts w:ascii="Georgia" w:eastAsia="Times New Roman" w:hAnsi="Georgia" w:cs="Calibri"/>
          <w:color w:val="333333"/>
          <w:sz w:val="20"/>
          <w:szCs w:val="20"/>
          <w:lang w:val="en"/>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Congress has intended that an agency engage in cost-benefit analysis, it has clearly indicated such intent on the face of the statute. One early example is the Flood Control Act of 1936, 33 U.S.C. § 701:</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Government should improve or participate in the improvement of navigable waters or their tributaries, including watersheds thereof, for flood control purposes if the </w:t>
      </w:r>
      <w:r>
        <w:rPr>
          <w:rFonts w:ascii="Georgia" w:eastAsia="Times New Roman" w:hAnsi="Georgia" w:cs="Calibri"/>
          <w:b/>
          <w:bCs/>
          <w:color w:val="333333"/>
          <w:sz w:val="20"/>
          <w:szCs w:val="20"/>
          <w:lang w:val="en"/>
        </w:rPr>
        <w:t>benefits to whomsoever they may accrue are in excess of the estimated costs</w:t>
      </w:r>
      <w:r>
        <w:rPr>
          <w:rFonts w:ascii="Georgia" w:eastAsia="Times New Roman" w:hAnsi="Georgia" w:cs="Calibri"/>
          <w:color w:val="333333"/>
          <w:sz w:val="20"/>
          <w:szCs w:val="20"/>
          <w:lang w:val="en"/>
        </w:rPr>
        <w:t>, and if the lives and social security of people are otherwise adversely affected. (emphasis added)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more recent example is the Outer Continental Shelf Lands Act Amendments of 1978, providing that offshore drilling operations shall use the best available and safest technologies which the Secretary determines to be economically </w:t>
      </w:r>
      <w:r>
        <w:rPr>
          <w:rFonts w:ascii="Georgia" w:eastAsia="Times New Roman" w:hAnsi="Georgia" w:cs="Calibri"/>
          <w:i/>
          <w:iCs/>
          <w:color w:val="333333"/>
          <w:sz w:val="20"/>
          <w:szCs w:val="20"/>
          <w:lang w:val="en"/>
        </w:rPr>
        <w:t>feasible</w:t>
      </w:r>
      <w:r>
        <w:rPr>
          <w:rFonts w:ascii="Georgia" w:eastAsia="Times New Roman" w:hAnsi="Georgia" w:cs="Calibri"/>
          <w:color w:val="333333"/>
          <w:sz w:val="20"/>
          <w:szCs w:val="20"/>
          <w:lang w:val="en"/>
        </w:rPr>
        <w:t>, wherever failure of equipment would have a significant effect on safety, health, or the environment, except where the Secretary determines that the</w:t>
      </w:r>
      <w:r>
        <w:rPr>
          <w:rFonts w:ascii="Georgia" w:eastAsia="Times New Roman" w:hAnsi="Georgia" w:cs="Calibri"/>
          <w:i/>
          <w:iCs/>
          <w:color w:val="333333"/>
          <w:sz w:val="20"/>
          <w:szCs w:val="20"/>
          <w:lang w:val="en"/>
        </w:rPr>
        <w:t>incremental benefits are clearly insufficient to justify the incremental costs of using such technologies</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A86150" w:rsidRDefault="00A86150">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2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A86150" w:rsidRDefault="00F714D4">
      <w:pPr>
        <w:numPr>
          <w:ilvl w:val="0"/>
          <w:numId w:val="125"/>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imposing costs on the textile industry, what will be the net effect on US textile manufacturing jobs?</w:t>
      </w:r>
    </w:p>
    <w:p w:rsidR="00A86150" w:rsidRDefault="00F714D4">
      <w:pPr>
        <w:numPr>
          <w:ilvl w:val="0"/>
          <w:numId w:val="125"/>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byssinosis a “negative externality” that is not paid for by either the manufacturer or the consumer of textile products? How should the market, to be fair and efficient, adjust for these negative externalities </w:t>
      </w:r>
      <w:r>
        <w:rPr>
          <w:rFonts w:ascii="Calibri" w:eastAsia="Times New Roman" w:hAnsi="Calibri" w:cs="Calibri"/>
          <w:i/>
          <w:iCs/>
          <w:color w:val="333333"/>
          <w:sz w:val="20"/>
          <w:szCs w:val="20"/>
          <w:lang w:val="en"/>
        </w:rPr>
        <w:t>other</w:t>
      </w:r>
      <w:r>
        <w:rPr>
          <w:rFonts w:ascii="Calibri" w:eastAsia="Times New Roman" w:hAnsi="Calibri" w:cs="Calibri"/>
          <w:color w:val="333333"/>
          <w:sz w:val="20"/>
          <w:szCs w:val="20"/>
          <w:lang w:val="en"/>
        </w:rPr>
        <w:t> than by setting a reasonable standard that shares the burden between manufacturers and their employees? Should </w:t>
      </w:r>
      <w:r>
        <w:rPr>
          <w:rFonts w:ascii="Calibri" w:eastAsia="Times New Roman" w:hAnsi="Calibri" w:cs="Calibri"/>
          <w:i/>
          <w:iCs/>
          <w:color w:val="333333"/>
          <w:sz w:val="20"/>
          <w:szCs w:val="20"/>
          <w:lang w:val="en"/>
        </w:rPr>
        <w:t>all</w:t>
      </w:r>
      <w:r>
        <w:rPr>
          <w:rFonts w:ascii="Calibri" w:eastAsia="Times New Roman" w:hAnsi="Calibri" w:cs="Calibri"/>
          <w:color w:val="333333"/>
          <w:sz w:val="20"/>
          <w:szCs w:val="20"/>
          <w:lang w:val="en"/>
        </w:rPr>
        <w:t> the burden be on the manufacturer?</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5.7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agencies have a variety of powers. They can license companies to carry on certain activities or prohibit them from doing so, lay down codes of conduct, set rates that companies may charge for their services, and supervise various aspects of business.</w:t>
      </w:r>
    </w:p>
    <w:p w:rsidR="00A86150" w:rsidRDefault="00A86150">
      <w:pPr>
        <w:spacing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26"/>
        </w:numPr>
        <w:shd w:val="clear" w:color="auto" w:fill="E3EFF7"/>
        <w:tabs>
          <w:tab w:val="clear" w:pos="72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A86150" w:rsidRDefault="00F714D4">
      <w:pPr>
        <w:numPr>
          <w:ilvl w:val="0"/>
          <w:numId w:val="126"/>
        </w:numPr>
        <w:shd w:val="clear" w:color="auto" w:fill="E3EFF7"/>
        <w:tabs>
          <w:tab w:val="clear" w:pos="72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A86150" w:rsidRDefault="00F714D4">
      <w:pPr>
        <w:numPr>
          <w:ilvl w:val="0"/>
          <w:numId w:val="126"/>
        </w:numPr>
        <w:shd w:val="clear" w:color="auto" w:fill="E3EFF7"/>
        <w:tabs>
          <w:tab w:val="clear" w:pos="72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A86150" w:rsidRDefault="00F714D4">
      <w:pPr>
        <w:numPr>
          <w:ilvl w:val="0"/>
          <w:numId w:val="126"/>
        </w:numPr>
        <w:shd w:val="clear" w:color="auto" w:fill="E3EFF7"/>
        <w:tabs>
          <w:tab w:val="clear" w:pos="72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126"/>
        </w:numPr>
        <w:shd w:val="clear" w:color="auto" w:fill="E3EFF7"/>
        <w:tabs>
          <w:tab w:val="clear" w:pos="720"/>
          <w:tab w:val="num" w:pos="360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127"/>
        </w:numPr>
        <w:shd w:val="clear" w:color="auto" w:fill="E3EFF7"/>
        <w:tabs>
          <w:tab w:val="clear" w:pos="720"/>
          <w:tab w:val="num" w:pos="3600"/>
        </w:tabs>
        <w:spacing w:after="0" w:line="439" w:lineRule="atLeast"/>
        <w:ind w:left="60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Most federal administrative agencies are created by</w:t>
      </w:r>
    </w:p>
    <w:p w:rsidR="00A86150" w:rsidRDefault="00F714D4">
      <w:pPr>
        <w:numPr>
          <w:ilvl w:val="1"/>
          <w:numId w:val="128"/>
        </w:numPr>
        <w:shd w:val="clear" w:color="auto" w:fill="E3EFF7"/>
        <w:spacing w:after="0" w:line="439" w:lineRule="atLeast"/>
        <w:ind w:left="108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executive order by the president</w:t>
      </w:r>
    </w:p>
    <w:p w:rsidR="00A86150" w:rsidRDefault="00F714D4">
      <w:pPr>
        <w:numPr>
          <w:ilvl w:val="1"/>
          <w:numId w:val="128"/>
        </w:numPr>
        <w:shd w:val="clear" w:color="auto" w:fill="E3EFF7"/>
        <w:spacing w:after="0" w:line="439" w:lineRule="atLeast"/>
        <w:ind w:left="108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Supreme Court decision</w:t>
      </w:r>
    </w:p>
    <w:p w:rsidR="00A86150" w:rsidRDefault="00F714D4">
      <w:pPr>
        <w:numPr>
          <w:ilvl w:val="1"/>
          <w:numId w:val="128"/>
        </w:numPr>
        <w:shd w:val="clear" w:color="auto" w:fill="E3EFF7"/>
        <w:spacing w:after="0" w:line="439" w:lineRule="atLeast"/>
        <w:ind w:left="108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passage of enabling legislation by Congress, signed by the president</w:t>
      </w:r>
    </w:p>
    <w:p w:rsidR="00A86150" w:rsidRDefault="00F714D4">
      <w:pPr>
        <w:numPr>
          <w:ilvl w:val="1"/>
          <w:numId w:val="128"/>
        </w:numPr>
        <w:shd w:val="clear" w:color="auto" w:fill="E3EFF7"/>
        <w:spacing w:after="0" w:line="439" w:lineRule="atLeast"/>
        <w:ind w:left="1080" w:right="72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c</w:t>
      </w:r>
    </w:p>
    <w:p w:rsidR="00A86150" w:rsidRDefault="00F714D4">
      <w:pPr>
        <w:numPr>
          <w:ilvl w:val="0"/>
          <w:numId w:val="128"/>
        </w:numPr>
        <w:shd w:val="clear" w:color="auto" w:fill="E3EFF7"/>
        <w:tabs>
          <w:tab w:val="num" w:pos="3600"/>
        </w:tabs>
        <w:spacing w:before="150" w:after="0" w:line="439" w:lineRule="atLeast"/>
        <w:ind w:left="60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Trade Commission, like most administrative agencies of the federal government, is part of</w:t>
      </w:r>
    </w:p>
    <w:p w:rsidR="00A86150" w:rsidRDefault="00F714D4">
      <w:pPr>
        <w:numPr>
          <w:ilvl w:val="0"/>
          <w:numId w:val="129"/>
        </w:numPr>
        <w:shd w:val="clear" w:color="auto" w:fill="E3EFF7"/>
        <w:tabs>
          <w:tab w:val="clear" w:pos="720"/>
          <w:tab w:val="num" w:pos="387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executive branch of government</w:t>
      </w:r>
    </w:p>
    <w:p w:rsidR="00A86150" w:rsidRDefault="00F714D4">
      <w:pPr>
        <w:numPr>
          <w:ilvl w:val="0"/>
          <w:numId w:val="129"/>
        </w:numPr>
        <w:shd w:val="clear" w:color="auto" w:fill="E3EFF7"/>
        <w:tabs>
          <w:tab w:val="clear" w:pos="720"/>
          <w:tab w:val="num" w:pos="387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legislative branch of government</w:t>
      </w:r>
    </w:p>
    <w:p w:rsidR="00A86150" w:rsidRDefault="00F714D4">
      <w:pPr>
        <w:numPr>
          <w:ilvl w:val="0"/>
          <w:numId w:val="129"/>
        </w:numPr>
        <w:shd w:val="clear" w:color="auto" w:fill="E3EFF7"/>
        <w:tabs>
          <w:tab w:val="clear" w:pos="720"/>
          <w:tab w:val="num" w:pos="387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judicial branch of government</w:t>
      </w:r>
    </w:p>
    <w:p w:rsidR="00A86150" w:rsidRDefault="00F714D4">
      <w:pPr>
        <w:numPr>
          <w:ilvl w:val="0"/>
          <w:numId w:val="129"/>
        </w:numPr>
        <w:shd w:val="clear" w:color="auto" w:fill="E3EFF7"/>
        <w:tabs>
          <w:tab w:val="clear" w:pos="720"/>
          <w:tab w:val="num" w:pos="387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administrative branch of government</w:t>
      </w:r>
    </w:p>
    <w:p w:rsidR="00A86150" w:rsidRDefault="00F714D4">
      <w:pPr>
        <w:numPr>
          <w:ilvl w:val="0"/>
          <w:numId w:val="130"/>
        </w:numPr>
        <w:shd w:val="clear" w:color="auto" w:fill="E3EFF7"/>
        <w:tabs>
          <w:tab w:val="num" w:pos="3600"/>
        </w:tabs>
        <w:spacing w:before="150" w:after="0" w:line="439" w:lineRule="atLeast"/>
        <w:ind w:left="60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Clean Water Act, Congress sets broad guidelines, but it is the Environmental Protection Agency that proposes rules to regulate industrial discharges. Where do proposed rules originally appear?</w:t>
      </w:r>
    </w:p>
    <w:p w:rsidR="00A86150" w:rsidRDefault="00F714D4">
      <w:pPr>
        <w:numPr>
          <w:ilvl w:val="0"/>
          <w:numId w:val="131"/>
        </w:numPr>
        <w:shd w:val="clear" w:color="auto" w:fill="E3EFF7"/>
        <w:tabs>
          <w:tab w:val="clear" w:pos="720"/>
          <w:tab w:val="num" w:pos="369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Congressional record</w:t>
      </w:r>
    </w:p>
    <w:p w:rsidR="00A86150" w:rsidRDefault="00F714D4">
      <w:pPr>
        <w:numPr>
          <w:ilvl w:val="0"/>
          <w:numId w:val="131"/>
        </w:numPr>
        <w:shd w:val="clear" w:color="auto" w:fill="E3EFF7"/>
        <w:tabs>
          <w:tab w:val="clear" w:pos="720"/>
          <w:tab w:val="num" w:pos="369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Federal Register</w:t>
      </w:r>
    </w:p>
    <w:p w:rsidR="00A86150" w:rsidRDefault="00F714D4">
      <w:pPr>
        <w:numPr>
          <w:ilvl w:val="0"/>
          <w:numId w:val="131"/>
        </w:numPr>
        <w:shd w:val="clear" w:color="auto" w:fill="E3EFF7"/>
        <w:tabs>
          <w:tab w:val="clear" w:pos="720"/>
          <w:tab w:val="num" w:pos="369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Code of Federal Regulations</w:t>
      </w:r>
    </w:p>
    <w:p w:rsidR="00A86150" w:rsidRDefault="00F714D4">
      <w:pPr>
        <w:numPr>
          <w:ilvl w:val="0"/>
          <w:numId w:val="131"/>
        </w:numPr>
        <w:shd w:val="clear" w:color="auto" w:fill="E3EFF7"/>
        <w:tabs>
          <w:tab w:val="clear" w:pos="720"/>
          <w:tab w:val="num" w:pos="369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United States code service</w:t>
      </w:r>
    </w:p>
    <w:p w:rsidR="00A86150" w:rsidRDefault="00F714D4">
      <w:pPr>
        <w:numPr>
          <w:ilvl w:val="0"/>
          <w:numId w:val="132"/>
        </w:numPr>
        <w:shd w:val="clear" w:color="auto" w:fill="E3EFF7"/>
        <w:tabs>
          <w:tab w:val="num" w:pos="3600"/>
        </w:tabs>
        <w:spacing w:before="150" w:after="0" w:line="439" w:lineRule="atLeast"/>
        <w:ind w:left="60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legal basis for all administrative law, including regulations of the Federal Trade Commission, is found in</w:t>
      </w:r>
    </w:p>
    <w:p w:rsidR="00A86150" w:rsidRDefault="00F714D4">
      <w:pPr>
        <w:numPr>
          <w:ilvl w:val="0"/>
          <w:numId w:val="133"/>
        </w:numPr>
        <w:shd w:val="clear" w:color="auto" w:fill="E3EFF7"/>
        <w:tabs>
          <w:tab w:val="clear" w:pos="720"/>
          <w:tab w:val="num" w:pos="414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Administrative Procedure Act</w:t>
      </w:r>
    </w:p>
    <w:p w:rsidR="00A86150" w:rsidRDefault="00F714D4">
      <w:pPr>
        <w:numPr>
          <w:ilvl w:val="0"/>
          <w:numId w:val="133"/>
        </w:numPr>
        <w:shd w:val="clear" w:color="auto" w:fill="E3EFF7"/>
        <w:tabs>
          <w:tab w:val="clear" w:pos="720"/>
          <w:tab w:val="num" w:pos="414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US Constitution</w:t>
      </w:r>
    </w:p>
    <w:p w:rsidR="00A86150" w:rsidRDefault="00F714D4">
      <w:pPr>
        <w:numPr>
          <w:ilvl w:val="0"/>
          <w:numId w:val="133"/>
        </w:numPr>
        <w:shd w:val="clear" w:color="auto" w:fill="E3EFF7"/>
        <w:tabs>
          <w:tab w:val="clear" w:pos="720"/>
          <w:tab w:val="num" w:pos="414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commerce clause</w:t>
      </w:r>
    </w:p>
    <w:p w:rsidR="00A86150" w:rsidRDefault="00F714D4">
      <w:pPr>
        <w:numPr>
          <w:ilvl w:val="0"/>
          <w:numId w:val="133"/>
        </w:numPr>
        <w:shd w:val="clear" w:color="auto" w:fill="E3EFF7"/>
        <w:tabs>
          <w:tab w:val="clear" w:pos="720"/>
          <w:tab w:val="num" w:pos="414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134"/>
        </w:numPr>
        <w:shd w:val="clear" w:color="auto" w:fill="E3EFF7"/>
        <w:tabs>
          <w:tab w:val="num" w:pos="3600"/>
        </w:tabs>
        <w:spacing w:before="150" w:after="0" w:line="439" w:lineRule="atLeast"/>
        <w:ind w:left="60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Trade Commission, like other administrative agencies, has the power to</w:t>
      </w:r>
    </w:p>
    <w:p w:rsidR="00A86150" w:rsidRDefault="00F714D4">
      <w:pPr>
        <w:numPr>
          <w:ilvl w:val="0"/>
          <w:numId w:val="135"/>
        </w:numPr>
        <w:shd w:val="clear" w:color="auto" w:fill="E3EFF7"/>
        <w:tabs>
          <w:tab w:val="clear" w:pos="720"/>
          <w:tab w:val="num" w:pos="378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issue proposed rules</w:t>
      </w:r>
    </w:p>
    <w:p w:rsidR="00A86150" w:rsidRDefault="00F714D4">
      <w:pPr>
        <w:numPr>
          <w:ilvl w:val="0"/>
          <w:numId w:val="135"/>
        </w:numPr>
        <w:shd w:val="clear" w:color="auto" w:fill="E3EFF7"/>
        <w:tabs>
          <w:tab w:val="clear" w:pos="720"/>
          <w:tab w:val="num" w:pos="378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undertake investigations of firms that may have violated FTC regulations</w:t>
      </w:r>
    </w:p>
    <w:p w:rsidR="00A86150" w:rsidRDefault="00F714D4">
      <w:pPr>
        <w:numPr>
          <w:ilvl w:val="0"/>
          <w:numId w:val="135"/>
        </w:numPr>
        <w:shd w:val="clear" w:color="auto" w:fill="E3EFF7"/>
        <w:tabs>
          <w:tab w:val="clear" w:pos="720"/>
          <w:tab w:val="num" w:pos="378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prosecute firms that have violated FTC regulations</w:t>
      </w:r>
    </w:p>
    <w:p w:rsidR="00A86150" w:rsidRDefault="00F714D4">
      <w:pPr>
        <w:numPr>
          <w:ilvl w:val="0"/>
          <w:numId w:val="135"/>
        </w:numPr>
        <w:shd w:val="clear" w:color="auto" w:fill="E3EFF7"/>
        <w:tabs>
          <w:tab w:val="clear" w:pos="720"/>
          <w:tab w:val="num" w:pos="378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135"/>
        </w:numPr>
        <w:shd w:val="clear" w:color="auto" w:fill="E3EFF7"/>
        <w:tabs>
          <w:tab w:val="clear" w:pos="720"/>
          <w:tab w:val="num" w:pos="3780"/>
        </w:tabs>
        <w:spacing w:after="0" w:line="366"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136"/>
        </w:numPr>
        <w:shd w:val="clear" w:color="auto" w:fill="E3EFF7"/>
        <w:tabs>
          <w:tab w:val="clear" w:pos="720"/>
          <w:tab w:val="left" w:pos="45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136"/>
        </w:numPr>
        <w:shd w:val="clear" w:color="auto" w:fill="E3EFF7"/>
        <w:tabs>
          <w:tab w:val="clear" w:pos="720"/>
          <w:tab w:val="left" w:pos="45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136"/>
        </w:numPr>
        <w:shd w:val="clear" w:color="auto" w:fill="E3EFF7"/>
        <w:tabs>
          <w:tab w:val="clear" w:pos="720"/>
          <w:tab w:val="left" w:pos="45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136"/>
        </w:numPr>
        <w:shd w:val="clear" w:color="auto" w:fill="E3EFF7"/>
        <w:tabs>
          <w:tab w:val="clear" w:pos="720"/>
          <w:tab w:val="left" w:pos="450"/>
          <w:tab w:val="num" w:pos="360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136"/>
        </w:numPr>
        <w:shd w:val="clear" w:color="auto" w:fill="E3EFF7"/>
        <w:tabs>
          <w:tab w:val="clear" w:pos="720"/>
          <w:tab w:val="left" w:pos="450"/>
          <w:tab w:val="num" w:pos="3600"/>
        </w:tabs>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Donovan v. Dewey</w:t>
      </w:r>
      <w:r>
        <w:rPr>
          <w:rFonts w:ascii="Calibri" w:eastAsia="Times New Roman" w:hAnsi="Calibri" w:cs="Calibri"/>
          <w:color w:val="333333"/>
          <w:sz w:val="20"/>
          <w:szCs w:val="20"/>
        </w:rPr>
        <w:t>, 452 US 594 (1981).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Baltimore Gas and Electric Co. v. Natural Resources Defense Council Inc.</w:t>
      </w:r>
      <w:r>
        <w:rPr>
          <w:rFonts w:ascii="Calibri" w:eastAsia="Times New Roman" w:hAnsi="Calibri" w:cs="Calibri"/>
          <w:color w:val="333333"/>
          <w:sz w:val="20"/>
          <w:szCs w:val="20"/>
        </w:rPr>
        <w:t>, 462 US 87 (1983).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6</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Criminal Law</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tabs>
          <w:tab w:val="left" w:pos="8910"/>
        </w:tabs>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tabs>
          <w:tab w:val="left" w:pos="8910"/>
        </w:tabs>
        <w:spacing w:after="0" w:line="439" w:lineRule="atLeast"/>
        <w:ind w:left="72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137"/>
        </w:numPr>
        <w:shd w:val="clear" w:color="auto" w:fill="EAE9DC"/>
        <w:tabs>
          <w:tab w:val="clear" w:pos="720"/>
          <w:tab w:val="num" w:pos="4320"/>
          <w:tab w:val="left" w:pos="89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criminal law differs from civil law.</w:t>
      </w:r>
    </w:p>
    <w:p w:rsidR="00A86150" w:rsidRDefault="00F714D4">
      <w:pPr>
        <w:numPr>
          <w:ilvl w:val="0"/>
          <w:numId w:val="137"/>
        </w:numPr>
        <w:shd w:val="clear" w:color="auto" w:fill="EAE9DC"/>
        <w:tabs>
          <w:tab w:val="clear" w:pos="720"/>
          <w:tab w:val="num" w:pos="3600"/>
          <w:tab w:val="left" w:pos="89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Categorize the various types of crimes and define the most serious felonies.</w:t>
      </w:r>
    </w:p>
    <w:p w:rsidR="00A86150" w:rsidRDefault="00F714D4">
      <w:pPr>
        <w:numPr>
          <w:ilvl w:val="0"/>
          <w:numId w:val="137"/>
        </w:numPr>
        <w:shd w:val="clear" w:color="auto" w:fill="EAE9DC"/>
        <w:tabs>
          <w:tab w:val="clear" w:pos="720"/>
          <w:tab w:val="num" w:pos="2880"/>
          <w:tab w:val="left" w:pos="8910"/>
        </w:tabs>
        <w:spacing w:after="0"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and question the criminal “intent” of a corporation.</w:t>
      </w:r>
    </w:p>
    <w:p w:rsidR="00A86150" w:rsidRDefault="00F714D4">
      <w:pPr>
        <w:numPr>
          <w:ilvl w:val="0"/>
          <w:numId w:val="137"/>
        </w:numPr>
        <w:shd w:val="clear" w:color="auto" w:fill="EAE9DC"/>
        <w:tabs>
          <w:tab w:val="clear" w:pos="720"/>
          <w:tab w:val="num" w:pos="2160"/>
          <w:tab w:val="left" w:pos="8910"/>
        </w:tabs>
        <w:spacing w:line="439" w:lineRule="atLeast"/>
        <w:ind w:left="108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basic criminal procedure and the rights of criminal defendants.</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6.1 The Nature of Criminal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tabs>
          <w:tab w:val="left" w:pos="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Crimes are usually defined by statute and constitute an offense against society. In each case, there must be both an act and some mens rea (criminal intent).</w:t>
      </w:r>
    </w:p>
    <w:p w:rsidR="00A86150" w:rsidRDefault="00A86150">
      <w:pPr>
        <w:tabs>
          <w:tab w:val="left" w:pos="0"/>
        </w:tabs>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38"/>
        </w:numPr>
        <w:shd w:val="clear" w:color="auto" w:fill="E3EFF7"/>
        <w:tabs>
          <w:tab w:val="clear" w:pos="720"/>
          <w:tab w:val="num" w:pos="252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Other than deterring certain kinds of conduct, what purpose does the criminal law serve?</w:t>
      </w:r>
    </w:p>
    <w:p w:rsidR="00A86150" w:rsidRDefault="00F714D4">
      <w:pPr>
        <w:numPr>
          <w:ilvl w:val="0"/>
          <w:numId w:val="138"/>
        </w:numPr>
        <w:shd w:val="clear" w:color="auto" w:fill="E3EFF7"/>
        <w:tabs>
          <w:tab w:val="clear" w:pos="720"/>
          <w:tab w:val="num" w:pos="216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ignorance of the law no excuse? Why shouldn’t it be an excuse, when criminal laws can be complicated and sometimes ambiguous?</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6.2 Types of Crimes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39"/>
        </w:numPr>
        <w:shd w:val="clear" w:color="auto" w:fill="EAE9DC"/>
        <w:tabs>
          <w:tab w:val="clear" w:pos="720"/>
          <w:tab w:val="num" w:pos="252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Categorize various types of crimes.</w:t>
      </w:r>
    </w:p>
    <w:p w:rsidR="00A86150" w:rsidRDefault="00F714D4">
      <w:pPr>
        <w:numPr>
          <w:ilvl w:val="0"/>
          <w:numId w:val="139"/>
        </w:numPr>
        <w:shd w:val="clear" w:color="auto" w:fill="EAE9DC"/>
        <w:tabs>
          <w:tab w:val="clear" w:pos="720"/>
          <w:tab w:val="num" w:pos="216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and define the major felonies in criminal law.</w:t>
      </w:r>
    </w:p>
    <w:p w:rsidR="00A86150" w:rsidRDefault="00F714D4">
      <w:pPr>
        <w:numPr>
          <w:ilvl w:val="0"/>
          <w:numId w:val="139"/>
        </w:numPr>
        <w:shd w:val="clear" w:color="auto" w:fill="EAE9DC"/>
        <w:tabs>
          <w:tab w:val="clear" w:pos="720"/>
          <w:tab w:val="num" w:pos="180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white-collar crime differs from other crimes.</w:t>
      </w:r>
    </w:p>
    <w:p w:rsidR="00A86150" w:rsidRDefault="00F714D4">
      <w:pPr>
        <w:numPr>
          <w:ilvl w:val="0"/>
          <w:numId w:val="139"/>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 variety of white-collar crimes.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classifications of crime turn on the seriousness of the act. In general, seriousness is defined by the nature or duration of the punishment set out in the statute. A </w:t>
      </w:r>
      <w:r>
        <w:rPr>
          <w:rFonts w:ascii="Georgia" w:eastAsia="Times New Roman" w:hAnsi="Georgia" w:cs="Calibri"/>
          <w:b/>
          <w:color w:val="333333"/>
          <w:sz w:val="20"/>
          <w:szCs w:val="20"/>
          <w:u w:val="single"/>
          <w:lang w:val="en"/>
        </w:rPr>
        <w:t>felony</w:t>
      </w:r>
      <w:r>
        <w:rPr>
          <w:rFonts w:ascii="Georgia" w:eastAsia="Times New Roman" w:hAnsi="Georgia" w:cs="Calibri"/>
          <w:color w:val="333333"/>
          <w:sz w:val="20"/>
          <w:szCs w:val="20"/>
          <w:lang w:val="en"/>
        </w:rPr>
        <w:t xml:space="preserve"> 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w:t>
      </w:r>
      <w:r>
        <w:rPr>
          <w:rFonts w:ascii="Georgia" w:eastAsia="Times New Roman" w:hAnsi="Georgia" w:cs="Calibri"/>
          <w:b/>
          <w:color w:val="333333"/>
          <w:sz w:val="20"/>
          <w:szCs w:val="20"/>
          <w:u w:val="single"/>
          <w:lang w:val="en"/>
        </w:rPr>
        <w:t>misdemeanors</w:t>
      </w:r>
      <w:r>
        <w:rPr>
          <w:rFonts w:ascii="Georgia" w:eastAsia="Times New Roman" w:hAnsi="Georgia" w:cs="Calibri"/>
          <w:color w:val="333333"/>
          <w:sz w:val="20"/>
          <w:szCs w:val="20"/>
          <w:lang w:val="en"/>
        </w:rPr>
        <w:t>, petty offenses, or infractions. Another way of viewing crimes is by the type of social harm the statute is intended to prevent or deter, such as offenses against the person, offenses against property, and white-collar crime.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Offenses against the Person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Homicide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Homicide</w:t>
      </w:r>
      <w:r>
        <w:rPr>
          <w:rFonts w:ascii="Georgia" w:eastAsia="Times New Roman" w:hAnsi="Georgia" w:cs="Calibri"/>
          <w:color w:val="333333"/>
          <w:sz w:val="20"/>
          <w:szCs w:val="20"/>
          <w:lang w:val="en"/>
        </w:rPr>
        <w:t> is the killing of one person by another. Not every killing is criminal. When the law permits one person to kill another—for example, a soldier killing an enemy on the battlefield during war, or a killing in self-defense—the death is considered the result of </w:t>
      </w:r>
      <w:r>
        <w:rPr>
          <w:rFonts w:ascii="Georgia" w:eastAsia="Times New Roman" w:hAnsi="Georgia" w:cs="Calibri"/>
          <w:b/>
          <w:color w:val="333333"/>
          <w:sz w:val="20"/>
          <w:szCs w:val="20"/>
          <w:u w:val="single"/>
          <w:lang w:val="en"/>
        </w:rPr>
        <w:t>justifiable homicide</w:t>
      </w:r>
      <w:r>
        <w:rPr>
          <w:rFonts w:ascii="Georgia" w:eastAsia="Times New Roman" w:hAnsi="Georgia" w:cs="Calibri"/>
          <w:color w:val="333333"/>
          <w:sz w:val="20"/>
          <w:szCs w:val="20"/>
          <w:lang w:val="en"/>
        </w:rPr>
        <w:t>. An </w:t>
      </w:r>
      <w:r>
        <w:rPr>
          <w:rFonts w:ascii="Georgia" w:eastAsia="Times New Roman" w:hAnsi="Georgia" w:cs="Calibri"/>
          <w:i/>
          <w:iCs/>
          <w:color w:val="333333"/>
          <w:sz w:val="20"/>
          <w:szCs w:val="20"/>
          <w:lang w:val="en"/>
        </w:rPr>
        <w:t>excusable homicide</w:t>
      </w:r>
      <w:r>
        <w:rPr>
          <w:rFonts w:ascii="Georgia" w:eastAsia="Times New Roman" w:hAnsi="Georgia" w:cs="Calibri"/>
          <w:color w:val="333333"/>
          <w:sz w:val="20"/>
          <w:szCs w:val="20"/>
          <w:lang w:val="en"/>
        </w:rPr>
        <w:t>, by contrast, is one in which death results from an accident in which the killer is not at fault.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Assault and Battery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we would say that a person who has struck another has “assaulted” him. Technically, that is a </w:t>
      </w:r>
      <w:r>
        <w:rPr>
          <w:rFonts w:ascii="Georgia" w:eastAsia="Times New Roman" w:hAnsi="Georgia" w:cs="Calibri"/>
          <w:b/>
          <w:color w:val="333333"/>
          <w:sz w:val="20"/>
          <w:szCs w:val="20"/>
          <w:u w:val="single"/>
          <w:lang w:val="en"/>
        </w:rPr>
        <w:t>battery</w:t>
      </w:r>
      <w:r>
        <w:rPr>
          <w:rFonts w:ascii="Georgia" w:eastAsia="Times New Roman" w:hAnsi="Georgia" w:cs="Calibri"/>
          <w:color w:val="333333"/>
          <w:sz w:val="20"/>
          <w:szCs w:val="20"/>
          <w:lang w:val="en"/>
        </w:rPr>
        <w:t>—the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a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w:t>
      </w:r>
      <w:r>
        <w:rPr>
          <w:rFonts w:ascii="Georgia" w:eastAsia="Times New Roman" w:hAnsi="Georgia" w:cs="Calibri"/>
          <w:b/>
          <w:color w:val="333333"/>
          <w:sz w:val="20"/>
          <w:szCs w:val="20"/>
          <w:u w:val="single"/>
          <w:lang w:val="en"/>
        </w:rPr>
        <w:t>assault</w:t>
      </w:r>
      <w:r>
        <w:rPr>
          <w:rFonts w:ascii="Georgia" w:eastAsia="Times New Roman" w:hAnsi="Georgia" w:cs="Calibri"/>
          <w:color w:val="333333"/>
          <w:sz w:val="20"/>
          <w:szCs w:val="20"/>
          <w:lang w:val="en"/>
        </w:rPr>
        <w:t> is an </w:t>
      </w:r>
      <w:r>
        <w:rPr>
          <w:rFonts w:ascii="Georgia" w:eastAsia="Times New Roman" w:hAnsi="Georgia" w:cs="Calibri"/>
          <w:i/>
          <w:iCs/>
          <w:color w:val="333333"/>
          <w:sz w:val="20"/>
          <w:szCs w:val="20"/>
          <w:lang w:val="en"/>
        </w:rPr>
        <w:t>attempt</w:t>
      </w:r>
      <w:r>
        <w:rPr>
          <w:rFonts w:ascii="Georgia" w:eastAsia="Times New Roman" w:hAnsi="Georgia" w:cs="Calibri"/>
          <w:color w:val="333333"/>
          <w:sz w:val="20"/>
          <w:szCs w:val="20"/>
          <w:lang w:val="en"/>
        </w:rPr>
        <w:t> 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 </w:t>
      </w:r>
      <w:r>
        <w:rPr>
          <w:rFonts w:ascii="Georgia" w:eastAsia="Times New Roman" w:hAnsi="Georgia" w:cs="Calibri"/>
          <w:i/>
          <w:iCs/>
          <w:color w:val="333333"/>
          <w:sz w:val="20"/>
          <w:szCs w:val="20"/>
          <w:lang w:val="en"/>
        </w:rPr>
        <w:t>apparent</w:t>
      </w:r>
      <w:r>
        <w:rPr>
          <w:rFonts w:ascii="Georgia" w:eastAsia="Times New Roman" w:hAnsi="Georgia" w:cs="Calibri"/>
          <w:color w:val="333333"/>
          <w:sz w:val="20"/>
          <w:szCs w:val="20"/>
          <w:lang w:val="en"/>
        </w:rPr>
        <w:t>ability to do so.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Offenses against Property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Theft: Larceny, Robbery, Embezzlement, False Pretenses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basic crime of stealing personal property is </w:t>
      </w:r>
      <w:r>
        <w:rPr>
          <w:rFonts w:ascii="Georgia" w:eastAsia="Times New Roman" w:hAnsi="Georgia" w:cs="Calibri"/>
          <w:b/>
          <w:color w:val="333333"/>
          <w:sz w:val="20"/>
          <w:szCs w:val="20"/>
          <w:u w:val="single"/>
          <w:lang w:val="en"/>
        </w:rPr>
        <w:t>larceny</w:t>
      </w:r>
      <w:r>
        <w:rPr>
          <w:rFonts w:ascii="Georgia" w:eastAsia="Times New Roman" w:hAnsi="Georgia" w:cs="Calibri"/>
          <w:color w:val="333333"/>
          <w:sz w:val="20"/>
          <w:szCs w:val="20"/>
          <w:lang w:val="en"/>
        </w:rPr>
        <w:t>. By its old common-law definition, still in use today, larceny is the wrongful “taking and carrying away of the personal property of another with intent to steal the same.”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 </w:t>
      </w:r>
      <w:r>
        <w:rPr>
          <w:rFonts w:ascii="Georgia" w:eastAsia="Times New Roman" w:hAnsi="Georgia" w:cs="Calibri"/>
          <w:i/>
          <w:iCs/>
          <w:color w:val="333333"/>
          <w:sz w:val="20"/>
          <w:szCs w:val="20"/>
          <w:lang w:val="en"/>
        </w:rPr>
        <w:t>personal</w:t>
      </w:r>
      <w:r>
        <w:rPr>
          <w:rFonts w:ascii="Georgia" w:eastAsia="Times New Roman" w:hAnsi="Georgia" w:cs="Calibri"/>
          <w:color w:val="333333"/>
          <w:sz w:val="20"/>
          <w:szCs w:val="20"/>
          <w:lang w:val="en"/>
        </w:rPr>
        <w:t> 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particular form of larceny is </w:t>
      </w:r>
      <w:r>
        <w:rPr>
          <w:rFonts w:ascii="Georgia" w:eastAsia="Times New Roman" w:hAnsi="Georgia" w:cs="Calibri"/>
          <w:b/>
          <w:color w:val="333333"/>
          <w:sz w:val="20"/>
          <w:szCs w:val="20"/>
          <w:u w:val="single"/>
          <w:lang w:val="en"/>
        </w:rPr>
        <w:t>robbery</w:t>
      </w:r>
      <w:r>
        <w:rPr>
          <w:rFonts w:ascii="Georgia" w:eastAsia="Times New Roman" w:hAnsi="Georgia" w:cs="Calibri"/>
          <w:color w:val="333333"/>
          <w:sz w:val="20"/>
          <w:szCs w:val="20"/>
          <w:lang w:val="en"/>
        </w:rPr>
        <w:t>, which is defined as larceny from a person by means of violence or intimidation.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 </w:t>
      </w:r>
      <w:r>
        <w:rPr>
          <w:rFonts w:ascii="Georgia" w:eastAsia="Times New Roman" w:hAnsi="Georgia" w:cs="Calibri"/>
          <w:b/>
          <w:color w:val="333333"/>
          <w:sz w:val="20"/>
          <w:szCs w:val="20"/>
          <w:u w:val="single"/>
          <w:lang w:val="en"/>
        </w:rPr>
        <w:t>embezzlement</w:t>
      </w:r>
      <w:r>
        <w:rPr>
          <w:rFonts w:ascii="Georgia" w:eastAsia="Times New Roman" w:hAnsi="Georgia" w:cs="Calibri"/>
          <w:color w:val="333333"/>
          <w:sz w:val="20"/>
          <w:szCs w:val="20"/>
          <w:lang w:val="en"/>
        </w:rPr>
        <w:t>, has been made a statutory offense in all states.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 </w:t>
      </w:r>
      <w:r>
        <w:rPr>
          <w:rFonts w:ascii="Georgia" w:eastAsia="Times New Roman" w:hAnsi="Georgia" w:cs="Calibri"/>
          <w:b/>
          <w:color w:val="333333"/>
          <w:sz w:val="20"/>
          <w:szCs w:val="20"/>
          <w:u w:val="single"/>
          <w:lang w:val="en"/>
        </w:rPr>
        <w:t>false pretenses</w:t>
      </w:r>
      <w:r>
        <w:rPr>
          <w:rFonts w:ascii="Georgia" w:eastAsia="Times New Roman" w:hAnsi="Georgia" w:cs="Calibri"/>
          <w:color w:val="333333"/>
          <w:sz w:val="20"/>
          <w:szCs w:val="20"/>
          <w:lang w:val="en"/>
        </w:rPr>
        <w:t>, defined as obtaining ownership of the property of another by making untrue representations of fact with intent to defraud.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number of problems have arisen in the judicial interpretation of false-pretense statutes. One concerns whether the taking is permanent or only temporary. The case of </w:t>
      </w:r>
      <w:r>
        <w:rPr>
          <w:rFonts w:ascii="Georgia" w:eastAsia="Times New Roman" w:hAnsi="Georgia" w:cs="Calibri"/>
          <w:i/>
          <w:iCs/>
          <w:color w:val="333333"/>
          <w:sz w:val="20"/>
          <w:szCs w:val="20"/>
          <w:lang w:val="en"/>
        </w:rPr>
        <w:t>State v. Mills</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6.7 "Cases"</w:t>
      </w:r>
      <w:r>
        <w:rPr>
          <w:rFonts w:ascii="Georgia" w:eastAsia="Times New Roman" w:hAnsi="Georgia" w:cs="Calibri"/>
          <w:color w:val="333333"/>
          <w:sz w:val="20"/>
          <w:szCs w:val="20"/>
          <w:lang w:val="en"/>
        </w:rPr>
        <w:t>) shows the subtle questions that can be presented and the dangers inherent in committing “a little fraud.”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w:t>
      </w:r>
      <w:r>
        <w:rPr>
          <w:rFonts w:ascii="Georgia" w:eastAsia="Times New Roman" w:hAnsi="Georgia" w:cs="Calibri"/>
          <w:i/>
          <w:iCs/>
          <w:color w:val="333333"/>
          <w:sz w:val="20"/>
          <w:szCs w:val="20"/>
          <w:lang w:val="en"/>
        </w:rPr>
        <w:t>Mills</w:t>
      </w:r>
      <w:r>
        <w:rPr>
          <w:rFonts w:ascii="Georgia" w:eastAsia="Times New Roman" w:hAnsi="Georgia" w:cs="Calibri"/>
          <w:color w:val="333333"/>
          <w:sz w:val="20"/>
          <w:szCs w:val="20"/>
          <w:lang w:val="en"/>
        </w:rPr>
        <w:t> 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problem of proving intent is especially difficult when a person has availed himself of the services of another without paying. A common example is someone leaving a restaurant without paying for the meal. In most states, this is specifically defined in the statutes as </w:t>
      </w:r>
      <w:r>
        <w:rPr>
          <w:rFonts w:ascii="Georgia" w:eastAsia="Times New Roman" w:hAnsi="Georgia" w:cs="Calibri"/>
          <w:i/>
          <w:iCs/>
          <w:color w:val="333333"/>
          <w:sz w:val="20"/>
          <w:szCs w:val="20"/>
          <w:lang w:val="en"/>
        </w:rPr>
        <w:t>theft of services</w:t>
      </w:r>
      <w:r>
        <w:rPr>
          <w:rFonts w:ascii="Georgia" w:eastAsia="Times New Roman" w:hAnsi="Georgia" w:cs="Calibri"/>
          <w:color w:val="333333"/>
          <w:sz w:val="20"/>
          <w:szCs w:val="20"/>
          <w:lang w:val="en"/>
        </w:rPr>
        <w: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Receiving Stolen Property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who engages in </w:t>
      </w:r>
      <w:r>
        <w:rPr>
          <w:rFonts w:ascii="Georgia" w:eastAsia="Times New Roman" w:hAnsi="Georgia" w:cs="Calibri"/>
          <w:b/>
          <w:color w:val="333333"/>
          <w:sz w:val="20"/>
          <w:szCs w:val="20"/>
          <w:u w:val="single"/>
          <w:lang w:val="en"/>
        </w:rPr>
        <w:t>receiving stolen property</w:t>
      </w:r>
      <w:r>
        <w:rPr>
          <w:rFonts w:ascii="Georgia" w:eastAsia="Times New Roman" w:hAnsi="Georgia" w:cs="Calibri"/>
          <w:color w:val="333333"/>
          <w:sz w:val="20"/>
          <w:szCs w:val="20"/>
          <w:lang w:val="en"/>
        </w:rPr>
        <w:t> 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Forgery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Forgery</w:t>
      </w:r>
      <w:r>
        <w:rPr>
          <w:rFonts w:ascii="Georgia" w:eastAsia="Times New Roman" w:hAnsi="Georgia" w:cs="Calibri"/>
          <w:color w:val="333333"/>
          <w:sz w:val="20"/>
          <w:szCs w:val="20"/>
          <w:lang w:val="en"/>
        </w:rPr>
        <w:t> 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Extortion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common law, </w:t>
      </w:r>
      <w:r>
        <w:rPr>
          <w:rFonts w:ascii="Georgia" w:eastAsia="Times New Roman" w:hAnsi="Georgia" w:cs="Calibri"/>
          <w:b/>
          <w:color w:val="333333"/>
          <w:sz w:val="20"/>
          <w:szCs w:val="20"/>
          <w:u w:val="single"/>
          <w:lang w:val="en"/>
        </w:rPr>
        <w:t>extortion</w:t>
      </w:r>
      <w:r>
        <w:rPr>
          <w:rFonts w:ascii="Georgia" w:eastAsia="Times New Roman" w:hAnsi="Georgia" w:cs="Calibri"/>
          <w:color w:val="333333"/>
          <w:sz w:val="20"/>
          <w:szCs w:val="20"/>
          <w:lang w:val="en"/>
        </w:rPr>
        <w:t> 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Offenses against Habitation and Other Offenses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Burglary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Burglary</w:t>
      </w:r>
      <w:r>
        <w:rPr>
          <w:rFonts w:ascii="Georgia" w:eastAsia="Times New Roman" w:hAnsi="Georgia" w:cs="Calibri"/>
          <w:color w:val="333333"/>
          <w:sz w:val="20"/>
          <w:szCs w:val="20"/>
          <w:lang w:val="en"/>
        </w:rPr>
        <w:t> 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Arson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common law, </w:t>
      </w:r>
      <w:r>
        <w:rPr>
          <w:rFonts w:ascii="Georgia" w:eastAsia="Times New Roman" w:hAnsi="Georgia" w:cs="Calibri"/>
          <w:b/>
          <w:color w:val="333333"/>
          <w:sz w:val="20"/>
          <w:szCs w:val="20"/>
          <w:u w:val="single"/>
          <w:lang w:val="en"/>
        </w:rPr>
        <w:t>arson</w:t>
      </w:r>
      <w:r>
        <w:rPr>
          <w:rFonts w:ascii="Georgia" w:eastAsia="Times New Roman" w:hAnsi="Georgia" w:cs="Calibri"/>
          <w:color w:val="333333"/>
          <w:sz w:val="20"/>
          <w:szCs w:val="20"/>
          <w:lang w:val="en"/>
        </w:rPr>
        <w:t> 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Bribery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Bribery</w:t>
      </w:r>
      <w:r>
        <w:rPr>
          <w:rFonts w:ascii="Georgia" w:eastAsia="Times New Roman" w:hAnsi="Georgia" w:cs="Calibri"/>
          <w:color w:val="333333"/>
          <w:sz w:val="20"/>
          <w:szCs w:val="20"/>
          <w:lang w:val="en"/>
        </w:rPr>
        <w:t> 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Bribing a public official in government procurement (contracting) can result in serious criminal charges. Bribing a public official in a foreign country to win a contract can result in charges under the Foreign Corrupt Practices Act.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Perjury</w:t>
      </w:r>
      <w:r>
        <w:rPr>
          <w:rFonts w:ascii="Georgia" w:eastAsia="Times New Roman" w:hAnsi="Georgia" w:cs="Calibri"/>
          <w:color w:val="333333"/>
          <w:sz w:val="20"/>
          <w:szCs w:val="20"/>
          <w:lang w:val="en"/>
        </w:rPr>
        <w:t> 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White-Collar Crime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White-collar crime</w:t>
      </w:r>
      <w:r>
        <w:rPr>
          <w:rFonts w:ascii="Georgia" w:eastAsia="Times New Roman" w:hAnsi="Georgia" w:cs="Calibri"/>
          <w:color w:val="333333"/>
          <w:sz w:val="20"/>
          <w:szCs w:val="20"/>
          <w:lang w:val="en"/>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Mail and Wire Fraud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Violations of the Food and Drug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 </w:t>
      </w:r>
      <w:r>
        <w:rPr>
          <w:rFonts w:ascii="Georgia" w:eastAsia="Times New Roman" w:hAnsi="Georgia" w:cs="Calibri"/>
          <w:i/>
          <w:iCs/>
          <w:color w:val="333333"/>
          <w:sz w:val="20"/>
          <w:szCs w:val="20"/>
          <w:lang w:val="en"/>
        </w:rPr>
        <w:t>United States v</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Park</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6.7 "Cases"</w:t>
      </w:r>
      <w:r>
        <w:rPr>
          <w:rFonts w:ascii="Georgia" w:eastAsia="Times New Roman" w:hAnsi="Georgia" w:cs="Calibri"/>
          <w:color w:val="333333"/>
          <w:sz w:val="20"/>
          <w:szCs w:val="20"/>
          <w:lang w:val="en"/>
        </w:rPr>
        <w:t>) shows, an executive can be held criminally liable even though he may have had no personal knowledge of the violation.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Environmental Crimes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Violations of the Foreign Corrupt Practices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payor (the one offering and delivering the money) in getting business.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Violations of the Racketeering Influenced and Corrupt Organizations Act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Computer Crime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Computer crime</w:t>
      </w:r>
      <w:r>
        <w:rPr>
          <w:rFonts w:ascii="Georgia" w:eastAsia="Times New Roman" w:hAnsi="Georgia" w:cs="Calibri"/>
          <w:color w:val="333333"/>
          <w:sz w:val="20"/>
          <w:szCs w:val="20"/>
          <w:lang w:val="en"/>
        </w:rPr>
        <w:t> 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 </w:t>
      </w:r>
      <w:r>
        <w:rPr>
          <w:rFonts w:ascii="Georgia" w:eastAsia="Times New Roman" w:hAnsi="Georgia" w:cs="Calibri"/>
          <w:color w:val="2689C6"/>
          <w:sz w:val="20"/>
          <w:szCs w:val="20"/>
          <w:lang w:val="en"/>
        </w:rPr>
        <w:t>Table 6.1 "Summary of Provisions of the Computer Fraud and Abuse Act"</w:t>
      </w:r>
      <w:r>
        <w:rPr>
          <w:rFonts w:ascii="Georgia" w:eastAsia="Times New Roman" w:hAnsi="Georgia" w:cs="Calibri"/>
          <w:color w:val="333333"/>
          <w:sz w:val="20"/>
          <w:szCs w:val="20"/>
          <w:lang w:val="en"/>
        </w:rPr>
        <w:t>). Congress only prohibited computer fraud and abuse where there was a federal interest, as where computers of the government were involved or where the crime was interstate in nature.</w:t>
      </w:r>
    </w:p>
    <w:p w:rsidR="00A86150" w:rsidRDefault="00F714D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6.1 Summary of Provisions of the Computer Fraud and Abuse Act</w:t>
      </w:r>
    </w:p>
    <w:tbl>
      <w:tblPr>
        <w:tblW w:w="0" w:type="auto"/>
        <w:tblCellMar>
          <w:left w:w="0" w:type="dxa"/>
          <w:right w:w="0" w:type="dxa"/>
        </w:tblCellMar>
        <w:tblLook w:val="04A0" w:firstRow="1" w:lastRow="0" w:firstColumn="1" w:lastColumn="0" w:noHBand="0" w:noVBand="1"/>
      </w:tblPr>
      <w:tblGrid>
        <w:gridCol w:w="4355"/>
        <w:gridCol w:w="1177"/>
        <w:gridCol w:w="3964"/>
      </w:tblGrid>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 years maximum (20 years second offense)</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(5)</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(10)</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 years (10)</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 years (20)</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(10)</w:t>
            </w:r>
          </w:p>
        </w:tc>
      </w:tr>
    </w:tbl>
    <w:p w:rsidR="00A86150" w:rsidRDefault="00A86150">
      <w:pPr>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Offenses can be against persons, against property, or against public policy (as when you bribe a public official, commit perjury, use public goods such as the mails or the Internet to commit fraud, or commit other white-collar crimes).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40"/>
        </w:numPr>
        <w:shd w:val="clear" w:color="auto" w:fill="E3EFF7"/>
        <w:tabs>
          <w:tab w:val="clear" w:pos="720"/>
          <w:tab w:val="num" w:pos="108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does more serious harm to society: street crimes or white-collar crimes?</w:t>
      </w:r>
    </w:p>
    <w:p w:rsidR="00A86150" w:rsidRDefault="00F714D4">
      <w:pPr>
        <w:numPr>
          <w:ilvl w:val="0"/>
          <w:numId w:val="14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various crimes so difficult to define precisely?</w:t>
      </w:r>
    </w:p>
    <w:p w:rsidR="00A86150" w:rsidRDefault="00F714D4">
      <w:pPr>
        <w:numPr>
          <w:ilvl w:val="0"/>
          <w:numId w:val="140"/>
        </w:numPr>
        <w:shd w:val="clear" w:color="auto" w:fill="E3EFF7"/>
        <w:tabs>
          <w:tab w:val="clear" w:pos="720"/>
          <w:tab w:val="num" w:pos="1080"/>
        </w:tabs>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A86150" w:rsidRDefault="00F714D4">
      <w:pPr>
        <w:numPr>
          <w:ilvl w:val="0"/>
          <w:numId w:val="140"/>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fraud? How is it different from dishonesty? Is being dishonest a criminal offense? If so, have you been a criminal already today?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Isaacs</w:t>
      </w:r>
      <w:r>
        <w:rPr>
          <w:rFonts w:ascii="Calibri" w:eastAsia="Times New Roman" w:hAnsi="Calibri" w:cs="Calibri"/>
          <w:color w:val="333333"/>
          <w:sz w:val="20"/>
          <w:szCs w:val="20"/>
        </w:rPr>
        <w:t>, 493 F.2d 1124 (7th Cir. 1974), cert. denied, 417 US 976 (1974).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U.S. v. Hanousek</w:t>
      </w:r>
      <w:r>
        <w:rPr>
          <w:rFonts w:ascii="Calibri" w:eastAsia="Times New Roman" w:hAnsi="Calibri" w:cs="Calibri"/>
          <w:color w:val="333333"/>
          <w:sz w:val="20"/>
          <w:szCs w:val="20"/>
        </w:rPr>
        <w:t>, 176 F.3d 1116 (9th Cir. 1999).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6.3 The Nature of a Criminal Act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41"/>
        </w:numPr>
        <w:shd w:val="clear" w:color="auto" w:fill="EAE9DC"/>
        <w:tabs>
          <w:tab w:val="clear" w:pos="720"/>
          <w:tab w:val="num" w:pos="144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it is possible to commit a criminal act without actually doing anything that you think might be criminal.</w:t>
      </w:r>
    </w:p>
    <w:p w:rsidR="00A86150" w:rsidRDefault="00F714D4">
      <w:pPr>
        <w:numPr>
          <w:ilvl w:val="0"/>
          <w:numId w:val="141"/>
        </w:numPr>
        <w:shd w:val="clear" w:color="auto" w:fill="EAE9DC"/>
        <w:tabs>
          <w:tab w:val="clear" w:pos="720"/>
          <w:tab w:val="num" w:pos="144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Analyze and explain the importance of intention in criminal law and criminal prosecutions.</w:t>
      </w:r>
    </w:p>
    <w:p w:rsidR="00A86150" w:rsidRDefault="00F714D4">
      <w:pPr>
        <w:numPr>
          <w:ilvl w:val="0"/>
          <w:numId w:val="141"/>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corporation can be guilty of a crime, even though it is a corporation’s agents that commit the crime.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Attempt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not necessary to commit the intended crime to be found guilty of a criminal offense. An </w:t>
      </w:r>
      <w:r>
        <w:rPr>
          <w:rFonts w:ascii="Georgia" w:eastAsia="Times New Roman" w:hAnsi="Georgia" w:cs="Calibri"/>
          <w:i/>
          <w:iCs/>
          <w:color w:val="333333"/>
          <w:sz w:val="20"/>
          <w:szCs w:val="20"/>
          <w:lang w:val="en"/>
        </w:rPr>
        <w:t>attempt</w:t>
      </w:r>
      <w:r>
        <w:rPr>
          <w:rFonts w:ascii="Georgia" w:eastAsia="Times New Roman" w:hAnsi="Georgia" w:cs="Calibri"/>
          <w:color w:val="333333"/>
          <w:sz w:val="20"/>
          <w:szCs w:val="20"/>
          <w:lang w:val="en"/>
        </w:rPr>
        <w:t> 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that point, courts in most states would not consider him guilty of an attempt because he had not passed beyond the stage of </w:t>
      </w:r>
      <w:r>
        <w:rPr>
          <w:rFonts w:ascii="Georgia" w:eastAsia="Times New Roman" w:hAnsi="Georgia" w:cs="Calibri"/>
          <w:i/>
          <w:iCs/>
          <w:color w:val="333333"/>
          <w:sz w:val="20"/>
          <w:szCs w:val="20"/>
          <w:lang w:val="en"/>
        </w:rPr>
        <w:t>preparation</w:t>
      </w:r>
      <w:r>
        <w:rPr>
          <w:rFonts w:ascii="Georgia" w:eastAsia="Times New Roman" w:hAnsi="Georgia" w:cs="Calibri"/>
          <w:color w:val="333333"/>
          <w:sz w:val="20"/>
          <w:szCs w:val="20"/>
          <w:lang w:val="en"/>
        </w:rPr>
        <w:t>. After having buttoned his jacket he might have reconsidered and put the gun away. Determining when the accused has passed beyond mere preparation and taken an actual step toward </w:t>
      </w:r>
      <w:r>
        <w:rPr>
          <w:rFonts w:ascii="Georgia" w:eastAsia="Times New Roman" w:hAnsi="Georgia" w:cs="Calibri"/>
          <w:i/>
          <w:iCs/>
          <w:color w:val="333333"/>
          <w:sz w:val="20"/>
          <w:szCs w:val="20"/>
          <w:lang w:val="en"/>
        </w:rPr>
        <w:t>perpetrating</w:t>
      </w:r>
      <w:r>
        <w:rPr>
          <w:rFonts w:ascii="Georgia" w:eastAsia="Times New Roman" w:hAnsi="Georgia" w:cs="Calibri"/>
          <w:color w:val="333333"/>
          <w:sz w:val="20"/>
          <w:szCs w:val="20"/>
          <w:lang w:val="en"/>
        </w:rPr>
        <w:t> the crime is often difficult and is usually for the jury to decide.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Impossibility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Conspiracy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Agency and Corporations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A86150" w:rsidRDefault="00A86150">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4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an example of how someone can intend to commit a crime but fail to commit one.</w:t>
      </w:r>
    </w:p>
    <w:p w:rsidR="00A86150" w:rsidRDefault="00F714D4">
      <w:pPr>
        <w:numPr>
          <w:ilvl w:val="0"/>
          <w:numId w:val="14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situation where there is a conspiracy to commit a crime without the crime actually taking place.</w:t>
      </w:r>
    </w:p>
    <w:p w:rsidR="00A86150" w:rsidRDefault="00F714D4">
      <w:pPr>
        <w:numPr>
          <w:ilvl w:val="0"/>
          <w:numId w:val="142"/>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 scenario based on current events where a corporation could be found guilty of committing a crime even though the CEO, the board of directors, and the shareholders have not themselves done a criminal act.</w:t>
      </w: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6.4 Responsibility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4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criminal law generally requires that the defendant charged with a crime have criminal "intent."</w:t>
      </w:r>
    </w:p>
    <w:p w:rsidR="00A86150" w:rsidRDefault="00F714D4">
      <w:pPr>
        <w:numPr>
          <w:ilvl w:val="0"/>
          <w:numId w:val="14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and explain the possible excuses relating to responsibility that are legally recognized by courts, including lack of capacity.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 General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criminal law requires criminal intent as an ingredient of the crime. Many regulatory codes dealing with the public health and safety impose strict requirements. Failure to adhere to such requirements is a violation, whether or not the violator had mens rea. The </w:t>
      </w:r>
      <w:r>
        <w:rPr>
          <w:rFonts w:ascii="Georgia" w:eastAsia="Times New Roman" w:hAnsi="Georgia" w:cs="Calibri"/>
          <w:i/>
          <w:iCs/>
          <w:color w:val="333333"/>
          <w:sz w:val="20"/>
          <w:szCs w:val="20"/>
          <w:lang w:val="en"/>
        </w:rPr>
        <w:t>United States v. Park</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6.7 "Cases"</w:t>
      </w:r>
      <w:r>
        <w:rPr>
          <w:rFonts w:ascii="Georgia" w:eastAsia="Times New Roman" w:hAnsi="Georgia" w:cs="Calibri"/>
          <w:color w:val="333333"/>
          <w:sz w:val="20"/>
          <w:szCs w:val="20"/>
          <w:lang w:val="en"/>
        </w:rPr>
        <w:t>, a decision of the US Supreme Court, shows the different considerations involved in mens rea.</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Excuses That Limit or Overcome Responsibility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Mistake of Fact and Mistake of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ignorance of the </w:t>
      </w:r>
      <w:r>
        <w:rPr>
          <w:rFonts w:ascii="Georgia" w:eastAsia="Times New Roman" w:hAnsi="Georgia" w:cs="Calibri"/>
          <w:i/>
          <w:iCs/>
          <w:color w:val="333333"/>
          <w:sz w:val="20"/>
          <w:szCs w:val="20"/>
          <w:lang w:val="en"/>
        </w:rPr>
        <w:t>law</w:t>
      </w:r>
      <w:r>
        <w:rPr>
          <w:rFonts w:ascii="Georgia" w:eastAsia="Times New Roman" w:hAnsi="Georgia" w:cs="Calibri"/>
          <w:color w:val="333333"/>
          <w:sz w:val="20"/>
          <w:szCs w:val="20"/>
          <w:lang w:val="en"/>
        </w:rPr>
        <w:t> 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Ignorance or mistake of </w:t>
      </w:r>
      <w:r>
        <w:rPr>
          <w:rFonts w:ascii="Georgia" w:eastAsia="Times New Roman" w:hAnsi="Georgia" w:cs="Calibri"/>
          <w:i/>
          <w:iCs/>
          <w:color w:val="333333"/>
          <w:sz w:val="20"/>
          <w:szCs w:val="20"/>
          <w:lang w:val="en"/>
        </w:rPr>
        <w:t>fact</w:t>
      </w:r>
      <w:r>
        <w:rPr>
          <w:rFonts w:ascii="Georgia" w:eastAsia="Times New Roman" w:hAnsi="Georgia" w:cs="Calibri"/>
          <w:color w:val="333333"/>
          <w:sz w:val="20"/>
          <w:szCs w:val="20"/>
          <w:lang w:val="en"/>
        </w:rPr>
        <w:t> 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Entrapment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 rule against entrapment 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Excuses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Lack of Capacity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United States, some crimes can be committed by not following strict regulatory requirements for health, safety, or the environment. The law does provide excuses from criminal liability for mistakes of fact, entrapment, and lack of capacity.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4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situations in which compulsion, consent, or other excuses take away criminal liability.</w:t>
      </w:r>
    </w:p>
    <w:p w:rsidR="00A86150" w:rsidRDefault="00F714D4">
      <w:pPr>
        <w:numPr>
          <w:ilvl w:val="0"/>
          <w:numId w:val="144"/>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Your employee is drunk on the job and commits the crime of assault and battery on a customer. He claims lack of capacity as an excuse. Should the courts accept this excuse? Why or why not?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6.5 Procedure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45"/>
        </w:numPr>
        <w:shd w:val="clear" w:color="auto" w:fill="EAE9DC"/>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steps in pretrial criminal procedure that follow a government's determination to arrest someone for an alleged criminal act.</w:t>
      </w:r>
    </w:p>
    <w:p w:rsidR="00A86150" w:rsidRDefault="00F714D4">
      <w:pPr>
        <w:numPr>
          <w:ilvl w:val="0"/>
          <w:numId w:val="145"/>
        </w:numPr>
        <w:shd w:val="clear" w:color="auto" w:fill="EAE9DC"/>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elements of trial and posttrial criminal procedure.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the preliminary hearing, the prosecutor must either file aninformation (a document stating the crime of which the person being held is accused) or ask the grand jury for an indictment.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guiltybeyond a reasonable doubt.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 plea bargaining with the prosecution. In return for the plea, the prosecutor promises to recommend to the judge that the sentence be limited. The judge most often, but not always, goes along with the prosecutor’s recommendation.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Sentencing usually comes before appeal. As in civil cases, the defendant, now convicted, has the right to take at least one appeal to higher courts, where issues of procedure and constitutional rights may be argued.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Criminal procedure in US courts is designed to provide a fair process to both criminal defendants and to society. The grand jury system, prosecutorial discretion, plea bargains, and appeals for lack of a fair trial are all part of US criminal procedure.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46"/>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A86150" w:rsidRDefault="00F714D4">
      <w:pPr>
        <w:numPr>
          <w:ilvl w:val="0"/>
          <w:numId w:val="146"/>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6.6 Constitutional Rights of the Accused</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47"/>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most significant constitutional rights of defendants in US courts, and name the source of these rights.</w:t>
      </w:r>
    </w:p>
    <w:p w:rsidR="00A86150" w:rsidRDefault="00F714D4">
      <w:pPr>
        <w:numPr>
          <w:ilvl w:val="0"/>
          <w:numId w:val="147"/>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Exclusionary rule and the reason for its existence.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Search and Seizure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 exclusionary ruleis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Double Jeopardy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Self-Incrimination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 </w:t>
      </w:r>
      <w:r>
        <w:rPr>
          <w:rFonts w:ascii="Georgia" w:eastAsia="Times New Roman" w:hAnsi="Georgia" w:cs="Calibri"/>
          <w:i/>
          <w:iCs/>
          <w:color w:val="333333"/>
          <w:sz w:val="20"/>
          <w:szCs w:val="20"/>
          <w:lang w:val="en"/>
        </w:rPr>
        <w:t>Miranda v. Arizona</w:t>
      </w:r>
      <w:r>
        <w:rPr>
          <w:rFonts w:ascii="Georgia" w:eastAsia="Times New Roman" w:hAnsi="Georgia" w:cs="Calibri"/>
          <w:color w:val="333333"/>
          <w:sz w:val="20"/>
          <w:szCs w:val="20"/>
          <w:lang w:val="en"/>
        </w:rPr>
        <w:t>, the Supreme Court ruled that no confession is admissible if the police have not first advised a suspect of his constitutional rights, including the right to have a lawyer present to advise him during the questioning.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These so-called Miranda warnings have prompted scores of follow-up cases that have made this branch of jurisprudence especially complex.</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Speedy 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Cross-Examination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Sixth Amendment also says that the defendant shall have the right to confront witnesses against him. No testimony is permitted to be shown to the jury unless the person making it is present and subject to cross-examination by the defendant’s counsel.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Assistance of Counsel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Cruel and Unusual Punishment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Presumption of Innocence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4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you think it is useful to have a presumption of innocence in criminal cases? What if there were not a presumption of innocence in criminal cases?</w:t>
      </w:r>
    </w:p>
    <w:p w:rsidR="00A86150" w:rsidRDefault="00F714D4">
      <w:pPr>
        <w:numPr>
          <w:ilvl w:val="0"/>
          <w:numId w:val="148"/>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you think public humiliation, public execution, and unusual punishments would reduce the amount of crime? Why do you think so?</w:t>
      </w:r>
    </w:p>
    <w:p w:rsidR="00A86150" w:rsidRDefault="00F714D4">
      <w:pPr>
        <w:numPr>
          <w:ilvl w:val="0"/>
          <w:numId w:val="148"/>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“Due process” is another phrase for “fairness.” Why should the public show fairness toward criminal defendants?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Miranda v. Arizona</w:t>
      </w:r>
      <w:r>
        <w:rPr>
          <w:rFonts w:ascii="Calibri" w:eastAsia="Times New Roman" w:hAnsi="Calibri" w:cs="Calibri"/>
          <w:color w:val="333333"/>
          <w:sz w:val="20"/>
          <w:szCs w:val="20"/>
        </w:rPr>
        <w:t>, 384 US 436 (1966).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6.7 Cases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False Pretenses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v. Mills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96 Ariz. 377, 396 P.2d 5 (Ariz. 1964)</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LOCKWOOD, VICE CHIEF JUSTICE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 in part, reversed in part, and remanded for resentencing.</w:t>
      </w:r>
    </w:p>
    <w:p w:rsidR="00A86150" w:rsidRDefault="00A86150">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49"/>
        </w:numPr>
        <w:shd w:val="clear" w:color="auto" w:fill="E3EFF7"/>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False pretenses is a crime of obtaining ownership of property of another by making untrue representations of fact with intent to defraud. What were the untrue representations of fact made by Mills?</w:t>
      </w:r>
    </w:p>
    <w:p w:rsidR="00A86150" w:rsidRDefault="00F714D4">
      <w:pPr>
        <w:numPr>
          <w:ilvl w:val="0"/>
          <w:numId w:val="149"/>
        </w:numPr>
        <w:shd w:val="clear" w:color="auto" w:fill="E3EFF7"/>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Concisely state the defendant’s argument as to why Pivowar has not been deprived of any property.</w:t>
      </w:r>
    </w:p>
    <w:p w:rsidR="00A86150" w:rsidRDefault="00F714D4">
      <w:pPr>
        <w:numPr>
          <w:ilvl w:val="0"/>
          <w:numId w:val="149"/>
        </w:numPr>
        <w:shd w:val="clear" w:color="auto" w:fill="E3EFF7"/>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Pivowar had presented the notes and Mills had paid, would a crime have been committed?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White-Collar Crimes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United States v. Park</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421 U.S. 658 (1975)</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CHIEF JUSTICE BURGER delivered the opinion of the Court.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to consider whether the jury instructions in the prosecution of a corporate officer under § 301 (k) of the Federal Food, Drug, and Cosmetic Act, 52 Stat. 1042, as amended, 21 U.S.C. § 331 (k), were appropriate under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close of the Government’s case in chief, respondent moved for a judgment of acquittal on the ground that “the evidence in chief has shown that Mr. Park is not personally concerned in this Food and Drug violation.” The trial judge denied the motion, stating that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320 U.S. 277 (1943), was controlling.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 </w:t>
      </w:r>
      <w:r>
        <w:rPr>
          <w:rFonts w:ascii="Georgia" w:eastAsia="Times New Roman" w:hAnsi="Georgia" w:cs="Calibri"/>
          <w:i/>
          <w:iCs/>
          <w:color w:val="333333"/>
          <w:sz w:val="20"/>
          <w:szCs w:val="20"/>
          <w:lang w:val="en"/>
        </w:rPr>
        <w:t>United States v. Dotterweich supra</w:t>
      </w:r>
      <w:r>
        <w:rPr>
          <w:rFonts w:ascii="Georgia" w:eastAsia="Times New Roman" w:hAnsi="Georgia" w:cs="Calibri"/>
          <w:color w:val="333333"/>
          <w:sz w:val="20"/>
          <w:szCs w:val="20"/>
          <w:lang w:val="en"/>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presented by the Government’s petition for certiorari in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and the focus of this Court’s opinion, was whether the manager of a corporation, as well as the corporation itself, may be prosecuted under the Federal Food, Drug, and Cosmetic Act of 1938 for the introduction of misbranded and adulterated articles into interstate commerce. In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 </w:t>
      </w:r>
      <w:r>
        <w:rPr>
          <w:rFonts w:ascii="Georgia" w:eastAsia="Times New Roman" w:hAnsi="Georgia" w:cs="Calibri"/>
          <w:i/>
          <w:iCs/>
          <w:color w:val="333333"/>
          <w:sz w:val="20"/>
          <w:szCs w:val="20"/>
          <w:lang w:val="en"/>
        </w:rPr>
        <w:t>Morissette v. United States</w:t>
      </w:r>
      <w:r>
        <w:rPr>
          <w:rFonts w:ascii="Georgia" w:eastAsia="Times New Roman" w:hAnsi="Georgia" w:cs="Calibri"/>
          <w:color w:val="333333"/>
          <w:sz w:val="20"/>
          <w:szCs w:val="20"/>
          <w:lang w:val="en"/>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rationale of the interpretation given the Act in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has been confirmed in our subsequent cases. Thus, the Court has reaffirmed the proposition that the public interest in the purity of its food is so great as to warrant the imposition of the highest standard of care on distributors.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 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situation referred to could only be “food…held in unsanitary conditions in a warehouse with the result that it consisted, in part, of filth or…may have been contaminated with filth.”</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50"/>
        </w:numPr>
        <w:shd w:val="clear" w:color="auto" w:fill="E3EFF7"/>
        <w:tabs>
          <w:tab w:val="clear" w:pos="720"/>
          <w:tab w:val="num" w:pos="102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Park have criminal intent to put adulterated food into commerce? If not, how can Park’s conduct be criminalized?</w:t>
      </w:r>
    </w:p>
    <w:p w:rsidR="00A86150" w:rsidRDefault="00F714D4">
      <w:pPr>
        <w:numPr>
          <w:ilvl w:val="0"/>
          <w:numId w:val="150"/>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get a conviction, what does the prosecutor have to show, other than that Park was the CEO of Acme and therefore responsible for what his company did or didn’t do?</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6.8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A86150" w:rsidRDefault="00F714D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A86150" w:rsidRDefault="00F714D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A86150" w:rsidRDefault="00F714D4">
      <w:pPr>
        <w:numPr>
          <w:ilvl w:val="0"/>
          <w:numId w:val="1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A86150" w:rsidRDefault="00F714D4">
      <w:pPr>
        <w:numPr>
          <w:ilvl w:val="0"/>
          <w:numId w:val="15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152"/>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A86150" w:rsidRDefault="00F714D4">
      <w:pPr>
        <w:numPr>
          <w:ilvl w:val="1"/>
          <w:numId w:val="153"/>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beyond all doubt</w:t>
      </w:r>
    </w:p>
    <w:p w:rsidR="00A86150" w:rsidRDefault="00F714D4">
      <w:pPr>
        <w:numPr>
          <w:ilvl w:val="1"/>
          <w:numId w:val="153"/>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beyond a reasonable doubt</w:t>
      </w:r>
    </w:p>
    <w:p w:rsidR="00A86150" w:rsidRDefault="00F714D4">
      <w:pPr>
        <w:numPr>
          <w:ilvl w:val="1"/>
          <w:numId w:val="153"/>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clear and convincing evidence</w:t>
      </w:r>
    </w:p>
    <w:p w:rsidR="00A86150" w:rsidRDefault="00F714D4">
      <w:pPr>
        <w:numPr>
          <w:ilvl w:val="1"/>
          <w:numId w:val="153"/>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preponderance of the evidence</w:t>
      </w:r>
    </w:p>
    <w:p w:rsidR="00A86150" w:rsidRDefault="00F714D4">
      <w:pPr>
        <w:numPr>
          <w:ilvl w:val="0"/>
          <w:numId w:val="153"/>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A86150" w:rsidRDefault="00F714D4">
      <w:pPr>
        <w:numPr>
          <w:ilvl w:val="0"/>
          <w:numId w:val="15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year</w:t>
      </w:r>
    </w:p>
    <w:p w:rsidR="00A86150" w:rsidRDefault="00F714D4">
      <w:pPr>
        <w:numPr>
          <w:ilvl w:val="0"/>
          <w:numId w:val="15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two years</w:t>
      </w:r>
    </w:p>
    <w:p w:rsidR="00A86150" w:rsidRDefault="00F714D4">
      <w:pPr>
        <w:numPr>
          <w:ilvl w:val="0"/>
          <w:numId w:val="15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five years</w:t>
      </w:r>
    </w:p>
    <w:p w:rsidR="00A86150" w:rsidRDefault="00F714D4">
      <w:pPr>
        <w:numPr>
          <w:ilvl w:val="0"/>
          <w:numId w:val="15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155"/>
        </w:numPr>
        <w:shd w:val="clear" w:color="auto" w:fill="E3EFF7"/>
        <w:tabs>
          <w:tab w:val="num" w:pos="1020"/>
        </w:tabs>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Yuan is charged with a crime. To find him guilty, the prosecutor must show</w:t>
      </w:r>
    </w:p>
    <w:p w:rsidR="00A86150" w:rsidRDefault="00F714D4">
      <w:pPr>
        <w:numPr>
          <w:ilvl w:val="0"/>
          <w:numId w:val="15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actus reus and mens rea</w:t>
      </w:r>
    </w:p>
    <w:p w:rsidR="00A86150" w:rsidRDefault="00F714D4">
      <w:pPr>
        <w:numPr>
          <w:ilvl w:val="0"/>
          <w:numId w:val="15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mens rea only</w:t>
      </w:r>
    </w:p>
    <w:p w:rsidR="00A86150" w:rsidRDefault="00F714D4">
      <w:pPr>
        <w:numPr>
          <w:ilvl w:val="0"/>
          <w:numId w:val="15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performance of a prohibited act</w:t>
      </w:r>
    </w:p>
    <w:p w:rsidR="00A86150" w:rsidRDefault="00F714D4">
      <w:pPr>
        <w:numPr>
          <w:ilvl w:val="0"/>
          <w:numId w:val="15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157"/>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Kira works for Data Systems Ltd. and may be liable for larceny if she steals</w:t>
      </w:r>
    </w:p>
    <w:p w:rsidR="00A86150" w:rsidRDefault="00F714D4">
      <w:pPr>
        <w:numPr>
          <w:ilvl w:val="0"/>
          <w:numId w:val="158"/>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competitor’s trade secrets</w:t>
      </w:r>
    </w:p>
    <w:p w:rsidR="00A86150" w:rsidRDefault="00F714D4">
      <w:pPr>
        <w:numPr>
          <w:ilvl w:val="0"/>
          <w:numId w:val="158"/>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company computer time</w:t>
      </w:r>
    </w:p>
    <w:p w:rsidR="00A86150" w:rsidRDefault="00F714D4">
      <w:pPr>
        <w:numPr>
          <w:ilvl w:val="0"/>
          <w:numId w:val="158"/>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use of Data Systems’ Internet for personal business</w:t>
      </w:r>
    </w:p>
    <w:p w:rsidR="00A86150" w:rsidRDefault="00F714D4">
      <w:pPr>
        <w:numPr>
          <w:ilvl w:val="0"/>
          <w:numId w:val="158"/>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any of the above</w:t>
      </w:r>
    </w:p>
    <w:p w:rsidR="00A86150" w:rsidRDefault="00F714D4">
      <w:pPr>
        <w:numPr>
          <w:ilvl w:val="0"/>
          <w:numId w:val="159"/>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A86150" w:rsidRDefault="00F714D4">
      <w:pPr>
        <w:numPr>
          <w:ilvl w:val="0"/>
          <w:numId w:val="160"/>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Candace offered the bribe.</w:t>
      </w:r>
    </w:p>
    <w:p w:rsidR="00A86150" w:rsidRDefault="00F714D4">
      <w:pPr>
        <w:numPr>
          <w:ilvl w:val="0"/>
          <w:numId w:val="160"/>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 accepted the bribe.</w:t>
      </w:r>
    </w:p>
    <w:p w:rsidR="00A86150" w:rsidRDefault="00F714D4">
      <w:pPr>
        <w:numPr>
          <w:ilvl w:val="0"/>
          <w:numId w:val="160"/>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 overlooked the violations.</w:t>
      </w:r>
    </w:p>
    <w:p w:rsidR="00A86150" w:rsidRDefault="00F714D4">
      <w:pPr>
        <w:numPr>
          <w:ilvl w:val="0"/>
          <w:numId w:val="160"/>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1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1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1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1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16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Center Art Galleries—Hawaii, Inc. v. United States</w:t>
      </w:r>
      <w:r>
        <w:rPr>
          <w:rFonts w:ascii="Calibri" w:eastAsia="Times New Roman" w:hAnsi="Calibri" w:cs="Calibri"/>
          <w:color w:val="333333"/>
          <w:sz w:val="20"/>
          <w:szCs w:val="20"/>
        </w:rPr>
        <w:t>, 875 F.2d 747 (9th Cir. 1989).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7</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9"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Tort Law</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A86150" w:rsidRDefault="00F714D4">
      <w:pPr>
        <w:numPr>
          <w:ilvl w:val="0"/>
          <w:numId w:val="162"/>
        </w:numPr>
        <w:shd w:val="clear" w:color="auto" w:fill="EAE9DC"/>
        <w:tabs>
          <w:tab w:val="clear" w:pos="720"/>
          <w:tab w:val="num" w:pos="13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why most legal systems have tort law.</w:t>
      </w:r>
    </w:p>
    <w:p w:rsidR="00A86150" w:rsidRDefault="00F714D4">
      <w:pPr>
        <w:numPr>
          <w:ilvl w:val="0"/>
          <w:numId w:val="162"/>
        </w:numPr>
        <w:shd w:val="clear" w:color="auto" w:fill="EAE9DC"/>
        <w:tabs>
          <w:tab w:val="clear" w:pos="720"/>
          <w:tab w:val="num" w:pos="10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three kinds of torts.</w:t>
      </w:r>
    </w:p>
    <w:p w:rsidR="00A86150" w:rsidRDefault="00F714D4">
      <w:pPr>
        <w:numPr>
          <w:ilvl w:val="0"/>
          <w:numId w:val="162"/>
        </w:numPr>
        <w:shd w:val="clear" w:color="auto" w:fill="EAE9DC"/>
        <w:tabs>
          <w:tab w:val="clear" w:pos="720"/>
          <w:tab w:val="num" w:pos="10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Show how tort law relates to criminal law and contract law.</w:t>
      </w:r>
    </w:p>
    <w:p w:rsidR="00A86150" w:rsidRDefault="00F714D4">
      <w:pPr>
        <w:numPr>
          <w:ilvl w:val="0"/>
          <w:numId w:val="162"/>
        </w:numPr>
        <w:shd w:val="clear" w:color="auto" w:fill="EAE9DC"/>
        <w:tabs>
          <w:tab w:val="clear" w:pos="720"/>
          <w:tab w:val="num" w:pos="10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negligent torts and defenses to claims of negligence.</w:t>
      </w:r>
    </w:p>
    <w:p w:rsidR="00A86150" w:rsidRDefault="00F714D4">
      <w:pPr>
        <w:numPr>
          <w:ilvl w:val="0"/>
          <w:numId w:val="162"/>
        </w:numPr>
        <w:shd w:val="clear" w:color="auto" w:fill="EAE9DC"/>
        <w:tabs>
          <w:tab w:val="clear" w:pos="720"/>
          <w:tab w:val="num" w:pos="1020"/>
        </w:tabs>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strict liability torts and the reasons for them in the US legal system.</w:t>
      </w:r>
    </w:p>
    <w:p w:rsidR="00A86150" w:rsidRDefault="00F714D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A86150" w:rsidRDefault="00F714D4">
      <w:pPr>
        <w:spacing w:before="240"/>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7.1 Purpose of Tort Laws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63"/>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 sound market system requires tort law.</w:t>
      </w:r>
    </w:p>
    <w:p w:rsidR="00A86150" w:rsidRDefault="00F714D4">
      <w:pPr>
        <w:numPr>
          <w:ilvl w:val="0"/>
          <w:numId w:val="163"/>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 tort and give two examples.</w:t>
      </w:r>
    </w:p>
    <w:p w:rsidR="00A86150" w:rsidRDefault="00F714D4">
      <w:pPr>
        <w:numPr>
          <w:ilvl w:val="0"/>
          <w:numId w:val="163"/>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moral basis of tort liability.</w:t>
      </w:r>
    </w:p>
    <w:p w:rsidR="00A86150" w:rsidRDefault="00F714D4">
      <w:pPr>
        <w:numPr>
          <w:ilvl w:val="0"/>
          <w:numId w:val="163"/>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purposes of damage awards in tort.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of </w:t>
      </w:r>
      <w:r>
        <w:rPr>
          <w:rFonts w:ascii="Calibri" w:eastAsia="Times New Roman" w:hAnsi="Calibri" w:cs="Calibri"/>
          <w:b/>
          <w:bCs/>
          <w:i/>
          <w:iCs/>
          <w:color w:val="333333"/>
          <w:sz w:val="27"/>
          <w:szCs w:val="27"/>
          <w:lang w:val="en"/>
        </w:rPr>
        <w:t>Tort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 is the French equivalent of the English word </w:t>
      </w:r>
      <w:r>
        <w:rPr>
          <w:rFonts w:ascii="Georgia" w:eastAsia="Times New Roman" w:hAnsi="Georgia" w:cs="Calibri"/>
          <w:i/>
          <w:iCs/>
          <w:color w:val="333333"/>
          <w:sz w:val="20"/>
          <w:szCs w:val="20"/>
          <w:lang w:val="en"/>
        </w:rPr>
        <w:t>wrong</w:t>
      </w:r>
      <w:r>
        <w:rPr>
          <w:rFonts w:ascii="Georgia" w:eastAsia="Times New Roman" w:hAnsi="Georgia" w:cs="Calibri"/>
          <w:color w:val="333333"/>
          <w:sz w:val="20"/>
          <w:szCs w:val="20"/>
          <w:lang w:val="en"/>
        </w:rPr>
        <w:t>. The word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is also derived from the Latin word </w:t>
      </w:r>
      <w:r>
        <w:rPr>
          <w:rFonts w:ascii="Georgia" w:eastAsia="Times New Roman" w:hAnsi="Georgia" w:cs="Calibri"/>
          <w:i/>
          <w:iCs/>
          <w:color w:val="333333"/>
          <w:sz w:val="20"/>
          <w:szCs w:val="20"/>
          <w:lang w:val="en"/>
        </w:rPr>
        <w:t>tortum</w:t>
      </w:r>
      <w:r>
        <w:rPr>
          <w:rFonts w:ascii="Georgia" w:eastAsia="Times New Roman" w:hAnsi="Georgia" w:cs="Calibri"/>
          <w:color w:val="333333"/>
          <w:sz w:val="20"/>
          <w:szCs w:val="20"/>
          <w:lang w:val="en"/>
        </w:rPr>
        <w:t>, which means twisted or crooked or wrong, in contrast to the word </w:t>
      </w:r>
      <w:r>
        <w:rPr>
          <w:rFonts w:ascii="Georgia" w:eastAsia="Times New Roman" w:hAnsi="Georgia" w:cs="Calibri"/>
          <w:i/>
          <w:iCs/>
          <w:color w:val="333333"/>
          <w:sz w:val="20"/>
          <w:szCs w:val="20"/>
          <w:lang w:val="en"/>
        </w:rPr>
        <w:t>rectum,</w:t>
      </w:r>
      <w:r>
        <w:rPr>
          <w:rFonts w:ascii="Georgia" w:eastAsia="Times New Roman" w:hAnsi="Georgia" w:cs="Calibri"/>
          <w:color w:val="333333"/>
          <w:sz w:val="20"/>
          <w:szCs w:val="20"/>
          <w:lang w:val="en"/>
        </w:rPr>
        <w:t> which means straight (</w:t>
      </w:r>
      <w:r>
        <w:rPr>
          <w:rFonts w:ascii="Georgia" w:eastAsia="Times New Roman" w:hAnsi="Georgia" w:cs="Calibri"/>
          <w:i/>
          <w:iCs/>
          <w:color w:val="333333"/>
          <w:sz w:val="20"/>
          <w:szCs w:val="20"/>
          <w:lang w:val="en"/>
        </w:rPr>
        <w:t>rectitude</w:t>
      </w:r>
      <w:r>
        <w:rPr>
          <w:rFonts w:ascii="Georgia" w:eastAsia="Times New Roman" w:hAnsi="Georgia" w:cs="Calibri"/>
          <w:color w:val="333333"/>
          <w:sz w:val="20"/>
          <w:szCs w:val="20"/>
          <w:lang w:val="en"/>
        </w:rPr>
        <w:t> uses that Latin root). Thus conduct that is twisted or crooked and not straight is a tort. The term was introduced into the English law by the Norman jurists.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Long ago,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 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Kinds of Torts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Dimensions of Tort Liability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A86150" w:rsidRDefault="00F714D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7.1</w:t>
      </w:r>
      <w:r>
        <w:rPr>
          <w:rFonts w:ascii="Georgia" w:eastAsia="Times New Roman" w:hAnsi="Georgia" w:cs="Calibri"/>
          <w:i/>
          <w:iCs/>
          <w:color w:val="BB9966"/>
          <w:sz w:val="21"/>
          <w:szCs w:val="21"/>
          <w:lang w:val="en"/>
        </w:rPr>
        <w:t> Dimensions of Tort Liability</w:t>
      </w:r>
    </w:p>
    <w:p w:rsidR="00A86150" w:rsidRDefault="00F714D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362325"/>
            <wp:effectExtent l="0" t="0" r="0" b="9525"/>
            <wp:docPr id="29" name="Picture 8" descr="http://images.flatworldknowledge.com/mayerlawentrep/mayerlawentrep-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mayerlawentrep/mayerlawentrep-fig07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Fault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 principles can be viewed along different dimensions. One is the </w:t>
      </w:r>
      <w:r>
        <w:rPr>
          <w:rFonts w:ascii="Georgia" w:eastAsia="Times New Roman" w:hAnsi="Georgia" w:cs="Calibri"/>
          <w:b/>
          <w:bCs/>
          <w:color w:val="333333"/>
          <w:sz w:val="20"/>
          <w:szCs w:val="20"/>
          <w:lang w:val="en"/>
        </w:rPr>
        <w:t xml:space="preserve">fault </w:t>
      </w:r>
      <w:r>
        <w:rPr>
          <w:rFonts w:ascii="Georgia" w:eastAsia="Times New Roman" w:hAnsi="Georgia" w:cs="Calibri"/>
          <w:color w:val="333333"/>
          <w:sz w:val="20"/>
          <w:szCs w:val="20"/>
          <w:lang w:val="en"/>
        </w:rPr>
        <w:t>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obvious standard is willful conduct. If the defendant (often called the tortfeasor—i.e.,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tort suits do not rely on </w:t>
      </w:r>
      <w:r>
        <w:rPr>
          <w:rFonts w:ascii="Georgia" w:eastAsia="Times New Roman" w:hAnsi="Georgia" w:cs="Calibri"/>
          <w:i/>
          <w:iCs/>
          <w:color w:val="333333"/>
          <w:sz w:val="20"/>
          <w:szCs w:val="20"/>
          <w:lang w:val="en"/>
        </w:rPr>
        <w:t>intentional</w:t>
      </w:r>
      <w:r>
        <w:rPr>
          <w:rFonts w:ascii="Georgia" w:eastAsia="Times New Roman" w:hAnsi="Georgia" w:cs="Calibri"/>
          <w:color w:val="333333"/>
          <w:sz w:val="20"/>
          <w:szCs w:val="20"/>
          <w:lang w:val="en"/>
        </w:rPr>
        <w:t> fault. They are based, rather, on negligent conduct that in the circumstances is careless or poses unreasonable risks of causing damage. Most automobile accident and medical malpractice suits are examples of negligence suits.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 strict liability. An example is that incurred by the manufacturer of a defective product that is placed on the market despite all possible precautions, including quality-control inspection. In many states, if the product causes injury, the manufacturer will be held liable.</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Nature of Injury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Excuses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element in the law of torts is the excuse for committing an apparent wrong. The law does not condemn every act that ultimately results in injury.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common rule of exculpation is assumption of risk.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Damages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 compensatory damages.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certain instances, the courts will permit an award of punitive damages. As the word </w:t>
      </w:r>
      <w:r>
        <w:rPr>
          <w:rFonts w:ascii="Georgia" w:eastAsia="Times New Roman" w:hAnsi="Georgia" w:cs="Calibri"/>
          <w:i/>
          <w:iCs/>
          <w:color w:val="333333"/>
          <w:sz w:val="20"/>
          <w:szCs w:val="20"/>
          <w:lang w:val="en"/>
        </w:rPr>
        <w:t>punitive</w:t>
      </w:r>
      <w:r>
        <w:rPr>
          <w:rFonts w:ascii="Georgia" w:eastAsia="Times New Roman" w:hAnsi="Georgia" w:cs="Calibri"/>
          <w:color w:val="333333"/>
          <w:sz w:val="20"/>
          <w:szCs w:val="20"/>
          <w:lang w:val="en"/>
        </w:rPr>
        <w:t> 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64"/>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deterrence needed for intentional torts (where punitive damages are awarded) rather than negligent torts?</w:t>
      </w:r>
    </w:p>
    <w:p w:rsidR="00A86150" w:rsidRDefault="00F714D4">
      <w:pPr>
        <w:numPr>
          <w:ilvl w:val="0"/>
          <w:numId w:val="164"/>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costs imposed on others without their consent problematic for a market economy? What if the law did not try to reimpose the victim’s costs onto the tortfeasor? What would a totally nonlitigious society be like?</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7.2 Intentional Torts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65"/>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intentional torts from other kinds of torts.</w:t>
      </w:r>
    </w:p>
    <w:p w:rsidR="00A86150" w:rsidRDefault="00F714D4">
      <w:pPr>
        <w:numPr>
          <w:ilvl w:val="0"/>
          <w:numId w:val="165"/>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three examples of an intentional tort—one that causes injury to a person, one that causes injury to property, and one that causes injury to a reputation.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analysis of most intentional torts is straightforward and parallels the substantive crimes already discussed in </w:t>
      </w:r>
      <w:r>
        <w:rPr>
          <w:rFonts w:ascii="Georgia" w:eastAsia="Times New Roman" w:hAnsi="Georgia" w:cs="Calibri"/>
          <w:color w:val="2689C6"/>
          <w:sz w:val="20"/>
          <w:szCs w:val="20"/>
          <w:lang w:val="en"/>
        </w:rPr>
        <w:t>Chapter 6 "Criminal Law"</w:t>
      </w:r>
      <w:r>
        <w:rPr>
          <w:rFonts w:ascii="Georgia" w:eastAsia="Times New Roman" w:hAnsi="Georgia" w:cs="Calibri"/>
          <w:color w:val="333333"/>
          <w:sz w:val="20"/>
          <w:szCs w:val="20"/>
          <w:lang w:val="en"/>
        </w:rPr>
        <w:t>. When physical injury or damage to property is caused, there is rarely debate over liability if the plaintiff deliberately undertook to produce the harm. Certain other intentional torts are worth noting for their relevance to business.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Assault and Battery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an assault results in battery, but not always. In </w:t>
      </w:r>
      <w:r>
        <w:rPr>
          <w:rFonts w:ascii="Georgia" w:eastAsia="Times New Roman" w:hAnsi="Georgia" w:cs="Calibri"/>
          <w:i/>
          <w:iCs/>
          <w:color w:val="333333"/>
          <w:sz w:val="20"/>
          <w:szCs w:val="20"/>
          <w:lang w:val="en"/>
        </w:rPr>
        <w:t>Western Union Telegraph Co. v. Hill</w:t>
      </w:r>
      <w:r>
        <w:rPr>
          <w:rFonts w:ascii="Georgia" w:eastAsia="Times New Roman" w:hAnsi="Georgia" w:cs="Calibri"/>
          <w:color w:val="333333"/>
          <w:sz w:val="20"/>
          <w:szCs w:val="20"/>
          <w:lang w:val="en"/>
        </w:rPr>
        <w:t>,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False Imprisonment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 </w:t>
      </w:r>
      <w:r>
        <w:rPr>
          <w:rFonts w:ascii="Georgia" w:eastAsia="Times New Roman" w:hAnsi="Georgia" w:cs="Calibri"/>
          <w:i/>
          <w:iCs/>
          <w:color w:val="333333"/>
          <w:sz w:val="20"/>
          <w:szCs w:val="20"/>
          <w:lang w:val="en"/>
        </w:rPr>
        <w:t>Lester v. Albers Super Markets, Inc</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 shows, the defendant must be shown to have restrained the plaintiff in order for damages to be allowed.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Infliction of Emotional Distress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 </w:t>
      </w:r>
      <w:r>
        <w:rPr>
          <w:rFonts w:ascii="Georgia" w:eastAsia="Times New Roman" w:hAnsi="Georgia" w:cs="Calibri"/>
          <w:i/>
          <w:iCs/>
          <w:color w:val="333333"/>
          <w:sz w:val="20"/>
          <w:szCs w:val="20"/>
          <w:lang w:val="en"/>
        </w:rPr>
        <w:t>Roche v. Stern</w:t>
      </w:r>
      <w:r>
        <w:rPr>
          <w:rFonts w:ascii="Georgia" w:eastAsia="Times New Roman" w:hAnsi="Georgia" w:cs="Calibri"/>
          <w:color w:val="333333"/>
          <w:sz w:val="20"/>
          <w:szCs w:val="20"/>
          <w:lang w:val="en"/>
        </w:rPr>
        <w:t> (New York), the famous cable television talk show host Howard Stern had tastelessly discussed the remains of Deborah Roche, a topless dancer and cable access television host.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Trespass and Nuisance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 </w:t>
      </w:r>
      <w:r>
        <w:rPr>
          <w:rFonts w:ascii="Georgia" w:eastAsia="Times New Roman" w:hAnsi="Georgia" w:cs="Calibri"/>
          <w:i/>
          <w:iCs/>
          <w:color w:val="333333"/>
          <w:sz w:val="20"/>
          <w:szCs w:val="20"/>
          <w:lang w:val="en"/>
        </w:rPr>
        <w:t>Katko v. Briney</w:t>
      </w:r>
      <w:r>
        <w:rPr>
          <w:rFonts w:ascii="Georgia" w:eastAsia="Times New Roman" w:hAnsi="Georgia" w:cs="Calibri"/>
          <w:color w:val="333333"/>
          <w:sz w:val="20"/>
          <w:szCs w:val="20"/>
          <w:lang w:val="en"/>
        </w:rPr>
        <w:t>, for example, the plaintiff was injured by a spring gun while trespassing on the defendant’s property.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Katko</w:t>
      </w:r>
      <w:r>
        <w:rPr>
          <w:rFonts w:ascii="Georgia" w:eastAsia="Times New Roman" w:hAnsi="Georgia" w:cs="Calibri"/>
          <w:color w:val="333333"/>
          <w:sz w:val="20"/>
          <w:szCs w:val="20"/>
          <w:lang w:val="en"/>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Interference with Contractual Relations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Tortious interference with a contract can be established by proving four elements:</w:t>
      </w:r>
    </w:p>
    <w:p w:rsidR="00A86150" w:rsidRDefault="00F714D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a contract between the plaintiff and a third party.</w:t>
      </w:r>
    </w:p>
    <w:p w:rsidR="00A86150" w:rsidRDefault="00F714D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knew of the contract.</w:t>
      </w:r>
    </w:p>
    <w:p w:rsidR="00A86150" w:rsidRDefault="00F714D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improperly induced the third party to breach the contract or made performance of the contract impossible.</w:t>
      </w:r>
    </w:p>
    <w:p w:rsidR="00A86150" w:rsidRDefault="00F714D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injury to the plaintiff.</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Malicious Prosecution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Defamation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(Second) of Torts defines a defamatory communication as one that “so tends to harm the reputation of another as to lower him in the estimation of the community or to deter third persons from associating or dealing with him.”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Absolute Privilege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Qualified Privilege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1964, the Supreme Court handed down its historic decision in </w:t>
      </w:r>
      <w:r>
        <w:rPr>
          <w:rFonts w:ascii="Georgia" w:eastAsia="Times New Roman" w:hAnsi="Georgia" w:cs="Calibri"/>
          <w:i/>
          <w:iCs/>
          <w:color w:val="333333"/>
          <w:sz w:val="20"/>
          <w:szCs w:val="20"/>
          <w:lang w:val="en"/>
        </w:rPr>
        <w:t>New York Times v. Sullivan</w:t>
      </w:r>
      <w:r>
        <w:rPr>
          <w:rFonts w:ascii="Georgia" w:eastAsia="Times New Roman" w:hAnsi="Georgia" w:cs="Calibri"/>
          <w:color w:val="333333"/>
          <w:sz w:val="20"/>
          <w:szCs w:val="20"/>
          <w:lang w:val="en"/>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subsequent cases, the court extended the constitutional doctrine further, applying it not merely to government officials but to public figures,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Invasion of Privacy</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Appropriation of Name or Likeness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Personal Space</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Public Disclosure of Embarassing Facts</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A86150" w:rsidRDefault="00F714D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False Light</w:t>
      </w:r>
    </w:p>
    <w:p w:rsidR="00A86150" w:rsidRDefault="00F714D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67"/>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two kinds of intentional torts that could result in damage to a business firm’s bottom line.</w:t>
      </w:r>
    </w:p>
    <w:p w:rsidR="00A86150" w:rsidRDefault="00F714D4">
      <w:pPr>
        <w:numPr>
          <w:ilvl w:val="0"/>
          <w:numId w:val="167"/>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two kinds of intentional torts that are based on protection of a person’s property.</w:t>
      </w:r>
    </w:p>
    <w:p w:rsidR="00A86150" w:rsidRDefault="00F714D4">
      <w:pPr>
        <w:numPr>
          <w:ilvl w:val="0"/>
          <w:numId w:val="167"/>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intentional torts more likely to result in a verdict not only for compensatory damages but also for punitive damages?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Roche v. Stern</w:t>
      </w:r>
      <w:r>
        <w:rPr>
          <w:rFonts w:ascii="Calibri" w:eastAsia="Times New Roman" w:hAnsi="Calibri" w:cs="Calibri"/>
          <w:color w:val="333333"/>
          <w:sz w:val="20"/>
          <w:szCs w:val="20"/>
        </w:rPr>
        <w:t>, 675 N.Y.S.2d 133 (1998).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Katko v. Briney</w:t>
      </w:r>
      <w:r>
        <w:rPr>
          <w:rFonts w:ascii="Calibri" w:eastAsia="Times New Roman" w:hAnsi="Calibri" w:cs="Calibri"/>
          <w:color w:val="333333"/>
          <w:sz w:val="20"/>
          <w:szCs w:val="20"/>
        </w:rPr>
        <w:t>, 183 N.W.2d 657 (Iowa 1971).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Torts, Section 559 (1965).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Times v. Sullivan</w:t>
      </w:r>
      <w:r>
        <w:rPr>
          <w:rFonts w:ascii="Calibri" w:eastAsia="Times New Roman" w:hAnsi="Calibri" w:cs="Calibri"/>
          <w:color w:val="333333"/>
          <w:sz w:val="20"/>
          <w:szCs w:val="20"/>
        </w:rPr>
        <w:t>, 376 US 254 (1964).</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7.3 Negligence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68"/>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duty of due care relates to negligence.</w:t>
      </w:r>
    </w:p>
    <w:p w:rsidR="00A86150" w:rsidRDefault="00F714D4">
      <w:pPr>
        <w:numPr>
          <w:ilvl w:val="0"/>
          <w:numId w:val="168"/>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actual and proximate cause.</w:t>
      </w:r>
    </w:p>
    <w:p w:rsidR="00A86150" w:rsidRDefault="00F714D4">
      <w:pPr>
        <w:numPr>
          <w:ilvl w:val="0"/>
          <w:numId w:val="168"/>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primary defenses to a claim of negligence.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Elements of Negligence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Determining negligence 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tort of negligence has four elements: (1) a duty of due care that the defendant had, (2) the breach of the duty of due care,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Standard of Care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to protect others against the risk of injury that foreseeably would ensue from unreasonably dangerous conduct.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Duty of Care and Its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Establishing a breach of the duty of due care where the defendant has violated a statute or municipal ordinance is eased considerably with the doctrine of negligence per se, a doctrine common to all US state courts. If a legislative body sets a minimum standard of care for particular kinds of acts to protect a 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Causation: Actual Cause and Proximate Cause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there are two kinds of causes that a plaintiff must prove: actual cause and proximate cause. Actual cause (causation in fact) 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 proximate cause: a cause that is not too remote or unforseeable.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the person who was injured was not one whom a reasonable person could have expected to be harmed. Such a situation was presented in one of the most famous US tort cases, </w:t>
      </w:r>
      <w:r>
        <w:rPr>
          <w:rFonts w:ascii="Georgia" w:eastAsia="Times New Roman" w:hAnsi="Georgia" w:cs="Calibri"/>
          <w:i/>
          <w:iCs/>
          <w:color w:val="333333"/>
          <w:sz w:val="20"/>
          <w:szCs w:val="20"/>
          <w:lang w:val="en"/>
        </w:rPr>
        <w:t>Palsgraf v. Long Island Railroad</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Problems of Proof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in a tort suit, as in any other, has the burden of proving his allegations.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 res ipsa loquitur,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cases, therefore, circumstantial evidence (evidence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Excuses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more excuses (defenses) than are listed here, but contributory negligence or comparative negligence, assumption of risk, and act of God are among the principal defenses that will completely or partially excuse the negligence of the defendant.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Contributory and Comparative Negligence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 contributory negligence 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 comparative negligence. Under the rule of comparative negligence, damages are apportioned according to the defendant’s degree of culpability. For example, if the plaintiff has sustained a $100,000 injury and is 20 percent responsible, the defendant will be liable for $80,000 in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Assumption of Risk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Risk of injury pervades the modern world, and plaintiffs should not win a lawsuit simply because they took a risk and lost. The law provides, therefore, that when a person knowingly takes a risk, he or she must suffer the consequences.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Act of God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Technically, the rule that no one is responsible for an “act of God,” or </w:t>
      </w:r>
      <w:r>
        <w:rPr>
          <w:rFonts w:ascii="Georgia" w:eastAsia="Times New Roman" w:hAnsi="Georgia" w:cs="Calibri"/>
          <w:i/>
          <w:iCs/>
          <w:color w:val="333333"/>
          <w:sz w:val="20"/>
          <w:szCs w:val="20"/>
          <w:lang w:val="en"/>
        </w:rPr>
        <w:t>force majeure</w:t>
      </w:r>
      <w:r>
        <w:rPr>
          <w:rFonts w:ascii="Georgia" w:eastAsia="Times New Roman" w:hAnsi="Georgia" w:cs="Calibri"/>
          <w:color w:val="333333"/>
          <w:sz w:val="20"/>
          <w:szCs w:val="20"/>
          <w:lang w:val="en"/>
        </w:rPr>
        <w:t> 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Vicarious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w:t>
      </w:r>
      <w:r>
        <w:rPr>
          <w:rFonts w:ascii="Georgia" w:eastAsia="Times New Roman" w:hAnsi="Georgia" w:cs="Calibri"/>
          <w:i/>
          <w:iCs/>
          <w:color w:val="333333"/>
          <w:sz w:val="20"/>
          <w:szCs w:val="20"/>
          <w:lang w:val="en"/>
        </w:rPr>
        <w:t>respondeat superior</w:t>
      </w:r>
      <w:r>
        <w:rPr>
          <w:rFonts w:ascii="Georgia" w:eastAsia="Times New Roman" w:hAnsi="Georgia" w:cs="Calibri"/>
          <w:color w:val="333333"/>
          <w:sz w:val="20"/>
          <w:szCs w:val="20"/>
          <w:lang w:val="en"/>
        </w:rPr>
        <w:t>, meaning that the higher authority must respond to claims brought against one of its agents. Respondeat superior is not limited to the employment relationship but extends to a number of other agency relationships as well.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 </w:t>
      </w:r>
      <w:r>
        <w:rPr>
          <w:rFonts w:ascii="Georgia" w:eastAsia="Times New Roman" w:hAnsi="Georgia" w:cs="Calibri"/>
          <w:i/>
          <w:iCs/>
          <w:color w:val="333333"/>
          <w:sz w:val="20"/>
          <w:szCs w:val="20"/>
          <w:lang w:val="en"/>
        </w:rPr>
        <w:t>strictly liable</w:t>
      </w:r>
      <w:r>
        <w:rPr>
          <w:rFonts w:ascii="Georgia" w:eastAsia="Times New Roman" w:hAnsi="Georgia" w:cs="Calibri"/>
          <w:color w:val="333333"/>
          <w:sz w:val="20"/>
          <w:szCs w:val="20"/>
          <w:lang w:val="en"/>
        </w:rPr>
        <w:t>, and to this concept we now turn.</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A86150" w:rsidRDefault="00F714D4">
      <w:pPr>
        <w:shd w:val="clear" w:color="auto" w:fill="ECF9EA"/>
        <w:spacing w:before="15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6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comparative negligence and contributory negligence.</w:t>
      </w:r>
    </w:p>
    <w:p w:rsidR="00A86150" w:rsidRDefault="00F714D4">
      <w:pPr>
        <w:numPr>
          <w:ilvl w:val="0"/>
          <w:numId w:val="16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actual cause different from probable cause?</w:t>
      </w:r>
    </w:p>
    <w:p w:rsidR="00A86150" w:rsidRDefault="00F714D4">
      <w:pPr>
        <w:numPr>
          <w:ilvl w:val="0"/>
          <w:numId w:val="169"/>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an example of assumption of risk?</w:t>
      </w:r>
    </w:p>
    <w:p w:rsidR="00A86150" w:rsidRDefault="00F714D4">
      <w:pPr>
        <w:numPr>
          <w:ilvl w:val="0"/>
          <w:numId w:val="169"/>
        </w:numPr>
        <w:shd w:val="clear" w:color="auto" w:fill="E3EFF7"/>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res ipsa loquitur help a plaintiff establish a case of negligence?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Tarasoff v. Regents of University of California</w:t>
      </w:r>
      <w:r>
        <w:rPr>
          <w:rFonts w:ascii="Calibri" w:eastAsia="Times New Roman" w:hAnsi="Calibri" w:cs="Calibri"/>
          <w:color w:val="333333"/>
          <w:sz w:val="20"/>
          <w:szCs w:val="20"/>
        </w:rPr>
        <w:t>, 551 P.2d 334 (Calif. 1976).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Scott v. London &amp; St. Katherine Docks Co.</w:t>
      </w:r>
      <w:r>
        <w:rPr>
          <w:rFonts w:ascii="Calibri" w:eastAsia="Times New Roman" w:hAnsi="Calibri" w:cs="Calibri"/>
          <w:color w:val="333333"/>
          <w:sz w:val="20"/>
          <w:szCs w:val="20"/>
        </w:rPr>
        <w:t>, 3 H. &amp; C. 596, 159 Eng.Rep. 665 (Q.B. 1865).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Johnson v. Kosmos Portland Cement Co.</w:t>
      </w:r>
      <w:r>
        <w:rPr>
          <w:rFonts w:ascii="Calibri" w:eastAsia="Times New Roman" w:hAnsi="Calibri" w:cs="Calibri"/>
          <w:color w:val="333333"/>
          <w:sz w:val="20"/>
          <w:szCs w:val="20"/>
        </w:rPr>
        <w:t>, 64 F.2d 193 (6th Cir. 1933).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7.4 Strict Liability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70"/>
        </w:numPr>
        <w:shd w:val="clear" w:color="auto" w:fill="EAE9DC"/>
        <w:tabs>
          <w:tab w:val="clear" w:pos="720"/>
          <w:tab w:val="num" w:pos="10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strict liability torts differ from negligent torts.</w:t>
      </w:r>
    </w:p>
    <w:p w:rsidR="00A86150" w:rsidRDefault="00F714D4">
      <w:pPr>
        <w:numPr>
          <w:ilvl w:val="0"/>
          <w:numId w:val="170"/>
        </w:numPr>
        <w:shd w:val="clear" w:color="auto" w:fill="EAE9DC"/>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historical origins of strict liability under common law.</w:t>
      </w:r>
    </w:p>
    <w:p w:rsidR="00A86150" w:rsidRDefault="00F714D4">
      <w:pPr>
        <w:numPr>
          <w:ilvl w:val="0"/>
          <w:numId w:val="170"/>
        </w:numPr>
        <w:shd w:val="clear" w:color="auto" w:fill="EAE9DC"/>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 able to apply strict liability concepts to liability for defective products.</w:t>
      </w:r>
    </w:p>
    <w:p w:rsidR="00A86150" w:rsidRDefault="00F714D4">
      <w:pPr>
        <w:numPr>
          <w:ilvl w:val="0"/>
          <w:numId w:val="170"/>
        </w:numPr>
        <w:shd w:val="clear" w:color="auto" w:fill="EAE9DC"/>
        <w:spacing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strict liability from absolute liability, and understand the major defenses to a lawsuit in products-liability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Historical Basis of Strict Liability: Animals and Ultrahazardous Activities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this point, we have considered principles of liability that in some sense depend upon the “fault” of the tortfeasor. This fault is not synonymous with moral blame.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 </w:t>
      </w:r>
      <w:r>
        <w:rPr>
          <w:rFonts w:ascii="Georgia" w:eastAsia="Times New Roman" w:hAnsi="Georgia" w:cs="Calibri"/>
          <w:i/>
          <w:iCs/>
          <w:color w:val="333333"/>
          <w:sz w:val="20"/>
          <w:szCs w:val="20"/>
          <w:lang w:val="en"/>
        </w:rPr>
        <w:t>Klein v. Pyrodyne Corporation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Strict Liability for Products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of the importance of products liability, this text devotes an entire chapter to it (</w:t>
      </w:r>
      <w:r>
        <w:rPr>
          <w:rFonts w:ascii="Georgia" w:eastAsia="Times New Roman" w:hAnsi="Georgia" w:cs="Calibri"/>
          <w:color w:val="2689C6"/>
          <w:sz w:val="20"/>
          <w:szCs w:val="20"/>
          <w:lang w:val="en"/>
        </w:rPr>
        <w:t>Chapter 17 "Products Liability"</w:t>
      </w:r>
      <w:r>
        <w:rPr>
          <w:rFonts w:ascii="Georgia" w:eastAsia="Times New Roman" w:hAnsi="Georgia" w:cs="Calibri"/>
          <w:color w:val="333333"/>
          <w:sz w:val="20"/>
          <w:szCs w:val="20"/>
          <w:lang w:val="en"/>
        </w:rPr>
        <w: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 </w:t>
      </w:r>
      <w:r>
        <w:rPr>
          <w:rFonts w:ascii="Georgia" w:eastAsia="Times New Roman" w:hAnsi="Georgia" w:cs="Calibri"/>
          <w:i/>
          <w:iCs/>
          <w:color w:val="333333"/>
          <w:sz w:val="20"/>
          <w:szCs w:val="20"/>
          <w:lang w:val="en"/>
        </w:rPr>
        <w:t>Greenman v. Yuba Power Products,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Greenman</w:t>
      </w:r>
      <w:r>
        <w:rPr>
          <w:rFonts w:ascii="Georgia" w:eastAsia="Times New Roman" w:hAnsi="Georgia" w:cs="Calibri"/>
          <w:color w:val="333333"/>
          <w:sz w:val="20"/>
          <w:szCs w:val="20"/>
          <w:lang w:val="en"/>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 must be in a defective condition when the defendant sells it.</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must normally be engaged in the business of selling or otherwise distributing the product.</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 must be unreasonably dangerous to the user or consumer because of its defective condition.</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must incur physical harm to self or to property by using or consuming the product.</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defective condition must be the proximate cause of the injury or damage.</w:t>
      </w:r>
    </w:p>
    <w:p w:rsidR="00A86150" w:rsidRDefault="00F714D4">
      <w:pPr>
        <w:pStyle w:val="ListParagraph"/>
        <w:numPr>
          <w:ilvl w:val="0"/>
          <w:numId w:val="17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goods must not have been substantially changed from the time the product was sold to the time the injury was sustained.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402(a) also explicitly makes clear that a defendant can be held liable even though the defendant has exercised “all possible care.” Thus in a strict liability case, the plaintiff does not need to show “fault” (or negligence).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7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Someone says, “Strict liability means that you’re liable for whatever you make, no matter what the consumer does with your product. It’s a crazy system.” Respond to and refute this statement.</w:t>
      </w:r>
    </w:p>
    <w:p w:rsidR="00A86150" w:rsidRDefault="00F714D4">
      <w:pPr>
        <w:numPr>
          <w:ilvl w:val="0"/>
          <w:numId w:val="17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essential difference between strict liability torts and negligent torts? Should the US legal system even allow strict liability torts? What reasons seem persuasive to you?</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Pellman v. McDonald’s Corp.</w:t>
      </w:r>
      <w:r>
        <w:rPr>
          <w:rFonts w:ascii="Calibri" w:eastAsia="Times New Roman" w:hAnsi="Calibri" w:cs="Calibri"/>
          <w:color w:val="333333"/>
          <w:sz w:val="20"/>
          <w:szCs w:val="20"/>
        </w:rPr>
        <w:t>, 237 F.2d 512 (S.D.N.Y. 2003).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7.5 Cases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Torts: False Imprisonment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Lester v. Albers Super Markets,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94 Ohio App. 313, 114 N.E.2d 529 (Ohio 1952)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MATTHEWS, JUDGE.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cases are cited in support of the text.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Fenn v. Kroger Grocery &amp; Baking Co., Mo. Sup., 209 S.W. 885, 887, the court said: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 of the cases is epitomized in 22 Am.Jur. 368,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these reasons, the judgment is reversed and final judgment entered for the defendant-appellant.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7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begins by saying what false imprisonment is not. What is the legal definition of false imprisonment?</w:t>
      </w:r>
    </w:p>
    <w:p w:rsidR="00A86150" w:rsidRDefault="00F714D4">
      <w:pPr>
        <w:numPr>
          <w:ilvl w:val="0"/>
          <w:numId w:val="17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kinds of detention are permissible for a store to use in accosting those that may have been shoplifting?</w:t>
      </w:r>
    </w:p>
    <w:p w:rsidR="00A86150" w:rsidRDefault="00F714D4">
      <w:pPr>
        <w:numPr>
          <w:ilvl w:val="0"/>
          <w:numId w:val="17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Negligence: Duty of Due Care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Whitlock v. University of Denver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744 P.2d 54 (Supreme Court of Colorado1987)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panel of the court of appeals reversed…by a divided vote. </w:t>
      </w:r>
      <w:r>
        <w:rPr>
          <w:rFonts w:ascii="Georgia" w:eastAsia="Times New Roman" w:hAnsi="Georgia" w:cs="Calibri"/>
          <w:i/>
          <w:iCs/>
          <w:color w:val="333333"/>
          <w:sz w:val="20"/>
          <w:szCs w:val="20"/>
          <w:lang w:val="en"/>
        </w:rPr>
        <w:t>Whitlock v. University of Denver,</w:t>
      </w:r>
      <w:r>
        <w:rPr>
          <w:rFonts w:ascii="Georgia" w:eastAsia="Times New Roman" w:hAnsi="Georgia" w:cs="Calibri"/>
          <w:color w:val="333333"/>
          <w:sz w:val="20"/>
          <w:szCs w:val="20"/>
          <w:lang w:val="en"/>
        </w:rPr>
        <w:t> 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 </w:t>
      </w:r>
      <w:r>
        <w:rPr>
          <w:rFonts w:ascii="Georgia" w:eastAsia="Times New Roman" w:hAnsi="Georgia" w:cs="Calibri"/>
          <w:i/>
          <w:iCs/>
          <w:color w:val="333333"/>
          <w:sz w:val="20"/>
          <w:szCs w:val="20"/>
          <w:lang w:val="en"/>
        </w:rPr>
        <w:t>Smith v. City &amp; County of Denver,</w:t>
      </w:r>
      <w:r>
        <w:rPr>
          <w:rFonts w:ascii="Georgia" w:eastAsia="Times New Roman" w:hAnsi="Georgia" w:cs="Calibri"/>
          <w:color w:val="333333"/>
          <w:sz w:val="20"/>
          <w:szCs w:val="20"/>
          <w:lang w:val="en"/>
        </w:rPr>
        <w:t> 726 P.2d 1125 (Colo. 1986), we set forth several factors to be considered in determining the existence of duty in a particular case: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court’s conclusion that a duty does or does not exist is “an expression of the sum total of those considerations of policy which lead the law to say that the plaintiff is [or is not] entitled to protection.”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The</w:t>
      </w:r>
      <w:r>
        <w:rPr>
          <w:rFonts w:ascii="Georgia" w:eastAsia="Times New Roman" w:hAnsi="Georgia" w:cs="Calibri"/>
          <w:i/>
          <w:iCs/>
          <w:color w:val="333333"/>
          <w:sz w:val="20"/>
          <w:szCs w:val="20"/>
          <w:lang w:val="en"/>
        </w:rPr>
        <w:t>Restatement (Second) of Torts</w:t>
      </w:r>
      <w:r>
        <w:rPr>
          <w:rFonts w:ascii="Georgia" w:eastAsia="Times New Roman" w:hAnsi="Georgia" w:cs="Calibri"/>
          <w:color w:val="333333"/>
          <w:sz w:val="20"/>
          <w:szCs w:val="20"/>
          <w:lang w:val="en"/>
        </w:rPr>
        <w:t> § 314 (1965) summarizes the law on this point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 that an actor realizes or should realize that action on his part is necessary for another’s aid or protection does not of itself impose upon him a duty to take such 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Imposition of a duty in all such cases would simply not meet the test of fairness under contemporary standards.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 </w:t>
      </w:r>
      <w:r>
        <w:rPr>
          <w:rFonts w:ascii="Georgia" w:eastAsia="Times New Roman" w:hAnsi="Georgia" w:cs="Calibri"/>
          <w:i/>
          <w:iCs/>
          <w:color w:val="333333"/>
          <w:sz w:val="20"/>
          <w:szCs w:val="20"/>
          <w:lang w:val="en"/>
        </w:rPr>
        <w:t>See Restatement (Second) of Torts</w:t>
      </w:r>
      <w:r>
        <w:rPr>
          <w:rFonts w:ascii="Georgia" w:eastAsia="Times New Roman" w:hAnsi="Georgia" w:cs="Calibri"/>
          <w:color w:val="333333"/>
          <w:sz w:val="20"/>
          <w:szCs w:val="20"/>
          <w:lang w:val="en"/>
        </w:rPr>
        <w:t> § 314 A (1965); 3 Harper and James, § 18.6, at 722–23. The authors of the </w:t>
      </w:r>
      <w:r>
        <w:rPr>
          <w:rFonts w:ascii="Georgia" w:eastAsia="Times New Roman" w:hAnsi="Georgia" w:cs="Calibri"/>
          <w:i/>
          <w:iCs/>
          <w:color w:val="333333"/>
          <w:sz w:val="20"/>
          <w:szCs w:val="20"/>
          <w:lang w:val="en"/>
        </w:rPr>
        <w:t>Restatement (Second) of Torts</w:t>
      </w:r>
      <w:r>
        <w:rPr>
          <w:rFonts w:ascii="Georgia" w:eastAsia="Times New Roman" w:hAnsi="Georgia" w:cs="Calibri"/>
          <w:color w:val="333333"/>
          <w:sz w:val="20"/>
          <w:szCs w:val="20"/>
          <w:lang w:val="en"/>
        </w:rPr>
        <w:t> § 314 A, comment b (1965), state that “the law appears…to be working slowly toward a recognition of the duty to aid or protect in any relation of dependence or of mutual dependence.”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 </w:t>
      </w:r>
      <w:r>
        <w:rPr>
          <w:rFonts w:ascii="Georgia" w:eastAsia="Times New Roman" w:hAnsi="Georgia" w:cs="Calibri"/>
          <w:i/>
          <w:iCs/>
          <w:color w:val="333333"/>
          <w:sz w:val="20"/>
          <w:szCs w:val="20"/>
          <w:lang w:val="en"/>
        </w:rPr>
        <w:t>Bradshaw,</w:t>
      </w:r>
      <w:r>
        <w:rPr>
          <w:rFonts w:ascii="Georgia" w:eastAsia="Times New Roman" w:hAnsi="Georgia" w:cs="Calibri"/>
          <w:color w:val="333333"/>
          <w:sz w:val="20"/>
          <w:szCs w:val="20"/>
          <w:lang w:val="en"/>
        </w:rPr>
        <w:t> 612 F.2d at 139. However, in modern times there has evolved a gradual reapportionment of responsibilities from the universities to the students, and a corresponding departure from the in loco parentis relationship.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139–40. Today, colleges and universities are regarded as educational institutions rather than custodial ones. </w:t>
      </w:r>
      <w:r>
        <w:rPr>
          <w:rFonts w:ascii="Georgia" w:eastAsia="Times New Roman" w:hAnsi="Georgia" w:cs="Calibri"/>
          <w:i/>
          <w:iCs/>
          <w:color w:val="333333"/>
          <w:sz w:val="20"/>
          <w:szCs w:val="20"/>
          <w:lang w:val="en"/>
        </w:rPr>
        <w:t>Beach,</w:t>
      </w:r>
      <w:r>
        <w:rPr>
          <w:rFonts w:ascii="Georgia" w:eastAsia="Times New Roman" w:hAnsi="Georgia" w:cs="Calibri"/>
          <w:color w:val="333333"/>
          <w:sz w:val="20"/>
          <w:szCs w:val="20"/>
          <w:lang w:val="en"/>
        </w:rPr>
        <w:t> 726 P.2d at 419 (contrasting colleges and universities with elementary and high schools).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 </w:t>
      </w:r>
      <w:r>
        <w:rPr>
          <w:rFonts w:ascii="Georgia" w:eastAsia="Times New Roman" w:hAnsi="Georgia" w:cs="Calibri"/>
          <w:i/>
          <w:iCs/>
          <w:color w:val="333333"/>
          <w:sz w:val="20"/>
          <w:szCs w:val="20"/>
          <w:lang w:val="en"/>
        </w:rPr>
        <w:t>Beach,</w:t>
      </w:r>
      <w:r>
        <w:rPr>
          <w:rFonts w:ascii="Georgia" w:eastAsia="Times New Roman" w:hAnsi="Georgia" w:cs="Calibri"/>
          <w:color w:val="333333"/>
          <w:sz w:val="20"/>
          <w:szCs w:val="20"/>
          <w:lang w:val="en"/>
        </w:rPr>
        <w:t> 726 P.2d at 419.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record, however, also establishes through Whitlock’s own testimony that he was aware of the risk of an accident and injury of the very nature that he experienced.…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Fonts w:ascii="Georgia" w:eastAsia="Times New Roman" w:hAnsi="Georgia" w:cs="Calibri"/>
          <w:i/>
          <w:iCs/>
          <w:color w:val="333333"/>
          <w:sz w:val="20"/>
          <w:szCs w:val="20"/>
          <w:lang w:val="en"/>
        </w:rPr>
        <w:t>under control of the tenant.</w:t>
      </w:r>
      <w:r>
        <w:rPr>
          <w:rFonts w:ascii="Georgia" w:eastAsia="Times New Roman" w:hAnsi="Georgia" w:cs="Calibri"/>
          <w:color w:val="333333"/>
          <w:sz w:val="20"/>
          <w:szCs w:val="20"/>
          <w:lang w:val="en"/>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reverse the judgment of the court of appeals and return this case to that court with directions to remand it to the trial court for dismissal of Whitlock’s complaint against the University.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are comparative negligence numbers calculated by the trial court? How can the jury say that the university is 72 percent negligent and that Whitlock is 28 percent negligent?</w:t>
      </w:r>
    </w:p>
    <w:p w:rsidR="00A86150" w:rsidRDefault="00F714D4">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this not an assumption of risk case?</w:t>
      </w:r>
    </w:p>
    <w:p w:rsidR="00A86150" w:rsidRDefault="00F714D4">
      <w:pPr>
        <w:numPr>
          <w:ilvl w:val="0"/>
          <w:numId w:val="17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there any evidence that Whitlock was contributorily negligent? If not, why would the court engage in comparative negligence calculations?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Negligence: Proximate Cause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Palsgraf v. Long Island R.R.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248 N.Y. 339,162 N.E. 99 (N.Y. 1928)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CARDOZO, Chief Judge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different conclusion will involve us, and swiftly too, in a maze of contradictions. A guard stumbles over a package which has been left upon a platform.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Appellate Division and that of the Trial Term should be reversed, and the complaint dismissed, with costs in all courts.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7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there actual cause in this case? How can you tell?</w:t>
      </w:r>
    </w:p>
    <w:p w:rsidR="00A86150" w:rsidRDefault="00F714D4">
      <w:pPr>
        <w:numPr>
          <w:ilvl w:val="0"/>
          <w:numId w:val="17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should Mrs. Palsgraf (or her insurance company) be made to pay for injuries that were caused by the negligence of the Long Island Rail Road?</w:t>
      </w:r>
    </w:p>
    <w:p w:rsidR="00A86150" w:rsidRDefault="00F714D4">
      <w:pPr>
        <w:numPr>
          <w:ilvl w:val="0"/>
          <w:numId w:val="17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this accident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foreseeable?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Klein v. Pyrodyne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Klein v. Pyrodyne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810 P.2d 917 (Supreme Court of Washington 1991)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Washington Supreme Court held that the public display of fireworks is an abnormally dangerous activity that warrants the imposition of strict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certain activities be deemed ultrahazardous or abnormally dangerous so that strict liability is imposed?</w:t>
      </w:r>
    </w:p>
    <w:p w:rsidR="00A86150" w:rsidRDefault="00F714D4">
      <w:pPr>
        <w:numPr>
          <w:ilvl w:val="0"/>
          <w:numId w:val="1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activities are known to be abnormally dangerous, did Klein assume the risk?</w:t>
      </w:r>
    </w:p>
    <w:p w:rsidR="00A86150" w:rsidRDefault="00F714D4">
      <w:pPr>
        <w:numPr>
          <w:ilvl w:val="0"/>
          <w:numId w:val="17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the fireworks were negligently manufactured in China. Should Klein’s only remedy be against the Chinese company, as Pyrodyne argues? Why or why not?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7.6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torts of particular importance to the business community are wrongful death and personal injury caused by products or acts of employees, misrepresentation, defamation, and interference with contractual relations.</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7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in objectives between tort law and criminal law?</w:t>
      </w:r>
    </w:p>
    <w:p w:rsidR="00A86150" w:rsidRDefault="00F714D4">
      <w:pPr>
        <w:numPr>
          <w:ilvl w:val="0"/>
          <w:numId w:val="17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A86150" w:rsidRDefault="00F714D4">
      <w:pPr>
        <w:numPr>
          <w:ilvl w:val="0"/>
          <w:numId w:val="17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A86150" w:rsidRDefault="00F714D4">
      <w:pPr>
        <w:numPr>
          <w:ilvl w:val="0"/>
          <w:numId w:val="17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in the </w:t>
      </w:r>
      <w:r>
        <w:rPr>
          <w:rFonts w:ascii="Calibri" w:eastAsia="Times New Roman" w:hAnsi="Calibri" w:cs="Calibri"/>
          <w:i/>
          <w:iCs/>
          <w:color w:val="333333"/>
          <w:sz w:val="20"/>
          <w:szCs w:val="20"/>
          <w:lang w:val="en"/>
        </w:rPr>
        <w:t>Katko v. Briney</w:t>
      </w:r>
      <w:r>
        <w:rPr>
          <w:rFonts w:ascii="Calibri" w:eastAsia="Times New Roman" w:hAnsi="Calibri" w:cs="Calibri"/>
          <w:color w:val="333333"/>
          <w:sz w:val="20"/>
          <w:szCs w:val="20"/>
          <w:lang w:val="en"/>
        </w:rPr>
        <w:t> case (</w:t>
      </w:r>
      <w:r>
        <w:rPr>
          <w:rFonts w:ascii="Calibri" w:eastAsia="Times New Roman" w:hAnsi="Calibri" w:cs="Calibri"/>
          <w:color w:val="2689C6"/>
          <w:sz w:val="20"/>
          <w:szCs w:val="20"/>
          <w:lang w:val="en"/>
        </w:rPr>
        <w:t>Section 7.2 "Intentional Torts"</w:t>
      </w:r>
      <w:r>
        <w:rPr>
          <w:rFonts w:ascii="Calibri" w:eastAsia="Times New Roman" w:hAnsi="Calibri" w:cs="Calibri"/>
          <w:color w:val="333333"/>
          <w:sz w:val="20"/>
          <w:szCs w:val="20"/>
          <w:lang w:val="en"/>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A86150" w:rsidRDefault="00F714D4">
      <w:pPr>
        <w:numPr>
          <w:ilvl w:val="0"/>
          <w:numId w:val="17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A86150" w:rsidRDefault="00F714D4">
      <w:pPr>
        <w:shd w:val="clear" w:color="auto" w:fill="08629A"/>
        <w:spacing w:after="15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178"/>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Catarina falsely accuses Jeff of stealing from their employer. The statement is defamatory only if</w:t>
      </w:r>
    </w:p>
    <w:p w:rsidR="00A86150" w:rsidRDefault="00F714D4">
      <w:pPr>
        <w:numPr>
          <w:ilvl w:val="1"/>
          <w:numId w:val="179"/>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third party hears it</w:t>
      </w:r>
    </w:p>
    <w:p w:rsidR="00A86150" w:rsidRDefault="00F714D4">
      <w:pPr>
        <w:numPr>
          <w:ilvl w:val="1"/>
          <w:numId w:val="179"/>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Nick suffers severe emotional distress as a result</w:t>
      </w:r>
    </w:p>
    <w:p w:rsidR="00A86150" w:rsidRDefault="00F714D4">
      <w:pPr>
        <w:numPr>
          <w:ilvl w:val="1"/>
          <w:numId w:val="179"/>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statement is the actual and proximate cause of his distress</w:t>
      </w:r>
    </w:p>
    <w:p w:rsidR="00A86150" w:rsidRDefault="00F714D4">
      <w:pPr>
        <w:numPr>
          <w:ilvl w:val="1"/>
          <w:numId w:val="179"/>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statement is widely circulated in the local media and on Twitter</w:t>
      </w:r>
    </w:p>
    <w:p w:rsidR="00A86150" w:rsidRDefault="00F714D4">
      <w:pPr>
        <w:numPr>
          <w:ilvl w:val="0"/>
          <w:numId w:val="179"/>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Garrett files a suit against Colossal Media Corporation for defamation. Colossal has said that Garrett is a “sleazy, corrupt public official” (and provided some evidence to back the claim). To win his case, Garrett will have to show that Colossal acted with</w:t>
      </w:r>
    </w:p>
    <w:p w:rsidR="00A86150" w:rsidRDefault="00F714D4">
      <w:pPr>
        <w:numPr>
          <w:ilvl w:val="0"/>
          <w:numId w:val="180"/>
        </w:numPr>
        <w:shd w:val="clear" w:color="auto" w:fill="E3EFF7"/>
        <w:tabs>
          <w:tab w:val="clear" w:pos="720"/>
          <w:tab w:val="num" w:pos="810"/>
        </w:tabs>
        <w:spacing w:after="0" w:line="366" w:lineRule="atLeast"/>
        <w:ind w:left="9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malice</w:t>
      </w:r>
    </w:p>
    <w:p w:rsidR="00A86150" w:rsidRDefault="00F714D4">
      <w:pPr>
        <w:numPr>
          <w:ilvl w:val="0"/>
          <w:numId w:val="180"/>
        </w:numPr>
        <w:shd w:val="clear" w:color="auto" w:fill="E3EFF7"/>
        <w:tabs>
          <w:tab w:val="clear" w:pos="720"/>
          <w:tab w:val="num" w:pos="810"/>
        </w:tabs>
        <w:spacing w:after="0" w:line="366" w:lineRule="atLeast"/>
        <w:ind w:left="9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ill will</w:t>
      </w:r>
    </w:p>
    <w:p w:rsidR="00A86150" w:rsidRDefault="00F714D4">
      <w:pPr>
        <w:numPr>
          <w:ilvl w:val="0"/>
          <w:numId w:val="180"/>
        </w:numPr>
        <w:shd w:val="clear" w:color="auto" w:fill="E3EFF7"/>
        <w:tabs>
          <w:tab w:val="clear" w:pos="720"/>
          <w:tab w:val="num" w:pos="810"/>
        </w:tabs>
        <w:spacing w:after="0" w:line="366" w:lineRule="atLeast"/>
        <w:ind w:left="9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malice aforethought</w:t>
      </w:r>
    </w:p>
    <w:p w:rsidR="00A86150" w:rsidRDefault="00F714D4">
      <w:pPr>
        <w:numPr>
          <w:ilvl w:val="0"/>
          <w:numId w:val="180"/>
        </w:numPr>
        <w:shd w:val="clear" w:color="auto" w:fill="E3EFF7"/>
        <w:tabs>
          <w:tab w:val="clear" w:pos="720"/>
          <w:tab w:val="num" w:pos="810"/>
        </w:tabs>
        <w:spacing w:after="0" w:line="366" w:lineRule="atLeast"/>
        <w:ind w:left="9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actual malice</w:t>
      </w:r>
    </w:p>
    <w:p w:rsidR="00A86150" w:rsidRDefault="00F714D4">
      <w:pPr>
        <w:numPr>
          <w:ilvl w:val="0"/>
          <w:numId w:val="181"/>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A86150" w:rsidRDefault="00F714D4">
      <w:pPr>
        <w:numPr>
          <w:ilvl w:val="0"/>
          <w:numId w:val="182"/>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trespass on the case</w:t>
      </w:r>
    </w:p>
    <w:p w:rsidR="00A86150" w:rsidRDefault="00F714D4">
      <w:pPr>
        <w:numPr>
          <w:ilvl w:val="0"/>
          <w:numId w:val="182"/>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nuisance</w:t>
      </w:r>
    </w:p>
    <w:p w:rsidR="00A86150" w:rsidRDefault="00F714D4">
      <w:pPr>
        <w:numPr>
          <w:ilvl w:val="0"/>
          <w:numId w:val="182"/>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product disparagement</w:t>
      </w:r>
    </w:p>
    <w:p w:rsidR="00A86150" w:rsidRDefault="00F714D4">
      <w:pPr>
        <w:numPr>
          <w:ilvl w:val="0"/>
          <w:numId w:val="182"/>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intentional infliction of emotional distress</w:t>
      </w:r>
    </w:p>
    <w:p w:rsidR="00A86150" w:rsidRDefault="00F714D4">
      <w:pPr>
        <w:numPr>
          <w:ilvl w:val="0"/>
          <w:numId w:val="183"/>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Wilfred Phelps, age 65, is driving his Nissan Altima down Main Street when he suffers the first seizure of his life. He loses control of his vehicle and runs into three people on the sidewalk. Which statement is true?</w:t>
      </w:r>
    </w:p>
    <w:p w:rsidR="00A86150" w:rsidRDefault="00F714D4">
      <w:pPr>
        <w:numPr>
          <w:ilvl w:val="0"/>
          <w:numId w:val="18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for an intentional tort.</w:t>
      </w:r>
    </w:p>
    <w:p w:rsidR="00A86150" w:rsidRDefault="00F714D4">
      <w:pPr>
        <w:numPr>
          <w:ilvl w:val="0"/>
          <w:numId w:val="18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for a negligent tort.</w:t>
      </w:r>
    </w:p>
    <w:p w:rsidR="00A86150" w:rsidRDefault="00F714D4">
      <w:pPr>
        <w:numPr>
          <w:ilvl w:val="0"/>
          <w:numId w:val="18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not liable for a negligent tort.</w:t>
      </w:r>
    </w:p>
    <w:p w:rsidR="00A86150" w:rsidRDefault="00F714D4">
      <w:pPr>
        <w:numPr>
          <w:ilvl w:val="0"/>
          <w:numId w:val="184"/>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under strict liability, because driving a car is abnormally dangerous.</w:t>
      </w:r>
    </w:p>
    <w:p w:rsidR="00A86150" w:rsidRDefault="00F714D4">
      <w:pPr>
        <w:numPr>
          <w:ilvl w:val="0"/>
          <w:numId w:val="185"/>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Jonathan carelessly bumps into Amanda, knocking her to the ground. He has committed the tort of negligence</w:t>
      </w:r>
    </w:p>
    <w:p w:rsidR="00A86150" w:rsidRDefault="00F714D4">
      <w:pPr>
        <w:numPr>
          <w:ilvl w:val="0"/>
          <w:numId w:val="18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if Amanda is injured</w:t>
      </w:r>
    </w:p>
    <w:p w:rsidR="00A86150" w:rsidRDefault="00F714D4">
      <w:pPr>
        <w:numPr>
          <w:ilvl w:val="0"/>
          <w:numId w:val="18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if Amanda is not injured</w:t>
      </w:r>
    </w:p>
    <w:p w:rsidR="00A86150" w:rsidRDefault="00F714D4">
      <w:pPr>
        <w:numPr>
          <w:ilvl w:val="0"/>
          <w:numId w:val="186"/>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whether or not Amanda is injured</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1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1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1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1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18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8</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Introduction to Contract Law</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shd w:val="clear" w:color="auto" w:fill="EAE9DC"/>
        <w:spacing w:after="0" w:line="439" w:lineRule="atLeast"/>
        <w:ind w:left="27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A86150" w:rsidRDefault="00F714D4">
      <w:pPr>
        <w:numPr>
          <w:ilvl w:val="0"/>
          <w:numId w:val="188"/>
        </w:numPr>
        <w:shd w:val="clear" w:color="auto" w:fill="EAE9DC"/>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and how contract law has developed</w:t>
      </w:r>
    </w:p>
    <w:p w:rsidR="00A86150" w:rsidRDefault="00F714D4">
      <w:pPr>
        <w:numPr>
          <w:ilvl w:val="0"/>
          <w:numId w:val="188"/>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 contract is</w:t>
      </w:r>
    </w:p>
    <w:p w:rsidR="00A86150" w:rsidRDefault="00F714D4">
      <w:pPr>
        <w:numPr>
          <w:ilvl w:val="0"/>
          <w:numId w:val="188"/>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topics will be discussed in the contracts chapter of this book</w:t>
      </w:r>
    </w:p>
    <w:p w:rsidR="00A86150" w:rsidRDefault="00F714D4">
      <w:pPr>
        <w:numPr>
          <w:ilvl w:val="0"/>
          <w:numId w:val="188"/>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the sources of contract law are</w:t>
      </w:r>
    </w:p>
    <w:p w:rsidR="00A86150" w:rsidRDefault="00F714D4">
      <w:pPr>
        <w:numPr>
          <w:ilvl w:val="0"/>
          <w:numId w:val="188"/>
        </w:numPr>
        <w:shd w:val="clear" w:color="auto" w:fill="EAE9DC"/>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contracts are classified (basic taxonomy)</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8.1 General Perspectives on Contracts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89"/>
        </w:numPr>
        <w:shd w:val="clear" w:color="auto" w:fill="EAE9DC"/>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contract law’s cultural roots: how it has evolved as capitalism has evolved.</w:t>
      </w:r>
    </w:p>
    <w:p w:rsidR="00A86150" w:rsidRDefault="00F714D4">
      <w:pPr>
        <w:numPr>
          <w:ilvl w:val="0"/>
          <w:numId w:val="189"/>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contracts serve essential economic purposes.</w:t>
      </w:r>
    </w:p>
    <w:p w:rsidR="00A86150" w:rsidRDefault="00F714D4">
      <w:pPr>
        <w:numPr>
          <w:ilvl w:val="0"/>
          <w:numId w:val="189"/>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contract.</w:t>
      </w:r>
    </w:p>
    <w:p w:rsidR="00A86150" w:rsidRDefault="00F714D4">
      <w:pPr>
        <w:numPr>
          <w:ilvl w:val="0"/>
          <w:numId w:val="189"/>
        </w:numPr>
        <w:shd w:val="clear" w:color="auto" w:fill="EAE9DC"/>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issues in contract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Role of Contracts in Modern Society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is probably the most familiar legal concept in our society because it is so central to the essence of our political, economic, and social life. In common parlance, contract is used interchangeably with </w:t>
      </w:r>
      <w:r>
        <w:rPr>
          <w:rFonts w:ascii="Georgia" w:eastAsia="Times New Roman" w:hAnsi="Georgia" w:cs="Calibri"/>
          <w:i/>
          <w:iCs/>
          <w:color w:val="333333"/>
          <w:sz w:val="20"/>
          <w:szCs w:val="20"/>
          <w:lang w:val="en"/>
        </w:rPr>
        <w:t>agreement</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bargain</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undertaking</w:t>
      </w:r>
      <w:r>
        <w:rPr>
          <w:rFonts w:ascii="Georgia" w:eastAsia="Times New Roman" w:hAnsi="Georgia" w:cs="Calibri"/>
          <w:color w:val="333333"/>
          <w:sz w:val="20"/>
          <w:szCs w:val="20"/>
          <w:lang w:val="en"/>
        </w:rPr>
        <w:t>, or </w:t>
      </w:r>
      <w:r>
        <w:rPr>
          <w:rFonts w:ascii="Georgia" w:eastAsia="Times New Roman" w:hAnsi="Georgia" w:cs="Calibri"/>
          <w:i/>
          <w:iCs/>
          <w:color w:val="333333"/>
          <w:sz w:val="20"/>
          <w:szCs w:val="20"/>
          <w:lang w:val="en"/>
        </w:rPr>
        <w:t>deal</w:t>
      </w:r>
      <w:r>
        <w:rPr>
          <w:rFonts w:ascii="Georgia" w:eastAsia="Times New Roman" w:hAnsi="Georgia" w:cs="Calibri"/>
          <w:color w:val="333333"/>
          <w:sz w:val="20"/>
          <w:szCs w:val="20"/>
          <w:lang w:val="en"/>
        </w:rPr>
        <w:t>. Whatever the word, the concept it embodies is our notion of freedom to pursue our own lives together with others. Contract is central because it is the means by which a free society orders what would otherwise be a jostling, frenetic anarchy.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commonplace is the concept of contract—and our freedom to make contracts with each other—that it is difficult to imagine a time when contracts were rare, when people’s everyday associations with one another were not freely determined. Yet in historical terms, it was not so long ago that contracts were rare, entered into if at all by very few: that affairs should be ordered based on mutual assent was mostly unknown. In primitive societies and in feudal Europe, relationships among people were largely fixed; traditions spelled out duties that each person owed to family, tribe, or manor. People were born into an ascribed position—a status (not unlike the caste system still existing in India)—and social mobility was limited. Sir Henry Maine, a nineteenth-century British historian, wrote that “the movement of the progressive societies has…been a movement from status to contract.”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movement was not accidental—it developed with the emerging industrial order. From the fifteenth to the nineteenth century, England evolved into a booming mercantile economy, with flourishing trade, growing cities, an expanding monetary system, the commercialization of agriculture, and mushrooming manufacturing. With this evolution, contract law was created of necessity.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law did not develop according to a conscious plan, however. It was a response to changing conditions, and the judges who created it frequently resisted, preferring the imagined quieter pastoral life of their forefathers. Not until the nineteenth century, in both the United States and England, did a full-fledged law of contracts arise together with, and help create, modern capitalism.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Modern capitalism, indeed, would not be possible without contract law. So it is that in planned economies, like those of the former Soviet Union and precapitalistic China, the contract did not determine the nature of an economic transaction. That transaction was first set forth by the state’s planning authorities; only thereafter were the predetermined provisions set down in a written contract. Modern capitalism has demanded new contract regimes in Russia and China; the latter adopted its Revised Contract Law in 1999.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law may be viewed economically as well as culturally. In </w:t>
      </w:r>
      <w:r>
        <w:rPr>
          <w:rFonts w:ascii="Georgia" w:eastAsia="Times New Roman" w:hAnsi="Georgia" w:cs="Calibri"/>
          <w:i/>
          <w:iCs/>
          <w:color w:val="333333"/>
          <w:sz w:val="20"/>
          <w:szCs w:val="20"/>
          <w:lang w:val="en"/>
        </w:rPr>
        <w:t>An Economic Analysis of Law</w:t>
      </w:r>
      <w:r>
        <w:rPr>
          <w:rFonts w:ascii="Georgia" w:eastAsia="Times New Roman" w:hAnsi="Georgia" w:cs="Calibri"/>
          <w:color w:val="333333"/>
          <w:sz w:val="20"/>
          <w:szCs w:val="20"/>
          <w:lang w:val="en"/>
        </w:rPr>
        <w:t>, Judge Richard A. Posner (a former University of Chicago law professor) suggests that contract law performs three significant economic functions. First, it helps maintain incentives for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troubles that have arisen in the past, thus making it easier to plan the transactions more intelligently and avoid potential pitfalls.</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Definition of </w:t>
      </w:r>
      <w:r>
        <w:rPr>
          <w:rFonts w:ascii="Calibri" w:eastAsia="Times New Roman" w:hAnsi="Calibri" w:cs="Calibri"/>
          <w:b/>
          <w:bCs/>
          <w:i/>
          <w:iCs/>
          <w:color w:val="333333"/>
          <w:sz w:val="27"/>
          <w:szCs w:val="27"/>
          <w:lang w:val="en"/>
        </w:rPr>
        <w:t>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usual in the law, the legal definition of contract is formalistic. The Restatement (Second) of Contracts (Section 1) says, “A contract is a promise or a set of promises for the breach of which the law gives a remedy, or the performance of which the law in some way recognizes as a duty.” Similarly, the Uniform Commercial Code says, “‘Contract’ means the total legal obligation which results from the parties’ agreement as affected by this Act and any other applicable rules of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As operational definitions, these two are circular; in effect, a contract is defined as an agreement that the law will hold the parties to.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simply, a contract is a legally enforceable promise. This implies that not every promise or agreement creates a binding contract; if every promise did, the simple definition set out in the preceding sentence would read, “A contract is a promise.” But—again—a contract is not simply a promise: it is a legally enforceable promise. The law takes into account the way in which contracts are made, by whom they are made, and for what purposes they are made. For example, in many states, a wager is unenforceable, even though both parties “shake” on the bet. We will explore these issues in the chapters to come.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 of the Contracts Chapter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contract law has many wrinkles and nuances, it consists of four principal inquiries, each of which will be taken up in subsequent chapters:</w:t>
      </w:r>
    </w:p>
    <w:p w:rsidR="00A86150" w:rsidRDefault="00F714D4">
      <w:pPr>
        <w:pStyle w:val="ListParagraph"/>
        <w:numPr>
          <w:ilvl w:val="0"/>
          <w:numId w:val="19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Did the parties create a valid contract? Four elements are necessary for a valid contract:</w:t>
      </w:r>
    </w:p>
    <w:p w:rsidR="00A86150" w:rsidRDefault="00F714D4">
      <w:pPr>
        <w:pStyle w:val="ListParagraph"/>
        <w:numPr>
          <w:ilvl w:val="1"/>
          <w:numId w:val="1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Mutual assent (i.e., offer and acceptance), </w:t>
      </w:r>
      <w:r>
        <w:rPr>
          <w:rFonts w:ascii="Georgia" w:eastAsia="Times New Roman" w:hAnsi="Georgia" w:cs="Calibri"/>
          <w:color w:val="2689C6"/>
          <w:sz w:val="20"/>
          <w:szCs w:val="20"/>
          <w:lang w:val="en"/>
        </w:rPr>
        <w:t>Chapter 9 "The Agreement"</w:t>
      </w:r>
    </w:p>
    <w:p w:rsidR="00A86150" w:rsidRDefault="00F714D4">
      <w:pPr>
        <w:pStyle w:val="ListParagraph"/>
        <w:numPr>
          <w:ilvl w:val="1"/>
          <w:numId w:val="1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 assent (no duress, undue influence, misrepresentation, mistake, or incapacity), </w:t>
      </w:r>
      <w:r>
        <w:rPr>
          <w:rFonts w:ascii="Georgia" w:eastAsia="Times New Roman" w:hAnsi="Georgia" w:cs="Calibri"/>
          <w:color w:val="2689C6"/>
          <w:sz w:val="20"/>
          <w:szCs w:val="20"/>
          <w:lang w:val="en"/>
        </w:rPr>
        <w:t>Chapter 10 "Real Assent"</w:t>
      </w:r>
    </w:p>
    <w:p w:rsidR="00A86150" w:rsidRDefault="00F714D4">
      <w:pPr>
        <w:pStyle w:val="ListParagraph"/>
        <w:numPr>
          <w:ilvl w:val="1"/>
          <w:numId w:val="1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Consideration, </w:t>
      </w:r>
      <w:r>
        <w:rPr>
          <w:rFonts w:ascii="Georgia" w:eastAsia="Times New Roman" w:hAnsi="Georgia" w:cs="Calibri"/>
          <w:color w:val="2689C6"/>
          <w:sz w:val="20"/>
          <w:szCs w:val="20"/>
          <w:lang w:val="en"/>
        </w:rPr>
        <w:t>Chapter 11 "Consideration"</w:t>
      </w:r>
    </w:p>
    <w:p w:rsidR="00A86150" w:rsidRDefault="00F714D4">
      <w:pPr>
        <w:pStyle w:val="ListParagraph"/>
        <w:numPr>
          <w:ilvl w:val="1"/>
          <w:numId w:val="1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Legality, </w:t>
      </w:r>
      <w:r>
        <w:rPr>
          <w:rFonts w:ascii="Georgia" w:eastAsia="Times New Roman" w:hAnsi="Georgia" w:cs="Calibri"/>
          <w:color w:val="2689C6"/>
          <w:sz w:val="20"/>
          <w:szCs w:val="20"/>
          <w:lang w:val="en"/>
        </w:rPr>
        <w:t>Chapter 12 "Legality"</w:t>
      </w:r>
    </w:p>
    <w:p w:rsidR="00A86150" w:rsidRDefault="00F714D4">
      <w:pPr>
        <w:pStyle w:val="ListParagraph"/>
        <w:numPr>
          <w:ilvl w:val="0"/>
          <w:numId w:val="19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does the contract mean, and is it in the proper form to carry out this meaning? Sometimes contracts need to be in writing (or evidenced by some writing), or they can’t be enforced. Sometimes it isn’t clear what the contract means, and a court has to figure that out. These problems are taken up in</w:t>
      </w:r>
      <w:r>
        <w:rPr>
          <w:rFonts w:ascii="Georgia" w:eastAsia="Times New Roman" w:hAnsi="Georgia" w:cs="Calibri"/>
          <w:color w:val="2689C6"/>
          <w:sz w:val="20"/>
          <w:szCs w:val="20"/>
          <w:lang w:val="en"/>
        </w:rPr>
        <w:t>Chapter 13 "Form and Meaning"</w:t>
      </w:r>
      <w:r>
        <w:rPr>
          <w:rFonts w:ascii="Georgia" w:eastAsia="Times New Roman" w:hAnsi="Georgia" w:cs="Calibri"/>
          <w:color w:val="333333"/>
          <w:sz w:val="20"/>
          <w:szCs w:val="20"/>
          <w:lang w:val="en"/>
        </w:rPr>
        <w:t>.</w:t>
      </w:r>
    </w:p>
    <w:p w:rsidR="00A86150" w:rsidRDefault="00F714D4">
      <w:pPr>
        <w:pStyle w:val="ListParagraph"/>
        <w:numPr>
          <w:ilvl w:val="0"/>
          <w:numId w:val="19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persons other than the contracting parties have rights or duties under the contract? Can the right to receive a benefit from the contract be assigned, and can the duties be delegated so that a new person is responsible? Can persons not a party to the contract sue to enforce its terms? These questions are addressed in </w:t>
      </w:r>
      <w:r>
        <w:rPr>
          <w:rFonts w:ascii="Georgia" w:eastAsia="Times New Roman" w:hAnsi="Georgia" w:cs="Calibri"/>
          <w:color w:val="2689C6"/>
          <w:sz w:val="20"/>
          <w:szCs w:val="20"/>
          <w:lang w:val="en"/>
        </w:rPr>
        <w:t>Chapter 14 "Third-Party Rights"</w:t>
      </w:r>
      <w:r>
        <w:rPr>
          <w:rFonts w:ascii="Georgia" w:eastAsia="Times New Roman" w:hAnsi="Georgia" w:cs="Calibri"/>
          <w:color w:val="333333"/>
          <w:sz w:val="20"/>
          <w:szCs w:val="20"/>
          <w:lang w:val="en"/>
        </w:rPr>
        <w:t>.</w:t>
      </w:r>
    </w:p>
    <w:p w:rsidR="00A86150" w:rsidRDefault="00F714D4">
      <w:pPr>
        <w:pStyle w:val="ListParagraph"/>
        <w:numPr>
          <w:ilvl w:val="0"/>
          <w:numId w:val="19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do contractual duties terminate, and what remedies are available if a party has breached the contract? These issues are taken up in </w:t>
      </w:r>
      <w:r>
        <w:rPr>
          <w:rFonts w:ascii="Georgia" w:eastAsia="Times New Roman" w:hAnsi="Georgia" w:cs="Calibri"/>
          <w:color w:val="2689C6"/>
          <w:sz w:val="20"/>
          <w:szCs w:val="20"/>
          <w:lang w:val="en"/>
        </w:rPr>
        <w:t>Chapter 15 "Discharge of Obligations"</w:t>
      </w:r>
      <w:r>
        <w:rPr>
          <w:rFonts w:ascii="Georgia" w:eastAsia="Times New Roman" w:hAnsi="Georgia" w:cs="Calibri"/>
          <w:color w:val="333333"/>
          <w:sz w:val="20"/>
          <w:szCs w:val="20"/>
          <w:lang w:val="en"/>
        </w:rPr>
        <w:t> and </w:t>
      </w:r>
      <w:r>
        <w:rPr>
          <w:rFonts w:ascii="Georgia" w:eastAsia="Times New Roman" w:hAnsi="Georgia" w:cs="Calibri"/>
          <w:color w:val="2689C6"/>
          <w:sz w:val="20"/>
          <w:szCs w:val="20"/>
          <w:lang w:val="en"/>
        </w:rPr>
        <w:t>Chapter 16 "Remedies"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Together, the answers to these four basic inquiries determine the rights and obligations of contracting parties.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law developed when the strictures of feudalism dissipated, when a person’s position in society came to be determined by personal choice (by mutual agreement) and not by status (by how a person was born). Capitalism and contract law have developed together, because having choices in society means that people decide and agree to do things with and to each other, and those agreements bind the parties; the agreements must be enforceable.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9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contract law necessary in a society where a person’s status is not predetermined by birth?</w:t>
      </w:r>
    </w:p>
    <w:p w:rsidR="00A86150" w:rsidRDefault="00F714D4">
      <w:pPr>
        <w:numPr>
          <w:ilvl w:val="0"/>
          <w:numId w:val="19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law serves some economic functions. What are they?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Sir Henry Maine, </w:t>
      </w:r>
      <w:r>
        <w:rPr>
          <w:rFonts w:ascii="Calibri" w:eastAsia="Times New Roman" w:hAnsi="Calibri" w:cs="Calibri"/>
          <w:i/>
          <w:iCs/>
          <w:color w:val="333333"/>
          <w:sz w:val="20"/>
          <w:szCs w:val="20"/>
        </w:rPr>
        <w:t>Ancient Law</w:t>
      </w:r>
      <w:r>
        <w:rPr>
          <w:rFonts w:ascii="Calibri" w:eastAsia="Times New Roman" w:hAnsi="Calibri" w:cs="Calibri"/>
          <w:color w:val="333333"/>
          <w:sz w:val="20"/>
          <w:szCs w:val="20"/>
        </w:rPr>
        <w:t> (1869), 180–82.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Richard A. Posner, </w:t>
      </w:r>
      <w:r>
        <w:rPr>
          <w:rFonts w:ascii="Calibri" w:eastAsia="Times New Roman" w:hAnsi="Calibri" w:cs="Calibri"/>
          <w:i/>
          <w:iCs/>
          <w:color w:val="333333"/>
          <w:sz w:val="20"/>
          <w:szCs w:val="20"/>
        </w:rPr>
        <w:t>Economic Analysis of Law</w:t>
      </w:r>
      <w:r>
        <w:rPr>
          <w:rFonts w:ascii="Calibri" w:eastAsia="Times New Roman" w:hAnsi="Calibri" w:cs="Calibri"/>
          <w:color w:val="333333"/>
          <w:sz w:val="20"/>
          <w:szCs w:val="20"/>
        </w:rPr>
        <w:t> (New York: Aspen, 1973).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1-201(11).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8.2 Sources of Contract Law</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93"/>
        </w:numPr>
        <w:shd w:val="clear" w:color="auto" w:fill="EAE9DC"/>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contract law comes from two sources: judges (cases) and legislation.</w:t>
      </w:r>
    </w:p>
    <w:p w:rsidR="00A86150" w:rsidRDefault="00F714D4">
      <w:pPr>
        <w:numPr>
          <w:ilvl w:val="0"/>
          <w:numId w:val="193"/>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the Restatement of Contracts is.</w:t>
      </w:r>
    </w:p>
    <w:p w:rsidR="00A86150" w:rsidRDefault="00F714D4">
      <w:pPr>
        <w:numPr>
          <w:ilvl w:val="0"/>
          <w:numId w:val="193"/>
        </w:numPr>
        <w:shd w:val="clear" w:color="auto" w:fill="EAE9DC"/>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Convention on Contracts for the International Sale of Goods.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important sources of contract law are state case law and state statutes (though there are also many federal statutes governing how contracts are made by and with the federal government).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Case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Law made by judges is called case law. Because contract law was made up in the common-law courtroom by individual judges as they applied rules to resolve disputes before them, it grew over time to formidable proportions. By the early twentieth century, tens of thousands of contract disputes had been submitted to the courts for resolution, and the published opinions, if collected in one place, would have filled dozens of bookshelves. Clearly this mass of material was too unwieldy for efficient use. A similar problem also had developed in the other leading branches of the common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Disturbed by the profusion of cases and the resulting uncertainty of the law, a group of prominent American judges, lawyers, and law teachers founded the American Law Institute (ALI) in 1923 to attempt to clarify, simplify, and improve the law. One of the ALI’s first projects, and ultimately one of its most successful, was the drafting of the Restatement of the Law of Contracts, completed in 1932. A revision—the Restatement (Second) of Contracts—was undertaken in 1964 and completed in 1979. Hereafter, references to “the Restatement” pertain to the Restatement (Second) of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Restatements—others exist in the fields of torts, agency, conflicts of laws, judgments, property, restitution, security, and trusts—are detailed analyses of the decided cases in each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ALI before they are eventually published as final documents.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(Second) of Contracts 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common-law legal system.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law, case law (the terms are synonymous), governs contracts for the sale of real estate and services. “Services” refer to acts or deeds (like plumbing, drafting documents, driving a car) as opposed to the sale of property.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Statutory Law: The Uniform Commercial Code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Common-law contract principles govern contracts for real estate and services. Because of the historical development of the English legal system, contracts for the sale of goods came to be governed by a different body of legal rules. In its modern American manifestation, that body of rules is an important statute: the Uniform Commercial Code (UCC), especially Article 2, which deals with the sale of goods.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History of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bit of history is in order. 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is a model law developed by the ALI and the National Conference of Commissioners on Uniform State Laws; it has been adopted in one form or another by the legislatures in all fifty states, the District of Columbia, and the American territories. It is a “national” law not enacted by Congress—it is not federal law but uniform state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Initial drafting of the UCC began in 1942 and was ten years in the making, involving the efforts of hundreds of practicing lawyers, law teachers, and judges. A final draft, promulgated by the ALI, was endorsed by the American Bar Association and published in 1951. Various revisions followed in different states, threatening the uniformity of the UCC. The ALI responded by creating a permanent editorial board to oversee future revisions. In one or another of its various revisions, the UCC has been adopted in whole or in part in all American jurisdictions. The UCC is now a basic law of relevance to every business and business lawyer in the United States, even though it is not entirely uniform because different states have adopted it at various stages of its evolution—an evolution that continues still.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Organization of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consists of nine major substantive articles; each deals with separate though related subjects. The articles are as follows: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1: General Provisions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2: Sales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2A: Leases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3: Commercial Paper</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4: Bank Deposits and Collections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4A: Funds Transfers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5: Letters of Credit</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6: Bulk Transfers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7: Warehouse Receipts, Bills of Lading, and Other Documents of Title</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8: Investment Securities</w:t>
      </w:r>
    </w:p>
    <w:p w:rsidR="00A86150" w:rsidRDefault="00F714D4">
      <w:pPr>
        <w:pStyle w:val="ListParagraph"/>
        <w:numPr>
          <w:ilvl w:val="0"/>
          <w:numId w:val="1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9: Secured Transactions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2 deals only with the sale of goods, which the UCC defines as “all things…which are movable at the time of identification to the contract for sale other than the money in which the price is to be paid.”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only contracts and agreements covered by Article 2 are those relating to the present or future sale of goods.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2 is divided in turn into six major parts: (1) Form, Formation, and Readjustment of Contract; (2) General Obligation and Construction of Contract; (3) Title, Creditors, and Good Faith Purchasers; (4) Performance; (5) Breach, Repudiation, and Excuse; and (6) Remedies.</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8.1</w:t>
      </w:r>
      <w:r>
        <w:rPr>
          <w:rFonts w:ascii="Georgia" w:eastAsia="Times New Roman" w:hAnsi="Georgia" w:cs="Calibri"/>
          <w:i/>
          <w:iCs/>
          <w:color w:val="BB9966"/>
          <w:sz w:val="21"/>
          <w:szCs w:val="21"/>
          <w:lang w:val="en"/>
        </w:rPr>
        <w:t> Sources of Law</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666875"/>
            <wp:effectExtent l="0" t="0" r="0" b="9525"/>
            <wp:docPr id="35" name="Picture 9" descr="http://images.flatworldknowledge.com/mayerlawentrep/mayerlawentrep-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lawentrep/mayerlawentrep-fig08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International Sales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Convention on Contracts for the International Sale of Goods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Convention on Contracts for the International Sale of Goods (CISG)was approved in 1980 at a diplomatic conference in Vienna. (A convention is a preliminary agreement that serves as the basis for a formal treaty.) The CISG has been adopted by more than forty countries, including the United States.</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CISG is significant for three reasons. First, it is a uniform law governing the sale of goods—in effect, an international Uniform Commercial Code. The major goal of the drafters was to produce a uniform law acceptable to countries with different legal, social, and economic systems. Second, although provisions in the CISG are generally consistent with the UCC, there are significant differences. For instance, under the CISG, consideration (discussed in </w:t>
      </w:r>
      <w:r>
        <w:rPr>
          <w:rFonts w:ascii="Georgia" w:eastAsia="Times New Roman" w:hAnsi="Georgia" w:cs="Calibri"/>
          <w:color w:val="2689C6"/>
          <w:sz w:val="20"/>
          <w:szCs w:val="20"/>
          <w:lang w:val="en"/>
        </w:rPr>
        <w:t>Chapter 11 "Consideration"</w:t>
      </w:r>
      <w:r>
        <w:rPr>
          <w:rFonts w:ascii="Georgia" w:eastAsia="Times New Roman" w:hAnsi="Georgia" w:cs="Calibri"/>
          <w:color w:val="333333"/>
          <w:sz w:val="20"/>
          <w:szCs w:val="20"/>
          <w:lang w:val="en"/>
        </w:rPr>
        <w:t>) is not required to form a contract, and there is no Statute of Frauds (a requirement that certain contracts be evidenced by a writing). Third, the CISG represents the first attempt by the US Senate to reform the private law of business through its treaty powers, for the CISG preempts the UCC. The CISG is not mandatory: parties to an international contract for the sale of goods may choose to have their agreement governed by different law, perhaps the UCC, or perhaps, say, Japanese contract law. The CISG does not apply to contracts for the sale of (1) ships or aircraft, (2) electricity, or (3) goods bought for personal, family, or household use, nor does it apply (4) where the party furnishing the goods does so only incidentally to the labor or services part of the contract.</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Judges have made contract law over several centuries by deciding cases that create, extend, or change the developing rules affecting contract formation, performance, and enforcement. The rules from the cases have been abstracted and organized in the Restatements of Contracts. To facilitate interstate commerce, contract law for many commercial transactions—especially the sale of goods—not traditionally within the purview of judges has been developed by legal scholars and presented for the states to adopt as the Uniform Commercial Code. There is an analogous Convention on Contracts for the International Sale of Goods, to which the United States is a party.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 judges make contract law?</w:t>
      </w:r>
    </w:p>
    <w:p w:rsidR="00A86150" w:rsidRDefault="00F714D4">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Restatement of the Law of Contracts, and why was it necessary?</w:t>
      </w:r>
    </w:p>
    <w:p w:rsidR="00A86150" w:rsidRDefault="00F714D4">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was the Uniform Commercial Code developed, and by whom?</w:t>
      </w:r>
    </w:p>
    <w:p w:rsidR="00A86150" w:rsidRDefault="00F714D4">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adopts the UCC as governing law?</w:t>
      </w:r>
    </w:p>
    <w:p w:rsidR="00A86150" w:rsidRDefault="00F714D4">
      <w:pPr>
        <w:numPr>
          <w:ilvl w:val="0"/>
          <w:numId w:val="19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Convention on Contracts for the International Sale of Goods?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2-105.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8.3 Basic Taxonomy of Contracts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196"/>
        </w:numPr>
        <w:shd w:val="clear" w:color="auto" w:fill="EAE9DC"/>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contracts are classified according to the criteria of explicitness, mutuality, enforceability, and degree of completion and that some noncontract promises are nevertheless enforceable under the doctrine of promissory estoppel.</w:t>
      </w:r>
    </w:p>
    <w:p w:rsidR="00A86150" w:rsidRDefault="00F714D4">
      <w:pPr>
        <w:numPr>
          <w:ilvl w:val="0"/>
          <w:numId w:val="196"/>
        </w:numPr>
        <w:shd w:val="clear" w:color="auto" w:fill="EAE9DC"/>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Keep your eyes (and ears) alert to the use of suffixes (word endings) in legal terminology that express relationships between parties.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contracts are written, some oral; some are explicit, some not. Because contracts can be formed, expressed, and enforced in a variety of ways, a taxonomy of contracts has developed that is useful in grouping together like legal consequences. In general, contracts are classified along four different dimensions: explicitness, mutuality, enforceability, and degree of completion. Explicitness is the degree to which the agreement is manifest to those not party to it. Mutuality takes into account whether promises are given by two parties or only one. Enforceability is the degree to which a given contract is binding. Completion considers whether the contract is yet to be performed or whether the obligations have been fully discharged by one or both parties. We will examine each of these concepts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Explicitness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Express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express contract is one in which the terms are spelled out directly. The parties to an express contract, whether it is written or oral, are conscious that they are making an enforceable agreement. For example, an agreement to purchase your neighbor’s car for $5,500 and to take title next Monday is an express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Contract (Implied in Fact)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implied contract is one that is inferred from the actions of the parties. When parties have not discussed terms,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distinction between express and implied contracts has received a degree of notoriety in the so-called palimony cases, in which one member of an unmarried couple seeks a division of property after a long-standing live-together relationship has broken up. When a married couple divorces, their legal marriage contract is dissolved, and financial rights and obligations are spelled out in a huge body of domestic relations statutes and judicial decisions. No such laws exist for unmarried couples. However, about one-third of the states recognize common-law marriage, under which two people are deemed to be married if they live together with the intent to be married, regardless of their failure to have obtained a license or gone through a ceremony. Although there is no actual contract of marriage (no license), their behavior implies that the parties intended to be treated as if they were married.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Quasi-Contract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quasi-contract (implied in law) is—unlike both express and implied contracts, which embody an actual agreement of the parties—an obligation said to be “imposed by law” in order to avoid unjust enrichment of one person at the expense of another. A quasi-contract is not a contract at all; it is a fiction that the courts created to prevent injustice. Suppose, for example, that the local lumberyard mistakenly delivers a load of lumber to your house, where you are repairing your deck. It was a neighbor on the next block who ordered the lumber, but you are happy to accept the load for free; since you never talked to the lumberyard, you figure you need not pay the bill. Although it is true there is no contract, the law implies a contract for the value of the material: of course you will have to pay for what you got and took. The existence of this implied contract does not depend on the intention of the parties.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Mutuality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Bilateral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typical contract is one in which the parties make mutual promises. Each is both promisor and promisee; that is, each pledges to do something, and each is the recipient of such a pledge. This type of contract is called a bilateral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Unilateral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Mutual promises are not necessary to constitute a contract. Unilateral contracts, in which one party performs an act in exchange for the other party’s promise, are equally valid. An offer of a reward—for catching a criminal or for returning a lost cat—is an example of a unilateral contract: there is an offer on one side, and the other side accepts by taking the action requested.</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8.2</w:t>
      </w:r>
      <w:r>
        <w:rPr>
          <w:rFonts w:ascii="Georgia" w:eastAsia="Times New Roman" w:hAnsi="Georgia" w:cs="Calibri"/>
          <w:i/>
          <w:iCs/>
          <w:color w:val="BB9966"/>
          <w:sz w:val="21"/>
          <w:szCs w:val="21"/>
          <w:lang w:val="en"/>
        </w:rPr>
        <w:t> Bilateral and Unilateral Contracts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866900"/>
            <wp:effectExtent l="0" t="0" r="0" b="0"/>
            <wp:docPr id="37" name="Picture 10" descr="http://images.flatworldknowledge.com/mayerlawentrep/mayerlawentrep-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ayerlawentrep/mayerlawentrep-fig08_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Enforceability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agreement between two people is a binding contract. An agreement that is lacking one of the legal elements of a contract is said to be avoid contract—that is, not a contract at all. An agreement that is illegal—for example, a promise to commit a crime in return for a money payment—is void. Neither party to a void “contract” may enforce 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Voidable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contrast, a voidable contract is one that may become unenforceable by one party but can be enforced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 status quo ante (previous state of affairs). You must return the car to him; he must return the cash to you.</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voidable contract remains a valid contract until it is voided. Thus a contract with a minor remains in force unless the minor decides he or she does not wish to be bound by it. When the minor reaches majority, he or she may “ratify” the contract—that is, agree to be bound by it—in which case the contract will no longer be voidable and will thereafter be fully enforceable.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Unenforceable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unenforceable contract 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 A debt becomes unenforceable, too, when the debtor declares bankruptcy.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bit more on enforceability is in order. A promise or what seems to be a promise is usually enforceable only if it is otherwise embedded in the elements necessary to make that promise a contract. Those elements are mutual assent, real assent, consideration, capacity, and legality. Sometimes, though, people say things that seem like promises, and on which another person relies. In the early twentieth century, courts began, in some circumstances, to recognize that insisting on the existence of the traditional elements of contract to determine whether a promise is enforceable could work an injustice where there has been reliance. Thus developed the equitable doctrine of promissory estoppel, which has become an important adjunct to contract law. The Restatement (Section 90) puts it this way: “A promise which the promisor should reasonably expect to induce action or forbearance on the party of the promisee or a third person and which does induce such action or forbearance is binding if injustice can be avoided only by enforcement of the promise. The remedy granted for breach may be limited as justice requires.”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“estopped” means to be prohibited from denying now the validity of a promise you made before.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doctrine has an interesting background. In 1937, High Trees House Ltd. (a British corporation) leased a block of London apartments from Central London Properties. As World War II approached, vacancy rates soared because people left the city. In 1940 the parties agreed to reduce the rent rates by half, but no term was set for how long the reduction would last. By mid-1945, as the war was ending, occupancy was again full, and Central London sued for the full rental rates from June on. The English court, under Judge Alfred Thompson Denning (1899–1999), had no difficulty finding that High Trees owed the full amount once full occupancy was again achieved, but Judge Denning went on. In an aside (called a dicta—a statement “by the way”—that is, not necessary as part of the decision), he mused about what would have happened if in 1945 Central London had sued for the full-occupancy rate back to 1940. Technically, the 1940 amendment to the 1937 contract was not binding on Central London—it lacked consideration—and Central London could have reached back to demand full-rate payment. But Judge Denning said that High Trees would certainly have relied on Central London’s promise that a reduced-rate rent would be acceptable, and that would have been enough to bind it, to prevent it from acting inconsistently with the promise. He wrote, “The courts have not gone so far as to give a cause of action in damages for the breach of such a promise, but they have refused to allow the party making it to act inconsistently with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years since, though, courts </w:t>
      </w:r>
      <w:r>
        <w:rPr>
          <w:rFonts w:ascii="Georgia" w:eastAsia="Times New Roman" w:hAnsi="Georgia" w:cs="Calibri"/>
          <w:i/>
          <w:iCs/>
          <w:color w:val="333333"/>
          <w:sz w:val="20"/>
          <w:szCs w:val="20"/>
          <w:lang w:val="en"/>
        </w:rPr>
        <w:t>have</w:t>
      </w:r>
      <w:r>
        <w:rPr>
          <w:rFonts w:ascii="Georgia" w:eastAsia="Times New Roman" w:hAnsi="Georgia" w:cs="Calibri"/>
          <w:color w:val="333333"/>
          <w:sz w:val="20"/>
          <w:szCs w:val="20"/>
          <w:lang w:val="en"/>
        </w:rPr>
        <w:t> gone so far as to give a cause of action in damages for various noncontract promises. Contract protects agreements; promissory estoppel protects reliance, and that’s a significant difference. The law of contracts continues to evolve.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Degree of Completion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agreement consisting of a set of promises is called an executory contract before any promises are carried out. Most executory contracts are enforceable. If John makes an agreement to deliver wheat to Humphrey and does so, the contract is called a partially executed contract: one side has performed, the other has not. When John pays for the wheat, the contract is fully performed. A contract that has been carried out fully by both parties is called an executed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Terminology: Suffixes Expressing Relationships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not really part of the taxonomy of contracts (i.e., the orderly classification of the subject), an aspect of contractual—indeed, legal—terminology should be highlighted here. </w:t>
      </w:r>
      <w:r>
        <w:rPr>
          <w:rFonts w:ascii="Georgia" w:eastAsia="Times New Roman" w:hAnsi="Georgia" w:cs="Calibri"/>
          <w:i/>
          <w:iCs/>
          <w:color w:val="333333"/>
          <w:sz w:val="20"/>
          <w:szCs w:val="20"/>
          <w:lang w:val="en"/>
        </w:rPr>
        <w:t>Suffixes</w:t>
      </w:r>
      <w:r>
        <w:rPr>
          <w:rFonts w:ascii="Georgia" w:eastAsia="Times New Roman" w:hAnsi="Georgia" w:cs="Calibri"/>
          <w:color w:val="333333"/>
          <w:sz w:val="20"/>
          <w:szCs w:val="20"/>
          <w:lang w:val="en"/>
        </w:rPr>
        <w:t> (the end syllables of words) in the English language are used to express relationships between parties in legal terminology. Here are examples:</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Offeror.</w:t>
      </w:r>
      <w:r>
        <w:rPr>
          <w:rFonts w:ascii="Georgia" w:eastAsia="Times New Roman" w:hAnsi="Georgia" w:cs="Calibri"/>
          <w:color w:val="333333"/>
          <w:sz w:val="20"/>
          <w:szCs w:val="20"/>
          <w:lang w:val="en"/>
        </w:rPr>
        <w:t> One who makes an offer.</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Offeree.</w:t>
      </w:r>
      <w:r>
        <w:rPr>
          <w:rFonts w:ascii="Georgia" w:eastAsia="Times New Roman" w:hAnsi="Georgia" w:cs="Calibri"/>
          <w:color w:val="333333"/>
          <w:sz w:val="20"/>
          <w:szCs w:val="20"/>
          <w:lang w:val="en"/>
        </w:rPr>
        <w:t> One to whom an offer is made.</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Promisor.</w:t>
      </w:r>
      <w:r>
        <w:rPr>
          <w:rFonts w:ascii="Georgia" w:eastAsia="Times New Roman" w:hAnsi="Georgia" w:cs="Calibri"/>
          <w:color w:val="333333"/>
          <w:sz w:val="20"/>
          <w:szCs w:val="20"/>
          <w:lang w:val="en"/>
        </w:rPr>
        <w:t> One who makes a promise.</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Promisee.</w:t>
      </w:r>
      <w:r>
        <w:rPr>
          <w:rFonts w:ascii="Georgia" w:eastAsia="Times New Roman" w:hAnsi="Georgia" w:cs="Calibri"/>
          <w:color w:val="333333"/>
          <w:sz w:val="20"/>
          <w:szCs w:val="20"/>
          <w:lang w:val="en"/>
        </w:rPr>
        <w:t> One to whom a promise is made.</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Obligor.</w:t>
      </w:r>
      <w:r>
        <w:rPr>
          <w:rFonts w:ascii="Georgia" w:eastAsia="Times New Roman" w:hAnsi="Georgia" w:cs="Calibri"/>
          <w:color w:val="333333"/>
          <w:sz w:val="20"/>
          <w:szCs w:val="20"/>
          <w:lang w:val="en"/>
        </w:rPr>
        <w:t> One who makes and has an obligation.</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Obligee.</w:t>
      </w:r>
      <w:r>
        <w:rPr>
          <w:rFonts w:ascii="Georgia" w:eastAsia="Times New Roman" w:hAnsi="Georgia" w:cs="Calibri"/>
          <w:color w:val="333333"/>
          <w:sz w:val="20"/>
          <w:szCs w:val="20"/>
          <w:lang w:val="en"/>
        </w:rPr>
        <w:t> One to whom an obligation is made.</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Transferor.</w:t>
      </w:r>
      <w:r>
        <w:rPr>
          <w:rFonts w:ascii="Georgia" w:eastAsia="Times New Roman" w:hAnsi="Georgia" w:cs="Calibri"/>
          <w:color w:val="333333"/>
          <w:sz w:val="20"/>
          <w:szCs w:val="20"/>
          <w:lang w:val="en"/>
        </w:rPr>
        <w:t> One who makes a transfer.</w:t>
      </w:r>
    </w:p>
    <w:p w:rsidR="00A86150" w:rsidRDefault="00F714D4">
      <w:pPr>
        <w:pStyle w:val="ListParagraph"/>
        <w:numPr>
          <w:ilvl w:val="0"/>
          <w:numId w:val="19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Transferee.</w:t>
      </w:r>
      <w:r>
        <w:rPr>
          <w:rFonts w:ascii="Georgia" w:eastAsia="Times New Roman" w:hAnsi="Georgia" w:cs="Calibri"/>
          <w:color w:val="333333"/>
          <w:sz w:val="20"/>
          <w:szCs w:val="20"/>
          <w:lang w:val="en"/>
        </w:rPr>
        <w:t> One to whom a transfer is made.</w:t>
      </w:r>
    </w:p>
    <w:p w:rsidR="00A86150" w:rsidRDefault="00A86150">
      <w:pPr>
        <w:pStyle w:val="ListParagraph"/>
        <w:shd w:val="clear" w:color="auto" w:fill="FFFFFF"/>
        <w:spacing w:after="0" w:line="439" w:lineRule="atLeast"/>
        <w:ind w:left="360"/>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are described and thus defined on the basis of four criteria: explicitness (express, implied, or quasi-contracts), mutuality (bilateral or unilateral), enforceability (void, voidable, unenforceable), and degree of completion (executory, partially executed, executed). Legal terminology in English often describes relationships between parties by the use of suffixes, to which the eye and ear must pay attention.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1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Able </w:t>
      </w:r>
      <w:r>
        <w:rPr>
          <w:rFonts w:ascii="Calibri" w:eastAsia="Times New Roman" w:hAnsi="Calibri" w:cs="Calibri"/>
          <w:i/>
          <w:iCs/>
          <w:color w:val="333333"/>
          <w:sz w:val="20"/>
          <w:szCs w:val="20"/>
          <w:lang w:val="en"/>
        </w:rPr>
        <w:t>writes</w:t>
      </w:r>
      <w:r>
        <w:rPr>
          <w:rFonts w:ascii="Calibri" w:eastAsia="Times New Roman" w:hAnsi="Calibri" w:cs="Calibri"/>
          <w:color w:val="333333"/>
          <w:sz w:val="20"/>
          <w:szCs w:val="20"/>
          <w:lang w:val="en"/>
        </w:rPr>
        <w:t> to Baker: “I will mow your lawn for $20.” If Baker accepts, is this an express or implied contract?</w:t>
      </w:r>
    </w:p>
    <w:p w:rsidR="00A86150" w:rsidRDefault="00F714D4">
      <w:pPr>
        <w:numPr>
          <w:ilvl w:val="0"/>
          <w:numId w:val="1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Able </w:t>
      </w:r>
      <w:r>
        <w:rPr>
          <w:rFonts w:ascii="Calibri" w:eastAsia="Times New Roman" w:hAnsi="Calibri" w:cs="Calibri"/>
          <w:i/>
          <w:iCs/>
          <w:color w:val="333333"/>
          <w:sz w:val="20"/>
          <w:szCs w:val="20"/>
          <w:lang w:val="en"/>
        </w:rPr>
        <w:t>telephones</w:t>
      </w:r>
      <w:r>
        <w:rPr>
          <w:rFonts w:ascii="Calibri" w:eastAsia="Times New Roman" w:hAnsi="Calibri" w:cs="Calibri"/>
          <w:color w:val="333333"/>
          <w:sz w:val="20"/>
          <w:szCs w:val="20"/>
          <w:lang w:val="en"/>
        </w:rPr>
        <w:t> Baker: “I will mow your lawn for $20.” Is this an express or implied contract?</w:t>
      </w:r>
    </w:p>
    <w:p w:rsidR="00A86150" w:rsidRDefault="00F714D4">
      <w:pPr>
        <w:numPr>
          <w:ilvl w:val="0"/>
          <w:numId w:val="1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a void contract and a voidable one?</w:t>
      </w:r>
    </w:p>
    <w:p w:rsidR="00A86150" w:rsidRDefault="00F714D4">
      <w:pPr>
        <w:numPr>
          <w:ilvl w:val="0"/>
          <w:numId w:val="1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Carr staples this poster to a utility pole: “$50 reward for the return of my dog, Argon.” Describe this in contractual terms regarding explicitness, mutuality, enforceability, and degree of completion.</w:t>
      </w:r>
    </w:p>
    <w:p w:rsidR="00A86150" w:rsidRDefault="00F714D4">
      <w:pPr>
        <w:numPr>
          <w:ilvl w:val="0"/>
          <w:numId w:val="1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voidable contract always unenforceable?</w:t>
      </w:r>
    </w:p>
    <w:p w:rsidR="00A86150" w:rsidRDefault="00F714D4">
      <w:pPr>
        <w:numPr>
          <w:ilvl w:val="0"/>
          <w:numId w:val="19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Contractor bids on a highway construction job, incorporating Guardrail Company’s bid into its overall bid to the state. Contractor cannot accept Guardrail’s offer until it gets the nod from the state. Contractor gets the nod from the state, but before it can accept Guardrail’s offer, the latter revokes it. Usually a person can revoke an offer any time before it is accepted. Can Guardrail revoke its offer in this case?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Central London Property Trust Ltd. v. High Trees House Ltd.</w:t>
      </w:r>
      <w:r>
        <w:rPr>
          <w:rFonts w:ascii="Calibri" w:eastAsia="Times New Roman" w:hAnsi="Calibri" w:cs="Calibri"/>
          <w:color w:val="333333"/>
          <w:sz w:val="20"/>
          <w:szCs w:val="20"/>
        </w:rPr>
        <w:t> (1947) KB 130.</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8.4 Cases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Explicitness: Implied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Roger’s Backhoe Service, Inc. v. Nichols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681 N.W.2d 647 (Iowa 2004)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Carter,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Jeffrey S. Nichols, is a funeral director in Muscatine.…In early 1998 Nichols decided to build a crematorium on the tract of land on which his funeral home was located. In working with the Small Business Administration, he was required to provide drawings and specifications and obtain estimates for the project. Nichols hired an architect who prepared plans and submitted them to the City of Muscatine for approval. These plans provided that the surface water from the parking lot would drain onto the adjacent street and alley and ultimately enter city storm sewers. These plans were approved by the city.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Nichols contracted with Roger’s [Backhoe Service, Inc.] for the demolition of the foundation of a building that had been razed to provide room for the crematorium and removal of the concrete driveway and sidewalk adjacent to that foundation. Roger’s completed that work and was paid in full.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construction began, city officials came to the jobsite and informed Roger’s that the proposed drainage of surface water onto the street and alley was unsatisfactory. The city required that an effort be made to drain the surface water into a subterranean creek, which served as part of the city’s storm sewer system. City officials indicated that this subterranean sewer system was about fourteen feet below the surface of the ground.…Roger’s conveyed the city’s mandate to Nichols when he visited the jobsite that same day.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was Nichols’ testimony at trial that, upon receiving this information, he advised…Roger’s that he was refusing permission to engage in the exploratory excavation that the city required. Nevertheless, it appears without dispute that for the next three days Roger’s did engage in digging down to the subterranean sewer system, which was located approximately twenty feet below the surface. When the underground creek was located, city officials examined the brick walls in which it was encased and determined that it was not feasible to penetrate those walls in order to connect the surface water drainage with the underground creek. As a result of that conclusion, the city reversed its position and once again gave permission to drain the surface water onto the adjacent street and alley.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invoices at issue in this litigation relate to charges that Roger’s submitted to Nichols for the three days of excavation necessary to locate the underground sewer system and the cost for labor and materials necessary to refill the excavation with compactable materials and attain compaction by means of a tamping process.…The district court found that the charges submitted on the…invoices were fair and reasonable and that they had been performed for Nichols’ benefit and with his tacit approval.…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appeals…concluded that a necessary element in establishing an implied-in-fact contract is that the services performed be beneficial to the alleged obligor. It concluded that Roger’s had failed to show that its services benefited Nichols.…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describing the elements of an action on an implied contract, the court of appeals stated in [Citation], that the party seeking recovery must show: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 services were carried out under such circumstances as to give the recipient reason to understand: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they were performed for him and not some other person,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they were not rendered gratuitously, but with the expectation of compensation from the recipient;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(2) </w:t>
      </w:r>
      <w:r>
        <w:rPr>
          <w:rFonts w:ascii="Georgia" w:eastAsia="Times New Roman" w:hAnsi="Georgia" w:cs="Calibri"/>
          <w:i/>
          <w:iCs/>
          <w:color w:val="333333"/>
          <w:sz w:val="20"/>
          <w:szCs w:val="20"/>
          <w:lang w:val="en"/>
        </w:rPr>
        <w:t>the services were beneficial to the recipient.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applying the italicized language in [Citation] to the present controversy, it was the conclusion of the court of appeals that Roger’s’ services conferred no benefit on Nichols. We disagree. There was substantial evidence in the record to support a finding that, unless and until an effort was made to locate the subterranean sewer system, the city refused to allow the project to proceed. Consequently, it was necessary to the successful completion of the project that the effort be made. The fact that examination of the brick wall surrounding the underground creek indicated that it was unfeasible to use that source of drainage does not alter the fact that the project was stalemated until drainage into the underground creek was fully explored and rejected. The district court properly concluded that Roger’s’ services conferred a benefit on Nichols.…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Decision of court of appeals vacated; district court judgment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199"/>
        </w:numPr>
        <w:shd w:val="clear" w:color="auto" w:fill="E3EFF7"/>
        <w:tabs>
          <w:tab w:val="clear" w:pos="720"/>
          <w:tab w:val="num" w:pos="8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facts must be established by a plaintiff to show the existence of an implied contract?</w:t>
      </w:r>
    </w:p>
    <w:p w:rsidR="00A86150" w:rsidRDefault="00F714D4">
      <w:pPr>
        <w:numPr>
          <w:ilvl w:val="0"/>
          <w:numId w:val="1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argument did Nichols make as to why there was no implied contract here?</w:t>
      </w:r>
    </w:p>
    <w:p w:rsidR="00A86150" w:rsidRDefault="00F714D4">
      <w:pPr>
        <w:numPr>
          <w:ilvl w:val="0"/>
          <w:numId w:val="19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would the facts have to be changed to make an express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Mutuality of Contract: Unilateral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SouthTrust Bank v. Williams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775 So.2d 184 (Ala. 2000)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Cook,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SouthTrust Bank (“SouthTrust”) appeals from an order denying its motion to compel arbitration of an action against it by checking-account customers Mark Williams and Bessie Daniels. We reverse and remand.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Daniels and Williams began their relationship with SouthTrust in 1981 and 1995, respectively, by executing checking-account “signature cards.” The signature card each customer signed contained a “change-in-terms” clause. Specifically, when Daniels signed her signature card, she “agree[d] to be subject to the Rules and Regulations as may now or </w:t>
      </w:r>
      <w:r>
        <w:rPr>
          <w:rFonts w:ascii="Georgia" w:eastAsia="Times New Roman" w:hAnsi="Georgia" w:cs="Calibri"/>
          <w:i/>
          <w:iCs/>
          <w:color w:val="333333"/>
          <w:sz w:val="20"/>
          <w:szCs w:val="20"/>
          <w:lang w:val="en"/>
        </w:rPr>
        <w:t>hereafter</w:t>
      </w:r>
      <w:r>
        <w:rPr>
          <w:rFonts w:ascii="Georgia" w:eastAsia="Times New Roman" w:hAnsi="Georgia" w:cs="Calibri"/>
          <w:color w:val="333333"/>
          <w:sz w:val="20"/>
          <w:szCs w:val="20"/>
          <w:lang w:val="en"/>
        </w:rPr>
        <w:t> be adopted by the Bank.” (Emphasis added.)…[Later,] SouthTrust added paragraph 33 to the regulations:…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ARBITRATION OF DISPUTES. You and we agree that the transactions in your account involve ‘commerce’ under the Federal Arbitration Act (‘FAA’). ANY CONTROVERSY OR CLAIM BETWEEN YOU AND US…WILL BE SETTLED BY BINDING ARBITRATION UNDER THE FAA.…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action…challenges SouthTrust’s procedures for paying overdrafts, and alleges that SouthTrust engages in a “uniform practice of paying the largest check(s) before paying multiple smaller checks…[in order] to generate increased service charges for [SouthTrust] at the expense of [its customers].”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SouthTrust filed a “motion to stay [the] lawsuit and to compel arbitration.” It based its motion on paragraph 33 of the regulations. [T]he trial court…entered an order denying SouthTrust’s motion to compel arbitration. SouthTrust appeals.…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Williams and Daniels contend that SouthTrust’s amendment to the regulations, adding paragraph 33, was ineffective because, they say, they did not </w:t>
      </w:r>
      <w:r>
        <w:rPr>
          <w:rFonts w:ascii="Georgia" w:eastAsia="Times New Roman" w:hAnsi="Georgia" w:cs="Calibri"/>
          <w:i/>
          <w:iCs/>
          <w:color w:val="333333"/>
          <w:sz w:val="20"/>
          <w:szCs w:val="20"/>
          <w:lang w:val="en"/>
        </w:rPr>
        <w:t>expressly assent</w:t>
      </w:r>
      <w:r>
        <w:rPr>
          <w:rFonts w:ascii="Georgia" w:eastAsia="Times New Roman" w:hAnsi="Georgia" w:cs="Calibri"/>
          <w:color w:val="333333"/>
          <w:sz w:val="20"/>
          <w:szCs w:val="20"/>
          <w:lang w:val="en"/>
        </w:rPr>
        <w:t> to the amendment. In other words, they object to submitting their claims to arbitration because, they say, when they opened their accounts, neither the regulations nor any other relevant document contained an arbitration provision. They argue that “mere failure to object to the addition of a material term cannot be construed as an acceptance of it.”…They contend that SouthTrust could not unilaterally insert an arbitration clause in the regulations and make it binding on depositors like them.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SouthTrust, however, referring to its change-of-terms clause insists that it “notified” Daniels and Williams of the amendment in January 1997 by enclosing in each customer’s “account statement” a complete copy of the regulations, as amended. Although it is undisputed that Daniels and Williams never affirmatively assented to these amended regulations, SouthTrust contends that their assent was evidenced by their failure to close their accounts after they received notice of the amendments.…Thus, the disposition of this case turns on the legal effect of Williams and Daniels’s continued use of the accounts after the regulations were amended.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Williams and Daniels argue that “[i]n the context of contracts between merchants [under the UCC], a written confirmation of an acceptance may modify the contract </w:t>
      </w:r>
      <w:r>
        <w:rPr>
          <w:rFonts w:ascii="Georgia" w:eastAsia="Times New Roman" w:hAnsi="Georgia" w:cs="Calibri"/>
          <w:i/>
          <w:iCs/>
          <w:color w:val="333333"/>
          <w:sz w:val="20"/>
          <w:szCs w:val="20"/>
          <w:lang w:val="en"/>
        </w:rPr>
        <w:t>unless</w:t>
      </w:r>
      <w:r>
        <w:rPr>
          <w:rFonts w:ascii="Georgia" w:eastAsia="Times New Roman" w:hAnsi="Georgia" w:cs="Calibri"/>
          <w:color w:val="333333"/>
          <w:sz w:val="20"/>
          <w:szCs w:val="20"/>
          <w:lang w:val="en"/>
        </w:rPr>
        <w:t> it adds a </w:t>
      </w:r>
      <w:r>
        <w:rPr>
          <w:rFonts w:ascii="Georgia" w:eastAsia="Times New Roman" w:hAnsi="Georgia" w:cs="Calibri"/>
          <w:i/>
          <w:iCs/>
          <w:color w:val="333333"/>
          <w:sz w:val="20"/>
          <w:szCs w:val="20"/>
          <w:lang w:val="en"/>
        </w:rPr>
        <w:t>material</w:t>
      </w:r>
      <w:r>
        <w:rPr>
          <w:rFonts w:ascii="Georgia" w:eastAsia="Times New Roman" w:hAnsi="Georgia" w:cs="Calibri"/>
          <w:color w:val="333333"/>
          <w:sz w:val="20"/>
          <w:szCs w:val="20"/>
          <w:lang w:val="en"/>
        </w:rPr>
        <w:t> term, and arbitration clauses are material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Williams and Daniels concede—as they must—…that Article 2 governs “transactions in goods,” and, consequently, that it is not applicable to the transactions in this case. Nevertheless, they argue: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would be astonishing if a Court were to consider the addition of an arbitration clause a material alteration to a contract between merchants, who by definition are sophisticated in the trade to which the contract applies, but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hold that the addition of an arbitration clause is a material alteration pursuant to a change-of-terms clause in a contract between one sophisticated party, a bank, and an entire class of less sophisticated parties, its depositors.…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response, SouthTrust states that “because of the ‘at-will’ nature of the relationship, banks by necessity must contractually reserve the right to amend their deposit agreements from time to time.” In so stating, SouthTrust has precisely identified the fundamental difference between the transactions here and those transactions governed by [Article 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for the purchase and sale of goods are essentially </w:t>
      </w:r>
      <w:r>
        <w:rPr>
          <w:rFonts w:ascii="Georgia" w:eastAsia="Times New Roman" w:hAnsi="Georgia" w:cs="Calibri"/>
          <w:i/>
          <w:iCs/>
          <w:color w:val="333333"/>
          <w:sz w:val="20"/>
          <w:szCs w:val="20"/>
          <w:lang w:val="en"/>
        </w:rPr>
        <w:t>bilateral</w:t>
      </w:r>
      <w:r>
        <w:rPr>
          <w:rFonts w:ascii="Georgia" w:eastAsia="Times New Roman" w:hAnsi="Georgia" w:cs="Calibri"/>
          <w:color w:val="333333"/>
          <w:sz w:val="20"/>
          <w:szCs w:val="20"/>
          <w:lang w:val="en"/>
        </w:rPr>
        <w:t> and executory in nature. See [Citation] “An agreement whereby one party promises to sell and the other promises to buy a thing at a later time…is a bilateral promise of sale or contract to sell”.…“[A] unilateral contract results from an exchange of a promise for an act; a bilateral contract results from an exchange of promises.”…Thus, “in a unilateral contract, there is no bargaining process or exchange of promises by parties as in a bilateral contract.” [Citation] “[O]nly one party makes an offer (or promise) which invites performance by another, and performance constitutes both acceptance of that offer and consideration.” Because “a ‘unilateral contract’ is one in which no promisor receives promise as consideration for his promise,” only one party is bound.…The difference is not one of semantics but of substance; it determines the rights and responsibilities of the parties, including the time and the conditions under which a cause of action accrues for a breach of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case involves at-will, commercial relationships, based upon a series of unilateral transactions. Thus, it is more analogous to cases involving insurance policies, such as [Citations]. The common thread running through those cases was the </w:t>
      </w:r>
      <w:r>
        <w:rPr>
          <w:rFonts w:ascii="Georgia" w:eastAsia="Times New Roman" w:hAnsi="Georgia" w:cs="Calibri"/>
          <w:i/>
          <w:iCs/>
          <w:color w:val="333333"/>
          <w:sz w:val="20"/>
          <w:szCs w:val="20"/>
          <w:lang w:val="en"/>
        </w:rPr>
        <w:t>amendment</w:t>
      </w:r>
      <w:r>
        <w:rPr>
          <w:rFonts w:ascii="Georgia" w:eastAsia="Times New Roman" w:hAnsi="Georgia" w:cs="Calibri"/>
          <w:color w:val="333333"/>
          <w:sz w:val="20"/>
          <w:szCs w:val="20"/>
          <w:lang w:val="en"/>
        </w:rPr>
        <w:t> by one of the parties to a business relationship of a document underlying that relationship—without the express assent of the other party—to require the arbitration of disputes arising after the amendment.…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parties in [the cited cases], like Williams and Daniels in this case, took no action that could be considered inconsistent with an assent to the arbitration provision. In each case, they continued the business relationship after the interposition of the arbitration provision. In doing so, they implicitly assented to the addition of the arbitration provision.…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00"/>
        </w:numPr>
        <w:shd w:val="clear" w:color="auto" w:fill="E3EFF7"/>
        <w:tabs>
          <w:tab w:val="clear" w:pos="720"/>
          <w:tab w:val="left" w:pos="45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plaintiffs think they should not be bound by the arbitration clause?</w:t>
      </w:r>
    </w:p>
    <w:p w:rsidR="00A86150" w:rsidRDefault="00F714D4">
      <w:pPr>
        <w:numPr>
          <w:ilvl w:val="0"/>
          <w:numId w:val="200"/>
        </w:numPr>
        <w:shd w:val="clear" w:color="auto" w:fill="E3EFF7"/>
        <w:tabs>
          <w:tab w:val="left" w:pos="45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said this case involved a unilateral contract. What makes it that, as opposed to a bilateral contract?</w:t>
      </w:r>
    </w:p>
    <w:p w:rsidR="00A86150" w:rsidRDefault="00F714D4">
      <w:pPr>
        <w:numPr>
          <w:ilvl w:val="0"/>
          <w:numId w:val="200"/>
        </w:numPr>
        <w:shd w:val="clear" w:color="auto" w:fill="E3EFF7"/>
        <w:tabs>
          <w:tab w:val="left" w:pos="45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should the plaintiffs have done if they didn’t like the arbitration requirement?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Unilateral Contract and At-Will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Woolley v. Hoffmann-La Roche,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491 A.2d 1257 (N.J. 1985)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Wilntz, C.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Richard Woolley, was hired by defendant, Hoffmann-La Roche, Inc., in October 1969, as an Engineering Section Head in defendant’s Central Engineering Department at Nutley. There was no written employment contract between plaintiff and defendant. Plaintiff began work in mid-November 1969. Sometime in December, plaintiff received and read the personnel manual on which his claims are based.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company’s personnel manual had eight pages;] five of the eight pages are devoted to “termination.” In addition to setting forth the purpose and policy of the termination section, it defines “the types of termination” as “layoff,” “discharge due to performance,” “discharge, disciplinary,” “retirement” and “resignation.” As one might expect, layoff is a termination caused by lack of work, retirement a termination caused by age, resignation a termination on the initiative of the employee, and discharge due to performance and discharge, disciplinary, are both terminations for cause. There is no category set forth for discharge without cause. The termination section includes “Guidelines for discharge due to performance,” consisting of a fairly detailed procedure to be used before an employee may be fired for cause. Preceding these definitions of the five categories of termination is a section on “Policy,” the first sentence of which provides: “It is the policy of Hoffmann-La Roche to retain to the extent consistent with company requirements, the services of all employees who perform their duties efficiently and effectively.”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1976, plaintiff was promoted, and in January 1977 he was promoted again, this latter time to Group Leader for the Civil Engineering, the Piping Design, the Plant Layout, and the Standards and Systems Sections. In March 1978, plaintiff was directed to write a report to his supervisors about piping problems in one of defendant’s buildings in Nutley. This report was written and submitted to plaintiff’s immediate supervisor on April 5, 1978. On May 3, 1978, stating that the General Manager of defendant’s Corporate Engineering Department had lost confidence in him, plaintiff’s supervisors requested his resignation. Following this, by letter dated May 22, 1978, plaintiff was formally asked for his resignation, to be effective July 15, 1978.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refused to resign. Two weeks later defendant again requested plaintiff’s resignation, and told him he would be fired if he did not resign. Plaintiff again declined, and he was fired in July.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filed a complaint alleging breach of contract.…The gist of plaintiff’s breach of contract claim is that the express and implied promises in defendant’s employment manual created a contract under which he could not be fired at will, but rather only for cause, and then only after the procedures outlined in the manual were followed. Plaintiff contends that he was not dismissed for good cause, and that his firing was a breach of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motion for summary judgment was granted by the trial court, which held that the employment manual was not contractually binding on defendant, thus allowing defendant to terminate plaintiff’s employment at will. The Appellate Division affirmed. We granted certification.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employer’s contention here is that the distribution of the manual was simply an expression of the company’s “philosophy” and therefore free of any possible contractual consequences. The former employee claims it could reasonably be read as an explicit statement of company policies intended to be followed by the company in the same manner as if they were expressed in an agreement signed by both employer and employees.…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has long recognized the capacity of the common law to develop and adapt to current needs.…The interests of employees, employers, and the public lead to the conclusion that the common law of New Jersey should limit the right of an employer to fire an employee at will.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for an offer in the form of a promise to become enforceable, it must be accepted. Acceptance will depend on what the promisor bargained for: he may have bargained for a return promise that, if given, would result in a bilateral contract, both promises becoming enforceable. Or he may have bargained for some action or nonaction that, if given or withheld, would render his promise enforceable as a unilateral contract. In most of the cases involving an employer’s personnel policy manual, the document is prepared without any negotiations and is voluntarily distributed to the workforce by the employer. It seeks no return promise from the employees. It is reasonable to interpret it as seeking continued work from the employees, who, in most cases, are free to quit since they are almost always employees at will, not simply in the sense that the employer can fire them without cause, but in the sense that they can quit without breaching any obligation. Thus analyzed, the manual is an offer that seeks the formation of a unilateral contract—the employees’ bargained-for action needed to make the offer binding being their continued work when they have no obligation to continue.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unilateral contract analysis is perfectly adequate for that employee who was aware of the manual and who continued to work intending that continuation to be the action in exchange for the employer’s promise; it is even more helpful in support of that conclusion if, but for the employer’s policy manual, the employee would have quit. See generally M. Petit, “Modern Unilateral Contracts,” 63 Boston Univ. Law Rev. 551 (1983) (judicial use of unilateral contract analysis in employment cases is widespread).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that this opinion requires of an employer is that it be fair. It would be unfair to allow an employer to distribute a policy manual that makes the workforce believe that certain promises have been made and then to allow the employer to renege on those promises. What is sought here is basic honesty: if the employer, for whatever reason, does not want the manual to be capable of being construed by the court as a binding contract, there are simple ways to attain that goal. All that need be done is the inclusion in a very prominent position of an appropriate statement that there is no promise of any kind by the employer contained in the manual; that regardless of what the manual says or provides, the employer promises nothing and remains free to change wages and all other working conditions without having to consult anyone and without anyone’s agreement; and that the employer continues to have the absolute power to fire anyone with or without good cause.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 for trial.</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01"/>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Woolley do to show his acceptance of the terms of employment offered to him?</w:t>
      </w:r>
    </w:p>
    <w:p w:rsidR="00A86150" w:rsidRDefault="00F714D4">
      <w:pPr>
        <w:numPr>
          <w:ilvl w:val="0"/>
          <w:numId w:val="20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part of the case not included here, the court notes that Mr. Woolley died “before oral arguments on this case.” How can there be any damages if the plaintiff has died? Who now has any case to pursue?</w:t>
      </w:r>
    </w:p>
    <w:p w:rsidR="00A86150" w:rsidRDefault="00F714D4">
      <w:pPr>
        <w:numPr>
          <w:ilvl w:val="0"/>
          <w:numId w:val="20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here is changing the law of employment in New Jersey. It is making case law, and the rule here articulated governs similar future cases in New Jersey. Why did the court make this change? Why is it relevant that the court says it would be easy for an employer to avoid this problem?</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law developed as the status-centered organization of feudal society faded and people began to make choices about how they might order their lives. In the capitalistic system, people make choices about how to interact with others, and—necessarily—those choices expressed as promises must be binding and enforceable.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fundamental sources of contract law are (1) the common law as developed in the state courts and as summarized in the Restatement (Second) of Contracts and (2) the Uniform Commercial Code for the sale of goods. In general, the UCC is more liberal than the common law in upholding the existence of a contract.</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Types of contracts can be distinguished by four criteria: (1) express and implied, including quasi-contracts implied by law; (2) bilateral and unilateral; (3) enforceable and unenforceable; and (4) completed (executed) and uncompleted (executory). To understand contract law, it is necessary to master these distinctions and their nuances.</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A86150">
      <w:pPr>
        <w:numPr>
          <w:ilvl w:val="0"/>
          <w:numId w:val="20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p>
    <w:p w:rsidR="00A86150" w:rsidRDefault="00F714D4">
      <w:pPr>
        <w:numPr>
          <w:ilvl w:val="1"/>
          <w:numId w:val="203"/>
        </w:numPr>
        <w:shd w:val="clear" w:color="auto" w:fill="E3EFF7"/>
        <w:spacing w:after="0" w:line="439" w:lineRule="atLeast"/>
        <w:ind w:left="6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 and Mrs. Smith, an elderly couple, had no relatives. When Mrs. Smith became ill, the Smiths asked a friend, Henrietta, to help with various housekeeping chores, including cleaning and cooking. Although the Smiths never promised to pay her, Henrietta performed the chores for eighteen months. Henrietta now claims that she is entitled to the reasonable value of the services performed. Is she correct? Explain.</w:t>
      </w:r>
    </w:p>
    <w:p w:rsidR="00A86150" w:rsidRDefault="00F714D4">
      <w:pPr>
        <w:numPr>
          <w:ilvl w:val="1"/>
          <w:numId w:val="203"/>
        </w:numPr>
        <w:shd w:val="clear" w:color="auto" w:fill="E3EFF7"/>
        <w:spacing w:after="0" w:line="439" w:lineRule="atLeast"/>
        <w:ind w:left="6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instead that the Smiths asked Mrs. Smith’s sister, Caroline, who lived nearby, to help with the housekeeping. After eighteen months, Caroline claims she is entitled to the reasonable value of the services performed. Is she correct?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letter from Bridge Builders Inc. to the Allied Steel Company stated, “We offer to purchase 10,000 tons of No. 4 steel pipe at today’s quoted price for delivery two months from today. Your acceptance must be received in five days.” Does Bridge Builders intend to create a bilateral or a unilateral contract? Why?</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Roscoe’s barber persuaded him to try a new hair cream called Sansfree, which the barber applied to Roscoe’s hair and scalp. The next morning Roscoe had a very unpleasant rash along his hairline. Upon investigation he discovered that the rash was due to an improper chemical compound in Sansfree. If Roscoe filed a breach of contract action against the barber, would the case be governed by the Uniform Commercial Code or common law?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Rachel entered into a contract to purchase a 2004 Dodge from Hanna, who lived in the neighboring apartment. When a dispute arose over the terms of the contract, Hanna argued that, because neither she nor Rachel was a merchant, the dispute should be decided under general principles of common law. Rachel, on the other hand, argued that Hanna was legally considered to be a merchant because she sold the car for profit and that, consequently, the sale was governed by the Uniform Commercial Code. Who is correct?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Lee and Michelle decided to cohabit. When they set up house, Michelle gave up her career, and Lee promised to share his earnings with her on a fifty-fifty basis. Several years later they ended their relationship, and when Lee failed to turn over half of his earnings, Michelle filed suit on the basis of Lee’s promise. What kind of contract would Michelle allege that Lee had breached?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Harry and Wilma were divorced in 2008, and Harry was ordered in the divorce decree to pay his ex-wife $10,000. In 2009 and 2010 Harry was hospitalized, incurring $3,000 in bills. He and Wilma discussed the matter, and Wilma agreed to pay the bill with her own money, even though Harry still owed her $5,000 from the divorce decree. When Harry died in late 2010, Wilma made a claim against his estate for $8,000 (the $3,000 in medical bills and the $5,000 from the decree), but the estate was only willing to pay the $5,000 from the decree, claiming she had paid the hospital bill voluntarily and had no contract for repayment. Is the estate correct?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Louie, an adult, entered into a contract to sell a case of scotch whiskey to Leroy, a minor. Is the contract void or voidable? Explain.</w:t>
      </w:r>
    </w:p>
    <w:p w:rsidR="00A86150" w:rsidRDefault="00F714D4">
      <w:pPr>
        <w:numPr>
          <w:ilvl w:val="0"/>
          <w:numId w:val="203"/>
        </w:numPr>
        <w:shd w:val="clear" w:color="auto" w:fill="E3EFF7"/>
        <w:spacing w:before="150" w:after="0" w:line="439" w:lineRule="atLeast"/>
        <w:ind w:left="600" w:right="75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James Mann owned a manufacturing plant that assembled cell phones. A CPA audit determined that several phones were missing. Theft by one or more of the workers was suspected. Accordingly, under Mann’s instructions, the following sign was placed in the employees’ cafeteria:</w:t>
      </w:r>
    </w:p>
    <w:p w:rsidR="00A86150" w:rsidRDefault="00F714D4">
      <w:p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Reward.</w:t>
      </w:r>
      <w:r>
        <w:rPr>
          <w:rFonts w:ascii="Calibri" w:eastAsia="Times New Roman" w:hAnsi="Calibri" w:cs="Calibri"/>
          <w:color w:val="333333"/>
          <w:sz w:val="20"/>
          <w:szCs w:val="20"/>
          <w:lang w:val="en"/>
        </w:rPr>
        <w:t> We are missing phones. I want all employees to watch for thievery. A reward of $500 will be paid for information given by any employee that leads to the apprehension of employee thieves.</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—James Mann</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Waldo, a plant employee, read the notice and immediately called Mann, stating, “I accept your offer. I promise to watch other employees and provide you with the requested information.” Has a contract been formed? Explain.</w:t>
      </w:r>
    </w:p>
    <w:p w:rsidR="00A86150" w:rsidRDefault="00F714D4">
      <w:pPr>
        <w:numPr>
          <w:ilvl w:val="0"/>
          <w:numId w:val="203"/>
        </w:numPr>
        <w:shd w:val="clear" w:color="auto" w:fill="E3EFF7"/>
        <w:spacing w:after="0"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Almost every day Sally took a break at lunch and went to the International News Stand—a magazine store—to browse the newspapers and magazines and chat with the owner, Conrad. Often she bought a magazine. One day she went there, browsed a bit, and took a magazine off the rack. Conrad was busy with three customers. Sally waved the magazine at Conrad and left the store with it. What kind of a contract, if any, was created?</w:t>
      </w:r>
    </w:p>
    <w:p w:rsidR="00A86150" w:rsidRDefault="00F714D4">
      <w:pPr>
        <w:numPr>
          <w:ilvl w:val="0"/>
          <w:numId w:val="203"/>
        </w:numPr>
        <w:shd w:val="clear" w:color="auto" w:fill="E3EFF7"/>
        <w:spacing w:line="439" w:lineRule="atLeast"/>
        <w:ind w:left="300" w:right="375"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Joan called Devon Sand &amp; Gravel and ordered two “boxes” (dump-truck loads) of gravel to be spread on her rural driveway by the “shoot and run” method: the tailgate is partially opened, the dump-truck bed is lifted, and the truck moves down the driveway spreading gravel as it goes. The driver mistakenly graveled the driveway of Joan’s neighbor, Watson, instead of Joan’s. Is Devon entitled to payment by Watson? Explain.</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204"/>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implied contract</w:t>
      </w:r>
    </w:p>
    <w:p w:rsidR="00A86150" w:rsidRDefault="00F714D4">
      <w:pPr>
        <w:numPr>
          <w:ilvl w:val="0"/>
          <w:numId w:val="20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be in writing</w:t>
      </w:r>
    </w:p>
    <w:p w:rsidR="00A86150" w:rsidRDefault="00F714D4">
      <w:pPr>
        <w:numPr>
          <w:ilvl w:val="0"/>
          <w:numId w:val="20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one in which the terms are spelled out</w:t>
      </w:r>
    </w:p>
    <w:p w:rsidR="00A86150" w:rsidRDefault="00F714D4">
      <w:pPr>
        <w:numPr>
          <w:ilvl w:val="0"/>
          <w:numId w:val="20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one inferred from the actions of the parties</w:t>
      </w:r>
    </w:p>
    <w:p w:rsidR="00A86150" w:rsidRDefault="00F714D4">
      <w:pPr>
        <w:numPr>
          <w:ilvl w:val="0"/>
          <w:numId w:val="20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imposed by law to avoid an unjust result</w:t>
      </w:r>
    </w:p>
    <w:p w:rsidR="00A86150" w:rsidRDefault="00F714D4">
      <w:pPr>
        <w:numPr>
          <w:ilvl w:val="0"/>
          <w:numId w:val="20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may be avoided by one party</w:t>
      </w:r>
    </w:p>
    <w:p w:rsidR="00A86150" w:rsidRDefault="00F714D4">
      <w:pPr>
        <w:numPr>
          <w:ilvl w:val="0"/>
          <w:numId w:val="206"/>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Convention on Contracts for the International Sale of Goods is</w:t>
      </w:r>
    </w:p>
    <w:p w:rsidR="00A86150" w:rsidRDefault="00F714D4">
      <w:pPr>
        <w:numPr>
          <w:ilvl w:val="0"/>
          <w:numId w:val="20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annual meeting of international commercial purchasing agents.</w:t>
      </w:r>
    </w:p>
    <w:p w:rsidR="00A86150" w:rsidRDefault="00F714D4">
      <w:pPr>
        <w:numPr>
          <w:ilvl w:val="0"/>
          <w:numId w:val="20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law used in overseas US federal territories</w:t>
      </w:r>
    </w:p>
    <w:p w:rsidR="00A86150" w:rsidRDefault="00F714D4">
      <w:pPr>
        <w:numPr>
          <w:ilvl w:val="0"/>
          <w:numId w:val="20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customary format or template for drafting contracts</w:t>
      </w:r>
    </w:p>
    <w:p w:rsidR="00A86150" w:rsidRDefault="00F714D4">
      <w:pPr>
        <w:numPr>
          <w:ilvl w:val="0"/>
          <w:numId w:val="20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kind of treaty setting out international contract law, to which the United States is a party</w:t>
      </w:r>
    </w:p>
    <w:p w:rsidR="00A86150" w:rsidRDefault="00F714D4">
      <w:pPr>
        <w:numPr>
          <w:ilvl w:val="0"/>
          <w:numId w:val="20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organization that develops uniform international law</w:t>
      </w:r>
    </w:p>
    <w:p w:rsidR="00A86150" w:rsidRDefault="00F714D4">
      <w:pPr>
        <w:numPr>
          <w:ilvl w:val="0"/>
          <w:numId w:val="208"/>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unenforceable contract is</w:t>
      </w:r>
    </w:p>
    <w:p w:rsidR="00A86150" w:rsidRDefault="00F714D4">
      <w:pPr>
        <w:numPr>
          <w:ilvl w:val="0"/>
          <w:numId w:val="20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void, not a contract at all</w:t>
      </w:r>
    </w:p>
    <w:p w:rsidR="00A86150" w:rsidRDefault="00F714D4">
      <w:pPr>
        <w:numPr>
          <w:ilvl w:val="0"/>
          <w:numId w:val="20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that a court will not enforce for either side because of a rule of law</w:t>
      </w:r>
    </w:p>
    <w:p w:rsidR="00A86150" w:rsidRDefault="00F714D4">
      <w:pPr>
        <w:numPr>
          <w:ilvl w:val="0"/>
          <w:numId w:val="20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unenforceable by one party but enforceable by the other</w:t>
      </w:r>
    </w:p>
    <w:p w:rsidR="00A86150" w:rsidRDefault="00F714D4">
      <w:pPr>
        <w:numPr>
          <w:ilvl w:val="0"/>
          <w:numId w:val="20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that has been performed by one party but not the other</w:t>
      </w:r>
    </w:p>
    <w:p w:rsidR="00A86150" w:rsidRDefault="00F714D4">
      <w:pPr>
        <w:numPr>
          <w:ilvl w:val="0"/>
          <w:numId w:val="209"/>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too indefinite to be valid</w:t>
      </w:r>
    </w:p>
    <w:p w:rsidR="00A86150" w:rsidRDefault="00F714D4">
      <w:pPr>
        <w:numPr>
          <w:ilvl w:val="0"/>
          <w:numId w:val="21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Betty Baker found a bicycle apparently abandoned near her house. She took it home and spent $150 repairing and painting it, after which Carl appeared and proved his ownership of it. Under what theory is Betty able to get reimbursed for her expenditures?</w:t>
      </w:r>
    </w:p>
    <w:p w:rsidR="00A86150" w:rsidRDefault="00F714D4">
      <w:pPr>
        <w:numPr>
          <w:ilvl w:val="0"/>
          <w:numId w:val="21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contract</w:t>
      </w:r>
    </w:p>
    <w:p w:rsidR="00A86150" w:rsidRDefault="00F714D4">
      <w:pPr>
        <w:numPr>
          <w:ilvl w:val="0"/>
          <w:numId w:val="21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contract</w:t>
      </w:r>
    </w:p>
    <w:p w:rsidR="00A86150" w:rsidRDefault="00F714D4">
      <w:pPr>
        <w:numPr>
          <w:ilvl w:val="0"/>
          <w:numId w:val="21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apparent or quasi-contract</w:t>
      </w:r>
    </w:p>
    <w:p w:rsidR="00A86150" w:rsidRDefault="00F714D4">
      <w:pPr>
        <w:numPr>
          <w:ilvl w:val="0"/>
          <w:numId w:val="21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executory contract</w:t>
      </w:r>
    </w:p>
    <w:p w:rsidR="00A86150" w:rsidRDefault="00F714D4">
      <w:pPr>
        <w:numPr>
          <w:ilvl w:val="0"/>
          <w:numId w:val="21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she will not get reimbursed</w:t>
      </w:r>
    </w:p>
    <w:p w:rsidR="00A86150" w:rsidRDefault="00F714D4">
      <w:pPr>
        <w:numPr>
          <w:ilvl w:val="0"/>
          <w:numId w:val="21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Alice discusses with her neighbor Bob her plan to hire Woodsman to cut three trees on her side of their property line, mentioning that she can get a good deal because Woodsman is now between jobs. Bob says, “Oh, don’t do that. My brother is going to cut some trees on my side, and he can do yours too for free.” Alice agrees. But Bob’s brother is preoccupied and never does the job. Three weeks later Alice discovers Woodsman’s rates have risen prohibitively. Under what theory does Alice have a cause of action against Bob?</w:t>
      </w:r>
    </w:p>
    <w:p w:rsidR="00A86150" w:rsidRDefault="00F714D4">
      <w:pPr>
        <w:numPr>
          <w:ilvl w:val="0"/>
          <w:numId w:val="21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contract</w:t>
      </w:r>
    </w:p>
    <w:p w:rsidR="00A86150" w:rsidRDefault="00F714D4">
      <w:pPr>
        <w:numPr>
          <w:ilvl w:val="0"/>
          <w:numId w:val="21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promissory estoppel</w:t>
      </w:r>
    </w:p>
    <w:p w:rsidR="00A86150" w:rsidRDefault="00F714D4">
      <w:pPr>
        <w:numPr>
          <w:ilvl w:val="0"/>
          <w:numId w:val="21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quasi-contract</w:t>
      </w:r>
    </w:p>
    <w:p w:rsidR="00A86150" w:rsidRDefault="00F714D4">
      <w:pPr>
        <w:numPr>
          <w:ilvl w:val="0"/>
          <w:numId w:val="21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contract</w:t>
      </w:r>
    </w:p>
    <w:p w:rsidR="00A86150" w:rsidRDefault="00F714D4">
      <w:pPr>
        <w:numPr>
          <w:ilvl w:val="0"/>
          <w:numId w:val="21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she has no cause of action against Bob</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2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2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1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9</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7"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Agreement</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215"/>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offer is, and what proposals are not offers</w:t>
      </w:r>
    </w:p>
    <w:p w:rsidR="00A86150" w:rsidRDefault="00F714D4">
      <w:pPr>
        <w:numPr>
          <w:ilvl w:val="0"/>
          <w:numId w:val="215"/>
        </w:numPr>
        <w:shd w:val="clear" w:color="auto" w:fill="EAE9DC"/>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communicated</w:t>
      </w:r>
    </w:p>
    <w:p w:rsidR="00A86150" w:rsidRDefault="00F714D4">
      <w:pPr>
        <w:numPr>
          <w:ilvl w:val="0"/>
          <w:numId w:val="215"/>
        </w:numPr>
        <w:shd w:val="clear" w:color="auto" w:fill="EAE9DC"/>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definite the offer needs to be</w:t>
      </w:r>
    </w:p>
    <w:p w:rsidR="00A86150" w:rsidRDefault="00F714D4">
      <w:pPr>
        <w:numPr>
          <w:ilvl w:val="0"/>
          <w:numId w:val="215"/>
        </w:numPr>
        <w:shd w:val="clear" w:color="auto" w:fill="EAE9DC"/>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long an offer is good for</w:t>
      </w:r>
    </w:p>
    <w:p w:rsidR="00A86150" w:rsidRDefault="00F714D4">
      <w:pPr>
        <w:numPr>
          <w:ilvl w:val="0"/>
          <w:numId w:val="215"/>
        </w:numPr>
        <w:shd w:val="clear" w:color="auto" w:fill="EAE9DC"/>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accepted, who can accept it, and when acceptance is effective</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begin the first of the four broad inquiries of contract law mentioned in </w:t>
      </w:r>
      <w:r>
        <w:rPr>
          <w:rFonts w:ascii="Georgia" w:eastAsia="Times New Roman" w:hAnsi="Georgia" w:cs="Times New Roman"/>
          <w:color w:val="2689C6"/>
          <w:sz w:val="21"/>
          <w:szCs w:val="21"/>
        </w:rPr>
        <w:t>Chapter 8 "Introduction to Contract Law"</w:t>
      </w:r>
      <w:r>
        <w:rPr>
          <w:rFonts w:ascii="Georgia" w:eastAsia="Times New Roman" w:hAnsi="Georgia" w:cs="Times New Roman"/>
          <w:color w:val="333333"/>
          <w:sz w:val="21"/>
          <w:szCs w:val="21"/>
        </w:rPr>
        <w:t>: Did the parties create a valid contract? The answer is not always obvious; the range of factors that must be taken into account can be large, and their relationships subtle. Since businesspeople frequently conduct contract negotiations without the assistance of a lawyer, it is important to attend to the nuances in order to avoid legal trouble at the outset. Whether a contract has been formed depends in turn on whether</w:t>
      </w:r>
    </w:p>
    <w:p w:rsidR="00A86150" w:rsidRDefault="00F714D4">
      <w:pPr>
        <w:pStyle w:val="ListParagraph"/>
        <w:numPr>
          <w:ilvl w:val="0"/>
          <w:numId w:val="2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reached an agreement (the focus of this chapter);</w:t>
      </w:r>
    </w:p>
    <w:p w:rsidR="00A86150" w:rsidRDefault="00F714D4">
      <w:pPr>
        <w:pStyle w:val="ListParagraph"/>
        <w:numPr>
          <w:ilvl w:val="0"/>
          <w:numId w:val="2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consideration was present;</w:t>
      </w:r>
    </w:p>
    <w:p w:rsidR="00A86150" w:rsidRDefault="00F714D4">
      <w:pPr>
        <w:pStyle w:val="ListParagraph"/>
        <w:numPr>
          <w:ilvl w:val="0"/>
          <w:numId w:val="2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agreement was legal; and</w:t>
      </w:r>
    </w:p>
    <w:p w:rsidR="00A86150" w:rsidRDefault="00F714D4">
      <w:pPr>
        <w:pStyle w:val="ListParagraph"/>
        <w:numPr>
          <w:ilvl w:val="0"/>
          <w:numId w:val="2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entered into the contract of their own free will, with knowledge of the facts, and with the capacity to make a contract.</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Factors 2, 3, and 4 are the subjects of subsequent chapters.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9.1 The Agreement in General</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17"/>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not all agreements or promises are contracts.</w:t>
      </w:r>
    </w:p>
    <w:p w:rsidR="00A86150" w:rsidRDefault="00F714D4">
      <w:pPr>
        <w:numPr>
          <w:ilvl w:val="0"/>
          <w:numId w:val="217"/>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whether a contract exists is based on an objective analysis of the parties’ interaction, not on a subjective one.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Significance of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core of a legal contract is the agreement between the parties. This is not a necessary ingredient; in Communist nations, contracts were (or are, in the few remaining Communist countries) routinely negotiated between parties who had the terms imposed on them. But in the West, and especially in the United States, agreement is of the essence. That is not merely a matter of convenience; it is at the heart of our philosophical and psychological beliefs. As the great student of contract law Samuel Williston put it, “It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agreements may take any form, including unspoken conduct between the parties, they are usually structured in terms of an offer and an acceptance.</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These two components will be the focus of our discussion. Note, however, that not every agreement, in the broadest sense of the word, need consist of an offer and an acceptance, and that it is entirely possible, therefore, for two persons to reach agreement without forming a contract. For example, people may agree that the weather is pleasant or that it would be preferable to go out for Chinese food rather than to see a foreign film; in neither case has a contract been formed. One of the major functions of the law of contracts is to sort out those agreements that are legally binding—those that are contracts—from those that are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Objective Test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interpreting agreements, courts generally apply an objective standard(outwardly, as an observer would interpret; not subjectively). The Restatement (Second) of Contracts defines </w:t>
      </w:r>
      <w:r>
        <w:rPr>
          <w:rFonts w:ascii="Georgia" w:eastAsia="Times New Roman" w:hAnsi="Georgia" w:cs="Calibri"/>
          <w:i/>
          <w:iCs/>
          <w:color w:val="333333"/>
          <w:sz w:val="20"/>
          <w:szCs w:val="20"/>
          <w:lang w:val="en"/>
        </w:rPr>
        <w:t>agreement</w:t>
      </w:r>
      <w:r>
        <w:rPr>
          <w:rFonts w:ascii="Georgia" w:eastAsia="Times New Roman" w:hAnsi="Georgia" w:cs="Calibri"/>
          <w:color w:val="333333"/>
          <w:sz w:val="20"/>
          <w:szCs w:val="20"/>
          <w:lang w:val="en"/>
        </w:rPr>
        <w:t> as a “manifestation of mutual assent by two or more persons to one another.”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Uniform Commercial Code defines </w:t>
      </w:r>
      <w:r>
        <w:rPr>
          <w:rFonts w:ascii="Georgia" w:eastAsia="Times New Roman" w:hAnsi="Georgia" w:cs="Calibri"/>
          <w:i/>
          <w:iCs/>
          <w:color w:val="333333"/>
          <w:sz w:val="20"/>
          <w:szCs w:val="20"/>
          <w:lang w:val="en"/>
        </w:rPr>
        <w:t>agreement</w:t>
      </w:r>
      <w:r>
        <w:rPr>
          <w:rFonts w:ascii="Georgia" w:eastAsia="Times New Roman" w:hAnsi="Georgia" w:cs="Calibri"/>
          <w:color w:val="333333"/>
          <w:sz w:val="20"/>
          <w:szCs w:val="20"/>
          <w:lang w:val="en"/>
        </w:rPr>
        <w:t> as “the bargain of the parties in fact as found in their language or by implication from other circumstances including course of dealing or usage of trade or course of performance.”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critical question is what the parties said or did, not what they thought they said or did, or not what impression they thought they were making.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distinction between objective and subjective standards crops up occasionally when one person claims he spoke in jest. The vice president of a company that manufactured punchboards, used in gambling, testified to the Washington State Game Commission that he would pay $100,000 to anyone who found a “crooked board.” Barnes, a bartender, who had purchased two boards that were crooked some time before, brought one to the company office and demanded payment. The company refused, claiming that the statement was made in jest (the audience at the commission hearing had laughed when the offer was made). The court disagreed, holding that it was reasonable to interpret the pledge of $100,000 as a means of promoting punchboards: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Lucy v. Zehmer</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9.4.1 "Objective Intention"</w:t>
      </w:r>
      <w:r>
        <w:rPr>
          <w:rFonts w:ascii="Georgia" w:eastAsia="Times New Roman" w:hAnsi="Georgia" w:cs="Calibri"/>
          <w:color w:val="333333"/>
          <w:sz w:val="20"/>
          <w:szCs w:val="20"/>
          <w:lang w:val="en"/>
        </w:rPr>
        <w:t> at the end of the chapter) illustrates that a party’s real state of mind must be expressed to the other party, rather than in an aside to one’s spouse.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Fundamentally, a contract is a legally binding “meeting of the minds” between the parties. It is not the unexpressed intention in the minds of the parties that determines whether there was “a meeting.” The test is objective: how would a reasonable person interpret the interaction?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1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the purposes of determining whether a party had a contractual intention, why do courts employ an objective rather than a subjective test?</w:t>
      </w:r>
    </w:p>
    <w:p w:rsidR="00A86150" w:rsidRDefault="00F714D4">
      <w:pPr>
        <w:numPr>
          <w:ilvl w:val="0"/>
          <w:numId w:val="21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relationship between “the emphasis laid on the ego and the individual will” in modern times (Williston) and the concept of the contractual agreement?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Samuel Williston, “Freedom of Contract,” </w:t>
      </w:r>
      <w:r>
        <w:rPr>
          <w:rFonts w:ascii="Calibri" w:eastAsia="Times New Roman" w:hAnsi="Calibri" w:cs="Calibri"/>
          <w:i/>
          <w:iCs/>
          <w:color w:val="333333"/>
          <w:sz w:val="20"/>
          <w:szCs w:val="20"/>
        </w:rPr>
        <w:t>Cornell Law Quarterly</w:t>
      </w:r>
      <w:r>
        <w:rPr>
          <w:rFonts w:ascii="Calibri" w:eastAsia="Times New Roman" w:hAnsi="Calibri" w:cs="Calibri"/>
          <w:color w:val="333333"/>
          <w:sz w:val="20"/>
          <w:szCs w:val="20"/>
        </w:rPr>
        <w:t> 6 (1921), 365.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2-204(1).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1-201(3).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Barnes v. Treece</w:t>
      </w:r>
      <w:r>
        <w:rPr>
          <w:rFonts w:ascii="Calibri" w:eastAsia="Times New Roman" w:hAnsi="Calibri" w:cs="Calibri"/>
          <w:color w:val="333333"/>
          <w:sz w:val="20"/>
          <w:szCs w:val="20"/>
        </w:rPr>
        <w:t>, 549 P.2d 1152 (Wash. App. 1976).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9.2 The Offer</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19"/>
        </w:numPr>
        <w:shd w:val="clear" w:color="auto" w:fill="EAE9DC"/>
        <w:tabs>
          <w:tab w:val="clear" w:pos="720"/>
          <w:tab w:val="num" w:pos="1020"/>
        </w:tabs>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definition of </w:t>
      </w:r>
      <w:r>
        <w:rPr>
          <w:rFonts w:ascii="Calibri" w:eastAsia="Times New Roman" w:hAnsi="Calibri" w:cs="Calibri"/>
          <w:i/>
          <w:iCs/>
          <w:color w:val="333333"/>
          <w:sz w:val="20"/>
          <w:szCs w:val="20"/>
          <w:lang w:val="en"/>
        </w:rPr>
        <w:t>offer</w:t>
      </w:r>
      <w:r>
        <w:rPr>
          <w:rFonts w:ascii="Calibri" w:eastAsia="Times New Roman" w:hAnsi="Calibri" w:cs="Calibri"/>
          <w:color w:val="333333"/>
          <w:sz w:val="20"/>
          <w:szCs w:val="20"/>
          <w:lang w:val="en"/>
        </w:rPr>
        <w:t>.</w:t>
      </w:r>
    </w:p>
    <w:p w:rsidR="00A86150" w:rsidRDefault="00F714D4">
      <w:pPr>
        <w:numPr>
          <w:ilvl w:val="0"/>
          <w:numId w:val="219"/>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some proposals are not offers.</w:t>
      </w:r>
    </w:p>
    <w:p w:rsidR="00A86150" w:rsidRDefault="00F714D4">
      <w:pPr>
        <w:numPr>
          <w:ilvl w:val="0"/>
          <w:numId w:val="219"/>
        </w:numPr>
        <w:shd w:val="clear" w:color="auto" w:fill="EAE9DC"/>
        <w:spacing w:after="0"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three essentials of an offer: intent, communication, and definiteness.</w:t>
      </w:r>
    </w:p>
    <w:p w:rsidR="00A86150" w:rsidRDefault="00F714D4">
      <w:pPr>
        <w:numPr>
          <w:ilvl w:val="0"/>
          <w:numId w:val="219"/>
        </w:numPr>
        <w:shd w:val="clear" w:color="auto" w:fill="EAE9DC"/>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when an offer expires and can no longer be accepted.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Offer and acceptance may seem to be straightforward concepts, as they are when two people meet face-to-face. But in a commercial society, the ways of making offers and accepting them are nearly infinite. A retail store advertises its merchandise in the newspaper. A seller makes his offer by mail or over the Internet. A telephone caller states that his offer will stand for ten days. An offer leaves open a crucial term. An auctioneer seeks bids. An offeror gives the offeree a choice. All these situations can raise tricky questions, as can corresponding situations involving acceptances.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Definition of </w:t>
      </w:r>
      <w:r>
        <w:rPr>
          <w:rFonts w:ascii="Calibri" w:eastAsia="Times New Roman" w:hAnsi="Calibri" w:cs="Calibri"/>
          <w:b/>
          <w:bCs/>
          <w:i/>
          <w:iCs/>
          <w:color w:val="333333"/>
          <w:sz w:val="27"/>
          <w:szCs w:val="27"/>
          <w:lang w:val="en"/>
        </w:rPr>
        <w:t>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defines offer as “the manifestation of willingness to enter into a bargain, so made as to justify another person in understanding that his assent to that bargain is invited and will conclude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Two key elements are implicit in that definition: the offer must be communicated, and it must be definite. Before considering these requirements, we examine the threshold question of whether an offer was intended. Let us look at proposals that may look like, but are not, offers.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Proposals That Are Not Offers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Advertisements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advertisements, price quotations, and invitations to bid are not construed as offers. A notice in the newspaper that a bicycle is on sale for $800 is normally intended only as an invitation to the public to come to the store to make a purchase. Similarly, a statement that a seller can “quote” a unit price to a prospective purchaser is not, by itself, of sufficient definiteness to constitute an offer; quantity, time of delivery, and other important factors are missing from such a statement. Frequently, in order to avoid construction of a statement about price and quantity as an offer, a seller or buyer may say, “Make me an offer.” Such a statement obviously suggests that no offer has yet been made. This principle usually applies to invitations for bids (e.g., from contractors on a building project). Many forms used by sales representatives as contracts indicate that by signing, the customer is making an offer to be accepted by the home office and is not accepting an offer made by the sales representative.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advertisements, price quotations, and the like are generally not offers, the facts in each case are important. Under the proper circumstances, an advertised statement can be construed as an offer, as shown in the well-known </w:t>
      </w:r>
      <w:r>
        <w:rPr>
          <w:rFonts w:ascii="Georgia" w:eastAsia="Times New Roman" w:hAnsi="Georgia" w:cs="Calibri"/>
          <w:i/>
          <w:iCs/>
          <w:color w:val="333333"/>
          <w:sz w:val="20"/>
          <w:szCs w:val="20"/>
          <w:lang w:val="en"/>
        </w:rPr>
        <w:t>Lefkowitz</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9.4.2 "Advertisements as Offers"</w:t>
      </w:r>
      <w:r>
        <w:rPr>
          <w:rFonts w:ascii="Georgia" w:eastAsia="Times New Roman" w:hAnsi="Georgia" w:cs="Calibri"/>
          <w:color w:val="333333"/>
          <w:sz w:val="20"/>
          <w:szCs w:val="20"/>
          <w:lang w:val="en"/>
        </w:rPr>
        <w:t> at the end of the chapter), in which the offended customer acted as his own lawyer and pursued an appeal to the Minnesota Supreme Court against a Minneapolis department store that took back its advertised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common-law rule that advertisements are normally to be considered invitations rather than offers, legislation and government regulations may offer redress. For many years, retail food stores have been subject to a rule, promulgated by the Federal Trade Commission (FTC), that goods advertised as “specials” must be available and must be sold at the price advertised. It is unlawful for a retail chain not to have an advertised item in each of its stores and in sufficient quantity, unless the advertisement specifically states how much is stocked and which branch stores do not carry it. Many states have enacted consumer protection statutes that parallel the FTC rule.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Invitations to Bid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Invitations to bid are also not generally construed as offers. An auctioneer does not make offers but solicits offers from the crowd: “May I have an offer?—$500? $450? $450! I have an offer for $450. Do I hear $475? May I have an offer?”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Communication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is an agreement in which each party assents to the terms of the other party. Without mutual assent there cannot be a contract, and this implies that the assent each person gives must be with reference to that of the other. If Toni places several alternative offers on the table, only one of which can be accepted, and invites Sandy to choose, no contract is formed if Sandy says merely, “I accept your terms.” Sandy must specify which offer she is assenting to.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this general proposition, it follows that no contract can be legally binding unless an offer is in fact communicated to the offeree. If you write an e-mail to a friend with an offer to sell your car for a certain sum and then get distracted and forget to send it, no offer has been made. If your friend coincidentally e-mails you the following day and says that she wants to buy your car and names the same sum, no contract has been made. Her e-mail to you is not an acceptance, since she did not know of your offer; it is, instead, an offer or an invitation to make an offer. Nor would there have been a contract if you had sent your communication and the two e-mails crossed in cyberspace. Both e-mails would be offers, and for a valid contract to be formed, it would still be necessary for one of you to accept the other’s offer. An offer is not effective until it is received by the offeree (and that’s also true of a revocation of the offer, and a rejection of the offer by the offeree).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requirement that an offer be communicated does not mean that every term must be communicated. You call up your friend and offer to sell him your car. You tell him the price and start to tell him that you will throw in the snow tires but will not pay for a new inspection, and that you expect to keep the car another three weeks. Impatiently, he cuts you off and says, “Never mind about all that; I’ll accept your offer on whatever terms you want.” You and he have a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principles apply to unknown offers of reward. An offer of a reward constitutes a unilateral contract that can be made binding only by performing the task for which the reward is offered. Suppose that Bonnie posts on a tree a sign offering a reward for returning her missing dog. If you saw the sign, found the dog, and returned it, you would have fulfilled the essentials of the offer. But if you chanced upon the dog, read the tag around its neck, and returned it without ever having been aware that a reward was offered, then you have not responded to the offer, even if you acted in the hope that the owner would reward you. There is no contractual obligation.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states, a different result follows from an offer of a reward by a governmental entity. Commonly, local ordinances provide that a standing reward of, say, $1,000 will be paid to anyone providing information that leads to the arrest and conviction of arsonists. To collect the reward, it is not necessary for a person who does furnish local authorities with such information to know that a reward ordinance exists. In contract terms, the standing reward is viewed as a means of setting a climate in which people will be encouraged to act in certain ways in the expectation that they will earn unknown rewards. It is also possible to view the claim to a reward as noncontractual; the right to receive it is guaranteed, instead, by the local ordinance.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 completed act called for by an unknown private offer does not give rise to a contract, partial performance usually does. Suppose Apex Bakery posts a notice offering a one-week bonus to all bakers who work at least six months in the kitchen. Charlene works two months before discovering the notice on the bulletin board. Her original ignorance of the offer will not defeat her claim to the bonus if she continues working, for the offer serves as an inducement to complete the performance called for.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Definiteness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common law reasonably requires that an offer spell out the essential proposed terms with sufficient definiteness—certainty of terms that enables a court to order enforcement or measure damages in the event of a breach. As it has often been put, “The law does not make contracts for the parties; it merely enforces the duties which they have undertaken” (Simpson, 1965, p. 19). Thus a supposed promise to sell “such coal as the promisor may wish to sell” is not an enforceable term because the seller, the coal company, undertakes no duty to sell anything unless it wishes to do so. Essential terms certainly include price and the work to be done. But not every omission is fatal; for example, as long as a missing term can be fixed by referring to some external standard—such as “no later than the first frost”—the offer is sufficiently definite.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major business transactions involving extensive negotiations, the parties often sign a preliminary “agreement in principle” before a detailed contract is drafted. These preliminary agreements may be definite enough to create contract liability even though they lack many of the terms found in a typical contract. For example, in a famous 1985 case, a Texas jury concluded that an agreement made “in principle” between the Pennzoil Company and the Getty Oil Company and not entirely finished was binding and that Texaco had unlawfully interfered with their contract. As a result, Texaco was held liable for over $10 billion, which was settled for $3 billion after Texaco went into bankruptcy.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Offers that state alternatives are definitive if each alternative is definite. David offers Sheila the opportunity to buy one of two automobiles at a fixed price, with delivery in two months and the choice of vehicle left to David. Sheila accepts. The contract is valid. If one of the cars is destroyed in the interval before delivery, David is obligated to deliver the other car. Sometimes, however, what appears to be an offer in the alternative may be something else. Charles makes a deal to sell his business to Bernie. As part of the bargain, Charles agrees not to compete with Bernie for the next two years, and if he does, to pay $25,000. Whether this is an alternative contract depends on the circumstances and intentions of the parties. If it is, then Charles is free to compete as long as he pays Bernie $25,000. On the other hand, the intention might have been to prevent Charles from competing in any event; hence a court could order payment of the $25,000 as damages for a breach and still order Charles to refrain from competition until the expiration of the two-year period.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UCC Approach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Uniform Commercial Code (UCC) is generally more liberal in its approach to definiteness than is the common law—at least as the common law was interpreted in the heyday of classical contract doctrine. Section 2-204(3) states the rule: “Even though one or more terms are left open, a contract for sale does not fail for indefiniteness if the parties have intended to make a contract and there is a reasonably certain basis for giving an appropriate remedy.”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drafters of the UCC sought to give validity to as many contracts as possible and grounded that validity on the intention of the parties rather than on formalistic requirements. As the official comment to Section 2-204(3) notes, “If the parties intend to enter into a binding agreement, this subsection recognizes that agreement as valid in law, despite missing terms, if there is any reasonably certain basis for granting a remedy.…Commercial standards on the point of ‘indefiniteness’ are intended to be applied.” Other sections of the UCC spell out rules for filling in such open provisions as price, performance, and remedies.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these sections, Section 2-306(1), provides that a contract term under which a buyer agrees to purchase the seller’s entire output of goods (an “outputs contract”) or a seller agrees to meet all the buyer’s requirements (a “requirements” or “needs” contract) means output or requirements that occur in good faith. A party to such a contract cannot offer or demand a quantity that is “unreasonably disproportionate” to a stated estimate or past quantities.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Duration of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offer need not be accepted on the spot. Because there are numerous ways of conveying an offer and numerous contingencies that may be part of the offer’s subject matter, the offeror might find it necessary to give the offeree considerable time to accept or reject the offer. By the same token, an offer cannot remain open forever, so that once given, it never lapses and cannot be terminated. The law recognizes seven ways by which the offer can expire (besides acceptance, of course): revocation, rejection by the offeree, counteroffer, acceptance with counteroffer, lapse of time, death or insanity of a person or destruction of an essential term, and illegality. We will examine each of these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Revocation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are free to make contracts and, in general, to revoke them.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Revocability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both in common law and under the UCC, is that the offeror may revoke his or her offer at any time before acceptance, even if the offer states that it will remain open for a specified period of time. Neil offers Arlene his car for $5,000 and promises to keep the offer open for ten days. Two days later, Neil calls Arlene to revoke the offer. The offer is terminated, and Arlene’s acceptance thereafter, though within the ten days, is ineffective. But if Neil had sent hisrevocation (the taking back of an offer before it is accepted) by mail, and if Arlene, before she received it, had telephoned her acceptance, there would be a contract, since revocation is effective only when the offeree actually receives it. There is an exception to this rule for offers made to the public through newspaper or like advertisements. The offeror may revoke a public offering by notifying the public by the same means used to communicate the offer. If no better means of notification is reasonably available, the offer is terminated even if a particular offeree had no actual notice.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Revocation may be communicated indirectly. If Arlene had learned from a friend that Neil had sold his car to someone else during the ten-day period, she would have had sufficient notice. Any attempt to accept Neil’s offer would have been futile.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Irrevocable Offers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type of offer is revocable. One type of offer that cannot be revoked is the option contract (the promisor explicitly agrees for consideration to limit his right to revoke). Arlene tells Neil that she cannot make up her mind in ten days but that she will pay him $25 to hold the offer open for thirty days. Neil agrees. Arlene has an option to buy the car for $5,000; if Neil should sell it to someone else during the thirty days, he will have breached the contract with Arlene. Note that the transactions involving Neil and Arlene consist of two different contracts. One is the promise of a thirty-day option for the promise of $25. It is this contract that makes the option binding and is independent of the original offer to sell the car for $5,000. The offer can be accepted and made part of an independent contract during the option period.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Partial performance of a unilateral contract creates an option. Although the option is not stated explicitly, it is recognized by law in the interests of justice. Otherwise, an offeror could induce the offeree to go to expense and trouble without ever being liable to fulfill his or her part of the bargain. Before the offeree begins to carry out the contract, the offeror is free to revoke the offer. But once performance begins, the law implies an option, allowing the offeree to complete performance according to the terms of the offer. If, after a reasonable time, the offeree does not fulfill the terms of the offer, then it may be revoked.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Revocability 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changes the common-law rule for offers by merchants. Under Section 2-205, a firm offer (a written and signed promise by a merchant to hold an offer to buy or sell goods for some period of time) is irrevocable. That is, an option is created, but no consideration is required. The offer must remain open for the time period stated or, if no time period is given, for a reasonable period of time, which may not exceed three months.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Irrevocability by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law, certain types of offers may not be revoked (statutory irrevocability), despite the absence of language to that effect in the offer itself. One major category of such offers is that of the contractor submitting a bid to a public agency. The general rule is that once the period of bidding opens, a bidder on a public contract may not withdraw his or her bid unless the contracting authority consents. The contractor who purports to withdraw is awarded the contract based on the original bid and may be sued for damages for nonperformance.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Rejection by the Offeree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Rejection (a manifestation of refusal to agree to the terms of an offer) of the offer is effective when the offeror receives it. A subsequent change of mind by the offeree cannot revive the offer. Donna calls Chuck to reject Chuck’s offer to sell his lawn mower. Chuck is then free to sell it to someone else. If Donna changes her mind and calls Chuck back to accept after all, there still is no contract, even if Chuck has made no further effort to sell the lawn mower. Having rejected the original offer, Donna, by her second call, is not accepting but making an offer to buy. Suppose Donna had written Chuck to reject, but on changing her mind, decided to call to accept before the rejection letter arrived. In that case, the offer would have been accepted.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Counteroffer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counteroffer, a response that varies the terms of an offer, is a rejection. Jones offers Smith a small parcel of land for $10,000 and says the offer will remain open for one month. Smith responds ten days later, saying he will pay $5,000. Jones’s original offer has thereby been rejected. If Jones now declines Smith’s counteroffer, may Smith bind Jones to his original offer by agreeing to pay the full $10,000? He may not, because once an original offer is rejected, all the terms lapse. However, an inquiry by Smith as to whether Jones would consider taking less is not a counteroffer and would not terminate the offer.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Acceptance with Counteroffer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not really an acceptance at all but is a counteroffer: an acceptance that changes the terms of the offer is a counteroffer and terminates the offer. The common law imposes a mirror image rule: the acceptance must match the offer in all its particulars or the offer is rejected. However, if an acceptance that requests a change or an addition to the offer does not require the offeror’s assent, then the acceptance is valid. The broker at Friendly Real Estate offers you a house for $320,000. You accept but include in your acceptance “the vacant lot next door.” Your acceptance is a counteroffer, which serves to terminate the original offer. If, instead, you had said, “It’s a deal, but I’d prefer it with the vacant lot next door,” then there is a contract because you are not demanding that the broker abide by your request. If you had said, “It’s a deal, and I’d also like the vacant lot next door,” you have a contract, because the request for the lot is a separate offer, not a counteroffer rejecting the original proposal.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UCC and Counteroffers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is more liberal than the common law in allowing contracts to be formed despite counteroffers and in incorporating the counteroffers into the contracts. This UCC provision is necessary because the use of routine forms for contracts is very common, and if the rule were otherwise, much valuable time would be wasted by drafting clauses tailored to the precise wording of the routine printed forms. A buyer and a seller send out documents accompanying or incorporating their offers and acceptances, and the provisions in each document rarely correspond precisely. Indeed, it is often the case that one side’s form contains terms favorable to it but inconsistent with terms on the other side’s form. 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example of terms that become part of the contract without being expressly agreed to are clauses providing for interest payments on overdue bills. Examples of terms that would materially alter the contract and hence need express approval are clauses that negate the standard warranties that sellers give buyers on their merchandise.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Frequently, parties use contract provisions to prevent the automatic introduction of new terms. A typical seller’s provision is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Amendments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modification of this document by the Buyer, and all additional or different terms included in Buyer’s purchase order or any other document responding to this offer, are hereby objected to. BY ORDERING THE GOODS HERE FOR SHIPMENT, BUYER AGREES TO ALL THE TERMS AND CONDITIONS CONTAINED ON BOTH SIDES OF THIS DOCUMENT.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2-207 of the UCC, liberalizing the mirror image rule, is pervasive, covering all sorts of contracts, from those between industrial manufacturers to those between friends.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Lapse of Time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Offers are not open-ended; they lapse after some period of time. An offer may contain its own specific time limitation—for example, “until close of business today.”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absence of an expressly stated time limit, the common-law rule is that the offer expires at the end of a “reasonable” time. Such a period is a factual question in each case and depends on the particular circumstances, including the nature of the service or property being contracted for, the manner in which the offer is made, and the means by which the acceptance is expected to be made. Whenever the contract involves a speculative transaction—the sale of securities or land, for instance—the time period will depend on the nature of the security and the risk involved. In general, the greater the risk to the seller, the shorter the period of time. Karen offers to sell Gary a block of oil stocks that are fluctuating rapidly hour by hour. Gary receives the offer an hour before the market closes; he accepts by fax two hours after the market has opened the next morning and after learning that the stock has jumped up significantly. The time period has lapsed if Gary was accepting a fixed price that Karen set, but it may still be open if the price is market price at time of delivery. (Under Section 41 of the Restatement, an offer made by mail is “seasonably accepted if an acceptance is mailed at any time before midnight on the day on which the offer is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unilateral contracts, both the common law and the UCC require the offeree to notify the offeror that he has begun to perform the terms of the contract. Without notification, the offeror may, after a reasonable time, treat the offer as having lapsed.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Death or Insanity of the Offeror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death or insanity of the offeror prior to acceptance terminates the offer; the offer is said to die with the offeror. (Notice, however, that the death of a party to a </w:t>
      </w:r>
      <w:r>
        <w:rPr>
          <w:rFonts w:ascii="Georgia" w:eastAsia="Times New Roman" w:hAnsi="Georgia" w:cs="Calibri"/>
          <w:i/>
          <w:iCs/>
          <w:color w:val="333333"/>
          <w:sz w:val="20"/>
          <w:szCs w:val="20"/>
          <w:lang w:val="en"/>
        </w:rPr>
        <w:t>contract</w:t>
      </w:r>
      <w:r>
        <w:rPr>
          <w:rFonts w:ascii="Georgia" w:eastAsia="Times New Roman" w:hAnsi="Georgia" w:cs="Calibri"/>
          <w:color w:val="333333"/>
          <w:sz w:val="20"/>
          <w:szCs w:val="20"/>
          <w:lang w:val="en"/>
        </w:rPr>
        <w:t> does not necessarily terminate the contract: the estate of a deceased person may be liable on a contract made by the person before death.)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Destruction of Subject Matter Essential to the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Destruction of something essential to the contract also terminates the offer. You offer to sell your car, but the car is destroyed in an accident before your offer is accepted; the offer is terminated.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Postoffer Illegality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statute making unlawful the object of the contract will terminate the offer if the statute takes effect after the offer was made. Thus an offer to sell a quantity of herbal weight-loss supplements will terminate if the Food and Drug Administration outlaws the sale of such supplements.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offer is a manifestation of willingness to enter into a contract, effective when received. It must be communicated to the offeree, be made intentionally (according to an objective standard), and be definite enough to determine a remedy in case of breach. An offer terminates in one of seven ways: revocation before acceptance (except for option contracts, firm offers under the UCC, statutory irrevocability, and unilateral offers where an offeree has commenced performance); rejection; counteroffer; acceptance with counteroffer; lapse of time (as stipulated or after a reasonable time); death or insanity of the offeror before acceptance or destruction of subject matter essential to the offer; and postoffer illegality.</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20"/>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said an offer is a “manifestation” of willingness to enter into a contract? How could willingness be “manifested”?</w:t>
      </w:r>
    </w:p>
    <w:p w:rsidR="00A86150" w:rsidRDefault="00F714D4">
      <w:pPr>
        <w:numPr>
          <w:ilvl w:val="0"/>
          <w:numId w:val="22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kind of standard is used to determine whether a person has made an offer—subjective or objective?</w:t>
      </w:r>
    </w:p>
    <w:p w:rsidR="00A86150" w:rsidRDefault="00F714D4">
      <w:pPr>
        <w:numPr>
          <w:ilvl w:val="0"/>
          <w:numId w:val="22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Sandra posts a written notice offering “to the kitchen staff at Coldwater Bay (Alaska) transportation to Seattle at the end of the fishing season,” and if David, one of the maintenance workers, says to her, “I accept your offer of transportation to Seattle,” is there a contract?</w:t>
      </w:r>
    </w:p>
    <w:p w:rsidR="00A86150" w:rsidRDefault="00F714D4">
      <w:pPr>
        <w:numPr>
          <w:ilvl w:val="0"/>
          <w:numId w:val="220"/>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seven ways an offer can terminate?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9"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Chiefly, Uniform Commercial Code, Sections 2-305 through 2-310.</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9.3 The Acceptance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21"/>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w:t>
      </w:r>
      <w:r>
        <w:rPr>
          <w:rFonts w:ascii="Calibri" w:eastAsia="Times New Roman" w:hAnsi="Calibri" w:cs="Calibri"/>
          <w:i/>
          <w:iCs/>
          <w:color w:val="333333"/>
          <w:sz w:val="20"/>
          <w:szCs w:val="20"/>
          <w:lang w:val="en"/>
        </w:rPr>
        <w:t>acceptance</w:t>
      </w:r>
      <w:r>
        <w:rPr>
          <w:rFonts w:ascii="Calibri" w:eastAsia="Times New Roman" w:hAnsi="Calibri" w:cs="Calibri"/>
          <w:color w:val="333333"/>
          <w:sz w:val="20"/>
          <w:szCs w:val="20"/>
          <w:lang w:val="en"/>
        </w:rPr>
        <w:t>.</w:t>
      </w:r>
    </w:p>
    <w:p w:rsidR="00A86150" w:rsidRDefault="00F714D4">
      <w:pPr>
        <w:numPr>
          <w:ilvl w:val="0"/>
          <w:numId w:val="221"/>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who may accept an offer.</w:t>
      </w:r>
    </w:p>
    <w:p w:rsidR="00A86150" w:rsidRDefault="00F714D4">
      <w:pPr>
        <w:numPr>
          <w:ilvl w:val="0"/>
          <w:numId w:val="221"/>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when the acceptance is effective.</w:t>
      </w:r>
    </w:p>
    <w:p w:rsidR="00A86150" w:rsidRDefault="00F714D4">
      <w:pPr>
        <w:numPr>
          <w:ilvl w:val="0"/>
          <w:numId w:val="221"/>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when silence is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Definition of </w:t>
      </w:r>
      <w:r>
        <w:rPr>
          <w:rFonts w:ascii="Calibri" w:eastAsia="Times New Roman" w:hAnsi="Calibri" w:cs="Calibri"/>
          <w:b/>
          <w:bCs/>
          <w:i/>
          <w:iCs/>
          <w:color w:val="333333"/>
          <w:sz w:val="27"/>
          <w:szCs w:val="27"/>
          <w:lang w:val="en"/>
        </w:rPr>
        <w:t>Acceptance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result in a legally binding contract, an offer must be accepted by the offeree. Just as the law helps define and shape an offer and its duration, so the law governs the nature and manner of acceptance. The Restatement defines acceptance of an offer as “a manifestation of assent to the terms thereof made by the offeree in a manner invited or required by the offer.”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The assent may be either by the making of a mutual promise or by performance or partial performance. If there is doubt about whether the offer requests a return promise or a return act, the Restatement, Section 32, provides that the offeree may accept with either a promise or performance. The Uniform Commercial Code (UCC) also adopts this view; under Section 2-206(1)(a), “an offer to make a contract shall be construed as inviting acceptance in any manner and by any medium reasonable in the circumstances” unless the offer unambiguously requires a certain mode of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May Accept?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identity of the offeree is usually clear, even if the name is unknown. The person to whom a promise is made is ordinarily the person whom the offeror contemplates will make a return promise or perform the act requested. But this is not invariably so. A promise can be made to one person who is not expected to do anything in return. The consideration necessary to weld the offer and acceptance into a legal contract can be given by a third party. Under the common law, whoever is invited to furnish consideration to the offeror is the offeree, and only an offeree may accept an offer. A common example is sale to a minor. George promises to sell his automobile to Bartley, age seventeen, if Bartley’s father will promise to pay $3,500 to George. Bartley is the promisee (the person to whom the promise is made) but not the offeree; Bartley cannot legally accept George’s offer. Only Bartley’s father, who is called on to pay for the car, can accept, by making the promise requested. And notice what might seem obvious: a </w:t>
      </w:r>
      <w:r>
        <w:rPr>
          <w:rFonts w:ascii="Georgia" w:eastAsia="Times New Roman" w:hAnsi="Georgia" w:cs="Calibri"/>
          <w:i/>
          <w:iCs/>
          <w:color w:val="333333"/>
          <w:sz w:val="20"/>
          <w:szCs w:val="20"/>
          <w:lang w:val="en"/>
        </w:rPr>
        <w:t>promise</w:t>
      </w:r>
      <w:r>
        <w:rPr>
          <w:rFonts w:ascii="Georgia" w:eastAsia="Times New Roman" w:hAnsi="Georgia" w:cs="Calibri"/>
          <w:color w:val="333333"/>
          <w:sz w:val="20"/>
          <w:szCs w:val="20"/>
          <w:lang w:val="en"/>
        </w:rPr>
        <w:t> to perform as requested in the offer is itself a binding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When Is Acceptance Effective?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noted previously, an offer, a revocation of the offer, and a rejection of the offer are not effective until received. The same rule does not always apply to the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Instantaneous Communication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in many instances the moment of acceptance is not in question: in face-to-face deals or transactions negotiated by telephone, the parties extend an offer and accept it instantaneously during the course of the conversation. But problems can arise in contracts negotiated through correspondence.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Stipulations as to Acceptance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common situation arises when the offeror stipulates the mode of acceptance (e.g., return mail, fax, or carrier pigeon). If the offeree uses the stipulated mode, then the acceptance is deemed effective when sent. Even though the offeror has no knowledge of the acceptance at that moment, the contract has been formed. Moreover, according to the Restatement, Section 60, if the offeror says that the offer can be accepted only by the specified mode, that mode must be used. (It is said that “the offeror is the master of the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“Mailbox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use of the postal service is customary, so acceptances are considered effective when mailed, regardless of the method used to transmit the offer. Indeed, the so-called mailbox rule has a lineage tracing back more than one hundred years to the English courts.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mailbox rule may seem to create particular difficulties for people in business, since the acceptance is effective even though the offeror is unaware of the acceptance, and even if the letter is lost and never arrives. But the solution is the same as the rationale for the rule. In contracts negotiated through correspondence, there will always be a burden on one of the parties. If the rule were that the acceptance is not effective until received by the offeror, then the offeree would be on tenterhooks, rather than the other way around, as is the case with the present rule. As between the two, it seems fairer to place the burden on the offeror, since he or she alone has the power to fix the moment of effectiveness. All the offeror need do is specify in the offer that acceptance is not effective until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all other cases—that is, when the offeror fails to specify the mode of acceptance and the offeree uses a mode that is not reasonable—acceptance is deemed effective only when received.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Acceptance “Outruns” Rejection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offeree sends a rejection first and then later transmits a superseding acceptance, the “effective when received” rule also applies. Suppose a seller offers a buyer two cords of firewood and says the offer will remain open for a week. On the third day, the buyer writes the seller, rejecting the offer. The following evening, the buyer rethinks his firewood needs, and on the morning of the fifth day, he sends an e-mail accepting the seller’s terms. The previously mailed letter arrives the following day. Since the letter had not yet been received, the offer had not been rejected. For there to be a valid contract, the e-mailed acceptance must arrive before the mailed rejection. If the e-mail were hung up in cyberspace, although through no fault of the buyer, so that the letter arrived first, the seller would be correct in assuming the offer was terminated—even if the e-mail arrived a minute later. In short, where “the acceptance outruns the rejection” the acceptance is effective. See </w:t>
      </w:r>
      <w:r>
        <w:rPr>
          <w:rFonts w:ascii="Georgia" w:eastAsia="Times New Roman" w:hAnsi="Georgia" w:cs="Calibri"/>
          <w:color w:val="2689C6"/>
          <w:sz w:val="20"/>
          <w:szCs w:val="20"/>
          <w:lang w:val="en"/>
        </w:rPr>
        <w:t>Figure 9.1</w:t>
      </w:r>
      <w:r>
        <w:rPr>
          <w:rFonts w:ascii="Georgia" w:eastAsia="Times New Roman" w:hAnsi="Georgia" w:cs="Calibri"/>
          <w:color w:val="333333"/>
          <w:sz w:val="20"/>
          <w:szCs w:val="20"/>
          <w:lang w:val="en"/>
        </w:rPr>
        <w:t>.</w:t>
      </w:r>
    </w:p>
    <w:p w:rsidR="00A86150" w:rsidRDefault="00F714D4">
      <w:pPr>
        <w:shd w:val="clear" w:color="auto" w:fill="FFFFFF"/>
        <w:spacing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9.1</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914525"/>
            <wp:effectExtent l="0" t="0" r="0" b="9525"/>
            <wp:docPr id="42" name="Picture 11" descr="http://images.flatworldknowledge.com/mayerlawentrep/mayerlawentrep-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lawentrep/mayerlawentrep-fig09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p>
    <w:p w:rsidR="00A86150" w:rsidRDefault="00F714D4">
      <w:pPr>
        <w:shd w:val="clear" w:color="auto" w:fill="FFFFFF"/>
        <w:spacing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When Is Communication Effective?</w:t>
      </w:r>
    </w:p>
    <w:p w:rsidR="00A86150" w:rsidRDefault="0081777E">
      <w:pPr>
        <w:shd w:val="clear" w:color="auto" w:fill="FFFFFF"/>
        <w:spacing w:after="0" w:line="439" w:lineRule="atLeast"/>
        <w:jc w:val="center"/>
        <w:textAlignment w:val="baseline"/>
        <w:divId w:val="114105188"/>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0" style="width:468pt;height:1.5pt" o:hralign="center" o:hrstd="t" o:hrnoshade="t" o:hr="t" fillcolor="#555" stroked="f"/>
        </w:pict>
      </w:r>
    </w:p>
    <w:p w:rsidR="00A86150" w:rsidRDefault="00F714D4">
      <w:pPr>
        <w:shd w:val="clear" w:color="auto" w:fill="FFFFFF"/>
        <w:spacing w:before="24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Electronic Communications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Electronic communications have, of course, become increasingly common. Many contracts are negotiated by e-mail, accepted and “signed” electronically. Generally speaking, this does not change the rules. The Uniform Electronic Transactions Act (UETA) was promulgated (i.e., disseminated for states to adopt) in 1999. It is one of a number of uniform acts, like the Uniform Commercial Code. As of June 2010, forty-seven states and the US Virgin Islands had adopted the statute. The introduction to the act provides that “the purpose of the UETA is to remove barriers to electronic commerce by validating and effectuating electronic records and signatures.”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In general, the UETA provides the following:</w:t>
      </w:r>
    </w:p>
    <w:p w:rsidR="00A86150" w:rsidRDefault="00F714D4">
      <w:pPr>
        <w:pStyle w:val="ListParagraph"/>
        <w:numPr>
          <w:ilvl w:val="0"/>
          <w:numId w:val="2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record or signature may not be denied legal effect or enforceability solely because it is in electronic form.</w:t>
      </w:r>
    </w:p>
    <w:p w:rsidR="00A86150" w:rsidRDefault="00F714D4">
      <w:pPr>
        <w:pStyle w:val="ListParagraph"/>
        <w:numPr>
          <w:ilvl w:val="0"/>
          <w:numId w:val="2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may not be denied legal effect or enforceability solely because an electronic record was used in its formation.</w:t>
      </w:r>
    </w:p>
    <w:p w:rsidR="00A86150" w:rsidRDefault="00F714D4">
      <w:pPr>
        <w:pStyle w:val="ListParagraph"/>
        <w:numPr>
          <w:ilvl w:val="0"/>
          <w:numId w:val="2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law requires a record to be in writing, an electronic record satisfies the law.</w:t>
      </w:r>
    </w:p>
    <w:p w:rsidR="00A86150" w:rsidRDefault="00F714D4">
      <w:pPr>
        <w:pStyle w:val="ListParagraph"/>
        <w:numPr>
          <w:ilvl w:val="0"/>
          <w:numId w:val="2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law requires a signature, an electronic signature satisfies the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UETA, though, doesn’t address all the problems with electronic contracting. Clicking on a computer screen may constitute a valid acceptance of a contractual offer, but only if the offer is clearly communicated. In </w:t>
      </w:r>
      <w:r>
        <w:rPr>
          <w:rFonts w:ascii="Georgia" w:eastAsia="Times New Roman" w:hAnsi="Georgia" w:cs="Calibri"/>
          <w:i/>
          <w:iCs/>
          <w:color w:val="333333"/>
          <w:sz w:val="20"/>
          <w:szCs w:val="20"/>
          <w:lang w:val="en"/>
        </w:rPr>
        <w:t>Specht v. Netscape Communications Corp</w:t>
      </w:r>
      <w:r>
        <w:rPr>
          <w:rFonts w:ascii="Georgia" w:eastAsia="Times New Roman" w:hAnsi="Georgia" w:cs="Calibri"/>
          <w:color w:val="333333"/>
          <w:sz w:val="20"/>
          <w:szCs w:val="20"/>
          <w:lang w:val="en"/>
        </w:rPr>
        <w:t>., customers who had downloaded a free online computer program complained that it effectively invaded their privacy by inserting into their machines “cookies”; they wanted to sue, but the defendant said they were bound to arbitration.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They had clicked on the Download button, but hidden below it were the licensing terms, including the arbitration clause. The federal court of appeals held that there was no valid acceptance. The court said, “We agree with the district court that a reasonably prudent Internet user in circumstances such as these would not have known or learned of the existence of the license terms before responding to defendants’ invitation to download the free software, and that defendants therefore did not provide reasonable notice of the license terms. In consequence, the plaintiffs’ bare act of downloading the software did not unambiguously manifest assent to the arbitration provision contained in the license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faxed document is sent but for some reason not received or not noticed, the emerging law is that the mailbox rule does not apply. A court would examine the circumstances with care to determine the reason for the nonreceipt or for the offeror’s failure to notice its receipt. A person has to have fair notice that his or her offer has been accepted, and modern communication makes the old-fashioned mailbox rule—that acceptance is effective upon dispatch—problematic.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Silence as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Rule: Silence Is Not Acceptance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for there to be a contract, the offeree must make some positive manifestation of assent to the offeror’s terms. The offeror cannot usually word his offer in such a way that the offeree’s failure to respond can be construed as an acceptance.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Exceptions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Section 69, gives three situations, however, in which silence can operate as an acceptance. The first occurs when the offeree avails himself of services proffered by the offeror, even though he could have rejected them and had reason to know that the offeror offered them expecting compensation. The second situation occurs when the offer states that the offeree may accept without responding and the offeree, remaining silent, intends to accept. The third situation is that of previous dealings, in which only if the offeree intends not to accept is it reasonable to expect him to say so.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example of the first type of acceptance by silence, assume that a carpenter happens by your house and sees a collapsing porch. He spots you in the front yard and points out the deterioration. “I’m a professional carpenter,” he says, “and between jobs. I can fix that porch for you. Somebody ought to.” You say nothing. He goes to work. There is an implied contract, with the work to be done for the carpenter’s usual fee.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illustrate the second situation, suppose that a friend has left her car in your garage. The friend sends you a letter in which she offers you the car for $4,000 and adds, “If I don’t hear from you, I will assume that you have accepted my offer.” If you make no reply, with the intention of accepting the offer, a contract has been formed.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situation is illustrated by </w:t>
      </w:r>
      <w:r>
        <w:rPr>
          <w:rFonts w:ascii="Georgia" w:eastAsia="Times New Roman" w:hAnsi="Georgia" w:cs="Calibri"/>
          <w:color w:val="2689C6"/>
          <w:sz w:val="20"/>
          <w:szCs w:val="20"/>
          <w:lang w:val="en"/>
        </w:rPr>
        <w:t>Section 9.4.3 "Silence as Acceptance"</w:t>
      </w:r>
      <w:r>
        <w:rPr>
          <w:rFonts w:ascii="Georgia" w:eastAsia="Times New Roman" w:hAnsi="Georgia" w:cs="Calibri"/>
          <w:color w:val="333333"/>
          <w:sz w:val="20"/>
          <w:szCs w:val="20"/>
          <w:lang w:val="en"/>
        </w:rPr>
        <w:t>, a well-known decision made by Justice Oliver Wendell Holmes Jr. when he was sitting on the Supreme Court of Massachusetts.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Without an acceptance of an offer, no contract exists, and once an acceptance is made, a contract is formed. If the offeror stipulates how the offer should be accepted, so be it. If there is no stipulation, any reasonable means of communication is good. Offers and revocations are usually effective upon receipt, while an acceptance is effective on dispatch. The advent of electronic contracting has caused some modification of the rules: courts are likely to investigate the facts surrounding the exchange of offer and acceptance more carefully than previously. But the nuances arising because of the mailbox rule and acceptance by silence still require close attention to the facts.</w:t>
      </w:r>
    </w:p>
    <w:p w:rsidR="00A86150" w:rsidRDefault="00A86150">
      <w:pPr>
        <w:spacing w:after="0" w:line="439" w:lineRule="atLeast"/>
        <w:ind w:right="360"/>
        <w:textAlignment w:val="baseline"/>
        <w:rPr>
          <w:rFonts w:ascii="Calibri" w:eastAsia="Times New Roman" w:hAnsi="Calibri"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23"/>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Rudy puts this poster, with a photo of his dog, on utility poles around his neighborhood: “$50 reward for the return of my lost dog.” Carlene doesn’t see the poster, but she finds the dog and, after looking at the tag on its collar, returns the dog to Rudy. As she leaves his house, her eye falls on one of the posters, but Rudy declines to pay her anything. Why is Rudy correct that Carlene has no legal right to the reward?</w:t>
      </w:r>
    </w:p>
    <w:p w:rsidR="00A86150" w:rsidRDefault="00F714D4">
      <w:pPr>
        <w:numPr>
          <w:ilvl w:val="0"/>
          <w:numId w:val="2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has the UCC changed the common law’s mirror image rule, and why?</w:t>
      </w:r>
    </w:p>
    <w:p w:rsidR="00A86150" w:rsidRDefault="00F714D4">
      <w:pPr>
        <w:numPr>
          <w:ilvl w:val="0"/>
          <w:numId w:val="2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is an offer generally said to be effective? A rejection of an offer? A counteroffer?</w:t>
      </w:r>
    </w:p>
    <w:p w:rsidR="00A86150" w:rsidRDefault="00F714D4">
      <w:pPr>
        <w:numPr>
          <w:ilvl w:val="0"/>
          <w:numId w:val="2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have modern electronic communications affected the law of offer and acceptance?</w:t>
      </w:r>
    </w:p>
    <w:p w:rsidR="00A86150" w:rsidRDefault="00F714D4">
      <w:pPr>
        <w:numPr>
          <w:ilvl w:val="0"/>
          <w:numId w:val="22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is silence considered an acceptance?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Adams v. Lindsell</w:t>
      </w:r>
      <w:r>
        <w:rPr>
          <w:rFonts w:ascii="Calibri" w:eastAsia="Times New Roman" w:hAnsi="Calibri" w:cs="Calibri"/>
          <w:color w:val="333333"/>
          <w:sz w:val="20"/>
          <w:szCs w:val="20"/>
        </w:rPr>
        <w:t>, 1 Barnewall &amp; Alderson 681 (K.B. 1818).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The National Conference of Commissioners on Uniform State Laws, </w:t>
      </w:r>
      <w:r>
        <w:rPr>
          <w:rFonts w:ascii="Calibri" w:eastAsia="Times New Roman" w:hAnsi="Calibri" w:cs="Calibri"/>
          <w:i/>
          <w:iCs/>
          <w:color w:val="333333"/>
          <w:sz w:val="20"/>
          <w:szCs w:val="20"/>
        </w:rPr>
        <w:t>Uniform Electronic Transactions Act (1999)</w:t>
      </w:r>
      <w:r>
        <w:rPr>
          <w:rFonts w:ascii="Calibri" w:eastAsia="Times New Roman" w:hAnsi="Calibri" w:cs="Calibri"/>
          <w:color w:val="333333"/>
          <w:sz w:val="20"/>
          <w:szCs w:val="20"/>
        </w:rPr>
        <w:t> (Denver: National Conference of Commissioners on Uniform State Laws, 1999), accessed March 29, 2011,</w:t>
      </w:r>
      <w:hyperlink r:id="rId26" w:tgtFrame="_blank" w:history="1">
        <w:r>
          <w:rPr>
            <w:rStyle w:val="Hyperlink"/>
            <w:rFonts w:ascii="Calibri" w:eastAsia="Times New Roman" w:hAnsi="Calibri" w:cs="Calibri"/>
            <w:color w:val="2689C6"/>
            <w:sz w:val="20"/>
            <w:szCs w:val="20"/>
          </w:rPr>
          <w:t>http://www.law.upenn.edu/bll/archives/ulc/fnact99/1990s/ueta99.pdf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Specht v. Netscape Communications Corp.</w:t>
      </w:r>
      <w:r>
        <w:rPr>
          <w:rFonts w:ascii="Calibri" w:eastAsia="Times New Roman" w:hAnsi="Calibri" w:cs="Calibri"/>
          <w:color w:val="333333"/>
          <w:sz w:val="20"/>
          <w:szCs w:val="20"/>
        </w:rPr>
        <w:t>, 306 F.3d 17 (2d Cir. 2002).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See, for example, </w:t>
      </w:r>
      <w:r>
        <w:rPr>
          <w:rFonts w:ascii="Calibri" w:eastAsia="Times New Roman" w:hAnsi="Calibri" w:cs="Calibri"/>
          <w:i/>
          <w:iCs/>
          <w:color w:val="333333"/>
          <w:sz w:val="20"/>
          <w:szCs w:val="20"/>
        </w:rPr>
        <w:t>Clow Water Systems Co. v. National Labor Relations Board</w:t>
      </w:r>
      <w:r>
        <w:rPr>
          <w:rFonts w:ascii="Calibri" w:eastAsia="Times New Roman" w:hAnsi="Calibri" w:cs="Calibri"/>
          <w:color w:val="333333"/>
          <w:sz w:val="20"/>
          <w:szCs w:val="20"/>
        </w:rPr>
        <w:t>, 92 F.3d 441 (6th Cir. 1996).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9.4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Objective Intention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Lucy v. Zehmer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84 S.E.2d 516 (Va. 1954)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Buchanan,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only did Lucy actually believe, but the evidence shows he was warranted in believing, that the contract represented a serious business transaction and a good faith sale and purchase of the farm.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 The law, therefore, judges of an agreement between two persons exclusively from those expressions of their intentions which are communicated between them. * * *.”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a person cannot set up that he was merely jesting when his conduct and words would warrant a reasonable person in believing that he intended a real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24"/>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objective evidence was there to support the defendants’ contention that they were just kidding when they agreed to sell the farm?</w:t>
      </w:r>
    </w:p>
    <w:p w:rsidR="00A86150" w:rsidRDefault="00F714D4">
      <w:pPr>
        <w:numPr>
          <w:ilvl w:val="0"/>
          <w:numId w:val="22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the defendants really did think the whole thing was a kind of joke. Would that make any difference?</w:t>
      </w:r>
    </w:p>
    <w:p w:rsidR="00A86150" w:rsidRDefault="00F714D4">
      <w:pPr>
        <w:numPr>
          <w:ilvl w:val="0"/>
          <w:numId w:val="22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a matter of public policy, why does the law use an objective standard to determine the seriousness of intention, instead of a subjective standard?</w:t>
      </w:r>
    </w:p>
    <w:p w:rsidR="00A86150" w:rsidRDefault="00F714D4">
      <w:pPr>
        <w:numPr>
          <w:ilvl w:val="0"/>
          <w:numId w:val="22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Advertisements as Offers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Lefkowitz v. Great Minneapolis Surplus Store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86 N.W.2d 689 (Minn. 1957)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Murphy, Justice.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an appeal from an order of the Municipal Court of Minneapolis denying the motion of the defendant for amended findings of fact, or, in the alternative, for a new trial. The order for judgment awarded the plaintiff the sum of $138.50 as damages for breach of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case grows out of the alleged refusal of the defendant to sell to the plaintiff a certain fur piece which it had offered for sale in a newspaper advertisement. It appears from the record that on April 6, 1956, the defendant published the following advertisement in a Minneapolis newspaper: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Saturday 9 A.M. Sharp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Brand New Fur Coats Worth to $100.00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Come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Served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Each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$100 coat would be worth about $800 in 2010 dollars.] On April 13, the defendant again published an advertisement in the same newspaper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Saturday 9 A.M.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Brand New Pastel Mink 3-Skin Scarfs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Selling for. $89.50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Out they go Saturday. Each…$1.00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Black Lapin Stole Beautiful, worth $139.50…$1.00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Come First Served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record supports the findings of the court that on each of the Saturdays following the publication of the above-described ads the plaintiff was the first to present himself at the appropriate counter in the defendant’s store and on each occasion demanded the coat and the stole so advertised and indicated his readiness to pay the sale price of $1. On both occasions, the defendant refused to sell the merchandise to the plaintiff, stating on the first occasion that by a “house rule” the offer was intended for women only and sales would not be made to men, and on the second visit that plaintiff knew defendant’s house rules.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trial court properly disallowed plaintiff’s claim for the value of the fur coats since the value of these articles was speculative and uncertain. The only evidence of value was the advertisement itself to the effect that the coats were “Worth to $100.00,” how much less being speculative especially in view of the price for which they were offered for sale. With reference to the offer of the defendant on April 13, 1956, to sell the “1 Black Lapin Stole * * * worth $139.50 * * *” the trial court held that the value of this article was established and granted judgment in favor of the plaintiff for that amount less the $1 quoted purchase price.</w:t>
      </w:r>
    </w:p>
    <w:p w:rsidR="00A86150" w:rsidRDefault="00F714D4">
      <w:pPr>
        <w:numPr>
          <w:ilvl w:val="0"/>
          <w:numId w:val="225"/>
        </w:numPr>
        <w:shd w:val="clear" w:color="auto" w:fill="FFFFFF"/>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contends that a newspaper advertisement offering items of merchandise for sale at a named price is a “unilateral offer” which may be withdrawn without notice. He relies upon authorities which hold that, 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 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facts before us we are concerned with whether the advertisement constituted an offer, and, if so, whether the plaintiff’s conduct constituted an acceptance.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numerous authorities which hold that a particular advertisement in a newspaper or circular letter relating to a sale of articles may be construed by the court as constituting an offer, acceptance of which would complete a contract.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 of whether a binding obligation may originate in advertisements addressed to the general public is “whether the facts show that some performance was promised in positive terms in return for something requested.” 1 Williston, Contracts (Rev. ed.) s 27.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authorities above cited emphasize that, where the offer is clear, definite, and explicit, and leaves nothing open for negotiation, it constitutes an offer, acceptance of which will complete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in any individual instance a newspaper advertisement is an offer rather than an invitation to make an offer depends on the legal intention of the parties and the surrounding circumstances. [Citations] We are of the view on the facts before us that the offer by the defendant of the sale of the Lapin fur was clear, definite, and explicit, and left nothing open for negotiation. The plaintiff having successfully managed to be the first one to appear at the seller’s place of business to be served, as requested by the advertisement, and having offered the stated purchase price of the article, he was entitled to performance on the part of the defendant. We think the trial court was correct in holding that there was in the conduct of the parties a sufficient mutuality of obligation to constitute a contract of sale.</w:t>
      </w:r>
    </w:p>
    <w:p w:rsidR="00A86150" w:rsidRDefault="00F714D4">
      <w:pPr>
        <w:numPr>
          <w:ilvl w:val="0"/>
          <w:numId w:val="225"/>
        </w:numPr>
        <w:shd w:val="clear" w:color="auto" w:fill="FFFFFF"/>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contends that the offer was modified by a “house rule” to the effect that only women were qualified to receive the bargains advertised. The advertisement contained no such restriction. This objection may be disposed of briefly by stating that, while an advertiser has the right at any time before acceptance to modify his offer, he does not have the right, after acceptance, to impose new or arbitrary conditions not contained in the published offer.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26"/>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normal rule is that display advertisements in newspapers and the like are not offers, but rather invitations to make an offer, why was this different? Why did the court hold that this was an offer?</w:t>
      </w:r>
    </w:p>
    <w:p w:rsidR="00A86150" w:rsidRDefault="00F714D4">
      <w:pPr>
        <w:numPr>
          <w:ilvl w:val="0"/>
          <w:numId w:val="22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the rule that a display ad is usually not an offer?</w:t>
      </w:r>
    </w:p>
    <w:p w:rsidR="00A86150" w:rsidRDefault="00F714D4">
      <w:pPr>
        <w:numPr>
          <w:ilvl w:val="0"/>
          <w:numId w:val="22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 newspaper display advertisement reads, “This offer is good for two weeks,” is it still only an invitation to make an offer, or is it an offer?</w:t>
      </w:r>
    </w:p>
    <w:p w:rsidR="00A86150" w:rsidRDefault="00F714D4">
      <w:pPr>
        <w:numPr>
          <w:ilvl w:val="0"/>
          <w:numId w:val="22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listing by a private seller for the sale of a trailer on Craigslist or in the weekly classified advertisements an offer or an invitation to make an offer?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Silence as Acceptance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Hobbs v.Massasoit Whip Co.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33 N.E. 495 (Mass. 1893)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Holmes,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an action for the price of eel skins sent by the plaintiff to the defendant, and kept by the defendant some months, until they were destroyed. It must be taken that the plaintiff received no notice that the defendant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Standing alone, and unexplained, this proposition might seem to imply that one stranger may impose a duty upon another, and make him a purchaser, in spite of himself, by sending goods to him, unless he will take the trouble, and bear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 skins in the same way four or five times before, and they had been accepted and paid for. On the defendant’s testimony, it was fair to assume that if it had admitted the eel skins to be over 22 inches in length, and fit for its business, as the plaintiff testified and the jury found that they were, it would have accepted them; that this was understood by the plaintiff; and, indeed, that there was a standing offer to him for such skins.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[Citations] The proposition stands on the general principle that conduct which imports acceptance or assent is acceptance or assent, in the view of the law, whatever may have been the actual state of mind of the party—a principle sometimes lost sight of in the cases.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Exceptions overruled.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27"/>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an eel, and why would anybody make a whip out of its skin?</w:t>
      </w:r>
    </w:p>
    <w:p w:rsidR="00A86150" w:rsidRDefault="00F714D4">
      <w:pPr>
        <w:numPr>
          <w:ilvl w:val="0"/>
          <w:numId w:val="22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here deny the defendant’s assertion that it never accepted the plaintiff’s offer?</w:t>
      </w:r>
    </w:p>
    <w:p w:rsidR="00A86150" w:rsidRDefault="00F714D4">
      <w:pPr>
        <w:numPr>
          <w:ilvl w:val="0"/>
          <w:numId w:val="22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it reasonably seems that silence is acceptance, does it make any difference what the offeree really intended?</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legally valid contract was formed depends on a number of factors, including whether the parties reached agreement, whether consideration was present, and whether the agreement was legal. Agreement may seem like an intuitive concept, but intuition is not a sufficient guide to the existence of agreement in legal terms. The most common way of examining an agreement for legal sufficiency is by determining whether a valid offer and acceptance were made.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offer 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important aspect of the offer is its duration. An offer can expire in any one of several ways: (1) rejection, (2) counteroffer, (3) acceptance with counteroffer, (4) lapse of time, (5) death or insanity of the offeror or destruction of an essential term, (6) illegality, and (7) revocation. No understanding of agreement is complete without a mastery of these conditions.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constitute an agreement, an offer must be accepted.</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 But the nuances that arise because of the mailbox rule and acceptance by silence require close attention to the circumstances of each agreement.</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Sarah’s student apartment was unfurnished. She perused Doug’s List, an online classified ad service (for nonmerchants), and saw this advertisement: “Moving. For sale: a very nice brown leather couch, almost new, $600.” There was an accompanying photo and contact information. Sarah e-mailed the contact, saying she wanted to buy the couch. Does Sarah have a contract with the seller? Explain.</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Seller called Buyer on the telephone and offered to sell his used stereo. Buyer agreed to buy it without asking the price. The next day Buyer changed her mind and attempted to back out of the agreement. Do the parties have a contract? Explain.</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August 1, Ernie wrote to Elsie offering to sell Elsie his car for $7,600, and he promised to hold the offer open for ten days. On August 4 Ernie changed his mind; he sent Elsie a letter revoking the offer. On August 5 Elsie e-mailed Ernie, accepting the offer. Ernie’s letter of revocation arrived on August 6. Is there a contract? Explain.</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August 1 Grover visited a local electronics shop to purchase a new television. He saw one he liked but wasn’t sure if he could afford the $750. The store owner agreed to write up and sign an offer stating that it would be held open for ten days, which he did. On August 2 the owner changed his mind and sent Grover an e-mail revoking the offer, which Grover received immediately. On August 3 Grover sent a reply e-mail accepting the original offer. Is there a contract? Explain.</w:t>
      </w:r>
    </w:p>
    <w:p w:rsidR="00A86150" w:rsidRDefault="00F714D4">
      <w:pPr>
        <w:numPr>
          <w:ilvl w:val="0"/>
          <w:numId w:val="228"/>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Acme Corporation sent the following letter, here set out in its entirety:</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January 2, 2012</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Acme Corporation</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We hereby offer you 100 Acme golden widgets, size 6. This offer will be good for 10 days.</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[Signed] Roberta Acme</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Owner, Acme Corporation</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this offer irrevocable for the time stated? Explain.</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 and Mrs. Mitchell, the owners of a small secondhand store, attended an auction where they bought a used safe for $50. The safe, part of the Sumstad estate, had a locked compartment inside, a fact the auctioneer mentioned. After they bought the safe, the Mitchells had a locksmith open the interior compartment; it contained $32,000 in cash. The locksmith called the police, who impounded the safe, and a lawsuit ensued between the Mitchells and the Sumstad estate to determine the ownership of the cash. Who should get it, and why?</w:t>
      </w:r>
    </w:p>
    <w:p w:rsidR="00A86150" w:rsidRDefault="00F714D4">
      <w:pPr>
        <w:numPr>
          <w:ilvl w:val="0"/>
          <w:numId w:val="2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Ivan Mestrovic, an internationally renowned artist, and his wife lived for years in a house in Indiana. Ivan died in 1982. His widow remained in the house for some years; upon her death the contents of the house were willed to her children. When the Wilkens bought the house from the estate, it was very cluttered. A bank representative (the executor of the estate) said, “You can clean it yourself and keep whatever items you want, or we—as executor of Mrs. Mestrovic’s estate—will hire a rubbish removal service to dispose of it.” The Wilkens opted to clean it up themselves, and amid the mess, behind sofas and in odd closets, were six apparently valuable paintings by Mestrovic. The estate claimed them; the Wilkens claimed them. Who gets the paintings, and why?</w:t>
      </w:r>
    </w:p>
    <w:p w:rsidR="00A86150" w:rsidRDefault="00F714D4">
      <w:pPr>
        <w:numPr>
          <w:ilvl w:val="0"/>
          <w:numId w:val="22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David Kidd’s dog bit Mikaila Sherrod. On June 14, 2010, the Kidds offered to settle for $32,000. On July 12 the Sherrods sued the Kidds. On July 20 the Kidds bumped their offer up to $34,000. The suit was subject to mandatory arbitration, which proceeded on April 28, 2011. On May 5 the arbitrator awarded the Sherrods $25,000. On May 9 the Sherrods wrote to the Kidds and purported to accept their last offer of $34,000, made the year before. The Sherrods’ attorney moved to enforce that purported $34,000 “settlement agreement.” The court concluded that the offer was properly accepted because it had not been withdrawn and entered judgment against the Kidds for $34,000. The Kidds appealed. What result should obtain on appeal, and why?</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229"/>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interpreting agreements for the purpose of establishing whether a valid contract exists, courts generally apply</w:t>
      </w:r>
    </w:p>
    <w:p w:rsidR="00A86150" w:rsidRDefault="00F714D4">
      <w:pPr>
        <w:numPr>
          <w:ilvl w:val="1"/>
          <w:numId w:val="230"/>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subjective standards</w:t>
      </w:r>
    </w:p>
    <w:p w:rsidR="00A86150" w:rsidRDefault="00F714D4">
      <w:pPr>
        <w:numPr>
          <w:ilvl w:val="1"/>
          <w:numId w:val="230"/>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objective standards</w:t>
      </w:r>
    </w:p>
    <w:p w:rsidR="00A86150" w:rsidRDefault="00F714D4">
      <w:pPr>
        <w:numPr>
          <w:ilvl w:val="1"/>
          <w:numId w:val="230"/>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either a subjective or an objective standard</w:t>
      </w:r>
    </w:p>
    <w:p w:rsidR="00A86150" w:rsidRDefault="00F714D4">
      <w:pPr>
        <w:numPr>
          <w:ilvl w:val="1"/>
          <w:numId w:val="230"/>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23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valid offer must be</w:t>
      </w:r>
    </w:p>
    <w:p w:rsidR="00A86150" w:rsidRDefault="00F714D4">
      <w:pPr>
        <w:numPr>
          <w:ilvl w:val="0"/>
          <w:numId w:val="23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written</w:t>
      </w:r>
    </w:p>
    <w:p w:rsidR="00A86150" w:rsidRDefault="00F714D4">
      <w:pPr>
        <w:numPr>
          <w:ilvl w:val="0"/>
          <w:numId w:val="23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written and intended</w:t>
      </w:r>
    </w:p>
    <w:p w:rsidR="00A86150" w:rsidRDefault="00F714D4">
      <w:pPr>
        <w:numPr>
          <w:ilvl w:val="0"/>
          <w:numId w:val="23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communicated by letter</w:t>
      </w:r>
    </w:p>
    <w:p w:rsidR="00A86150" w:rsidRDefault="00F714D4">
      <w:pPr>
        <w:numPr>
          <w:ilvl w:val="0"/>
          <w:numId w:val="231"/>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communicated and definite</w:t>
      </w:r>
    </w:p>
    <w:p w:rsidR="00A86150" w:rsidRDefault="00F714D4">
      <w:pPr>
        <w:numPr>
          <w:ilvl w:val="0"/>
          <w:numId w:val="23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offer</w:t>
      </w:r>
    </w:p>
    <w:p w:rsidR="00A86150" w:rsidRDefault="00F714D4">
      <w:pPr>
        <w:numPr>
          <w:ilvl w:val="0"/>
          <w:numId w:val="23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specify time, place, and manner of acceptance</w:t>
      </w:r>
    </w:p>
    <w:p w:rsidR="00A86150" w:rsidRDefault="00F714D4">
      <w:pPr>
        <w:numPr>
          <w:ilvl w:val="0"/>
          <w:numId w:val="23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be accepted immediately to be valid</w:t>
      </w:r>
    </w:p>
    <w:p w:rsidR="00A86150" w:rsidRDefault="00F714D4">
      <w:pPr>
        <w:numPr>
          <w:ilvl w:val="0"/>
          <w:numId w:val="23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need not be accepted immediately</w:t>
      </w:r>
    </w:p>
    <w:p w:rsidR="00A86150" w:rsidRDefault="00F714D4">
      <w:pPr>
        <w:numPr>
          <w:ilvl w:val="0"/>
          <w:numId w:val="233"/>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only be accepted by the same means it was made</w:t>
      </w:r>
    </w:p>
    <w:p w:rsidR="00A86150" w:rsidRDefault="00F714D4">
      <w:pPr>
        <w:numPr>
          <w:ilvl w:val="0"/>
          <w:numId w:val="234"/>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offer generally</w:t>
      </w:r>
    </w:p>
    <w:p w:rsidR="00A86150" w:rsidRDefault="00F714D4">
      <w:pPr>
        <w:numPr>
          <w:ilvl w:val="0"/>
          <w:numId w:val="23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rejected by a counteroffer</w:t>
      </w:r>
    </w:p>
    <w:p w:rsidR="00A86150" w:rsidRDefault="00F714D4">
      <w:pPr>
        <w:numPr>
          <w:ilvl w:val="0"/>
          <w:numId w:val="23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be revoked if the offeror changes his or her mind</w:t>
      </w:r>
    </w:p>
    <w:p w:rsidR="00A86150" w:rsidRDefault="00F714D4">
      <w:pPr>
        <w:numPr>
          <w:ilvl w:val="0"/>
          <w:numId w:val="23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lapse after a reasonable period of time</w:t>
      </w:r>
    </w:p>
    <w:p w:rsidR="00A86150" w:rsidRDefault="00F714D4">
      <w:pPr>
        <w:numPr>
          <w:ilvl w:val="0"/>
          <w:numId w:val="235"/>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involves all of the above</w:t>
      </w:r>
    </w:p>
    <w:p w:rsidR="00A86150" w:rsidRDefault="00F714D4">
      <w:pPr>
        <w:numPr>
          <w:ilvl w:val="0"/>
          <w:numId w:val="236"/>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acceptance is generally considered effective</w:t>
      </w:r>
    </w:p>
    <w:p w:rsidR="00A86150" w:rsidRDefault="00F714D4">
      <w:pPr>
        <w:numPr>
          <w:ilvl w:val="0"/>
          <w:numId w:val="23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 letter is received by the offeror</w:t>
      </w:r>
    </w:p>
    <w:p w:rsidR="00A86150" w:rsidRDefault="00F714D4">
      <w:pPr>
        <w:numPr>
          <w:ilvl w:val="0"/>
          <w:numId w:val="23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 letter is mailed</w:t>
      </w:r>
    </w:p>
    <w:p w:rsidR="00A86150" w:rsidRDefault="00F714D4">
      <w:pPr>
        <w:numPr>
          <w:ilvl w:val="0"/>
          <w:numId w:val="23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offeree is silent</w:t>
      </w:r>
    </w:p>
    <w:p w:rsidR="00A86150" w:rsidRDefault="00F714D4">
      <w:pPr>
        <w:numPr>
          <w:ilvl w:val="0"/>
          <w:numId w:val="237"/>
        </w:numPr>
        <w:shd w:val="clear" w:color="auto" w:fill="E3EFF7"/>
        <w:spacing w:after="0" w:line="366"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when the acceptance is transmitted in writing</w:t>
      </w:r>
    </w:p>
    <w:p w:rsidR="00A86150" w:rsidRDefault="00A86150">
      <w:pPr>
        <w:spacing w:after="0" w:line="366" w:lineRule="atLeast"/>
        <w:ind w:left="720" w:right="375"/>
        <w:textAlignment w:val="baseline"/>
        <w:rPr>
          <w:rFonts w:ascii="Calibri" w:eastAsia="Times New Roman" w:hAnsi="Calibri"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2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2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2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23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81777E">
      <w:pPr>
        <w:spacing w:after="0" w:line="240" w:lineRule="auto"/>
        <w:jc w:val="center"/>
        <w:divId w:val="1656032146"/>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Sherrod ex rel. Cantone v. Kidd</w:t>
      </w:r>
      <w:r>
        <w:rPr>
          <w:rFonts w:ascii="Calibri" w:eastAsia="Times New Roman" w:hAnsi="Calibri" w:cs="Calibri"/>
          <w:color w:val="333333"/>
          <w:sz w:val="20"/>
          <w:szCs w:val="20"/>
        </w:rPr>
        <w:t>, 155 P.3d 976 (Wash. Ct. App., 2007).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10</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3"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Real Assent</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239"/>
        </w:numPr>
        <w:shd w:val="clear" w:color="auto" w:fill="EAE9DC"/>
        <w:tabs>
          <w:tab w:val="clear" w:pos="720"/>
          <w:tab w:val="num" w:pos="10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require “a meeting of the minds” between competent parties, and if there is no such “meeting,” the agreement is usually voidable.</w:t>
      </w:r>
    </w:p>
    <w:p w:rsidR="00A86150" w:rsidRDefault="00F714D4">
      <w:pPr>
        <w:numPr>
          <w:ilvl w:val="0"/>
          <w:numId w:val="239"/>
        </w:numPr>
        <w:shd w:val="clear" w:color="auto" w:fill="EAE9DC"/>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must enter the contract voluntarily, without duress or undue influence.</w:t>
      </w:r>
    </w:p>
    <w:p w:rsidR="00A86150" w:rsidRDefault="00F714D4">
      <w:pPr>
        <w:numPr>
          <w:ilvl w:val="0"/>
          <w:numId w:val="239"/>
        </w:numPr>
        <w:shd w:val="clear" w:color="auto" w:fill="EAE9DC"/>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or fraud, when proven, vitiates a contract.</w:t>
      </w:r>
    </w:p>
    <w:p w:rsidR="00A86150" w:rsidRDefault="00F714D4">
      <w:pPr>
        <w:numPr>
          <w:ilvl w:val="0"/>
          <w:numId w:val="239"/>
        </w:numPr>
        <w:shd w:val="clear" w:color="auto" w:fill="EAE9DC"/>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may make a contract voidable.</w:t>
      </w:r>
    </w:p>
    <w:p w:rsidR="00A86150" w:rsidRDefault="00F714D4">
      <w:pPr>
        <w:numPr>
          <w:ilvl w:val="0"/>
          <w:numId w:val="239"/>
        </w:numPr>
        <w:shd w:val="clear" w:color="auto" w:fill="EAE9DC"/>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to a contract must have capacity—that is, not labor under infancy, intoxication, or insanity.</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turn to the second of the four requirements for a valid contract. In addition to manifestation of assent, a party’s assent must be real; he or she must consent to the contract freely, with adequate knowledge, and must have capacity. The requirement of real assent raises the following major questions:</w:t>
      </w:r>
    </w:p>
    <w:p w:rsidR="00A86150" w:rsidRDefault="00F714D4">
      <w:pPr>
        <w:pStyle w:val="ListParagraph"/>
        <w:numPr>
          <w:ilvl w:val="0"/>
          <w:numId w:val="24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of their own free will, or was one forced to agree under duress or undue influence?</w:t>
      </w:r>
    </w:p>
    <w:p w:rsidR="00A86150" w:rsidRDefault="00F714D4">
      <w:pPr>
        <w:pStyle w:val="ListParagraph"/>
        <w:numPr>
          <w:ilvl w:val="0"/>
          <w:numId w:val="24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with full knowledge of the facts, or was one or both led to the agreement through fraud or mistake?</w:t>
      </w:r>
    </w:p>
    <w:p w:rsidR="00A86150" w:rsidRDefault="00F714D4">
      <w:pPr>
        <w:pStyle w:val="ListParagraph"/>
        <w:numPr>
          <w:ilvl w:val="0"/>
          <w:numId w:val="24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both parties have the capacity to make a contract?</w:t>
      </w:r>
    </w:p>
    <w:p w:rsidR="00A86150" w:rsidRDefault="00F714D4">
      <w:pPr>
        <w:pStyle w:val="ListParagraph"/>
        <w:numPr>
          <w:ilvl w:val="0"/>
          <w:numId w:val="240"/>
        </w:num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10.1 Duress and Undue Influence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41"/>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if a person makes an agreement under duress (being forced to enter a contract against his or her will), the agreement is void.</w:t>
      </w:r>
    </w:p>
    <w:p w:rsidR="00A86150" w:rsidRDefault="00F714D4">
      <w:pPr>
        <w:numPr>
          <w:ilvl w:val="0"/>
          <w:numId w:val="241"/>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undue influence is and what the typical circumstances are when it arises to make a contract voidable.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Duress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person is forced to do something against his or her will, that person is said to have been the victim of duress—compulsion. There are two types of duress: physical duress and duress by improper threat. A contract induced by physical violence is void.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Physical Duress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person is forced into entering a contract on threat of physical bodily harm, he or she is the victim of physical duress. It is defined by the Restatement (Second) of Contracts in Section 174: “If conduct that appears to be a manifestation of assent by a party who does not intend to engage in that conduct is physically compelled by duress, the conduct is not effective as a manifestation of assent.”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(a) to Section 174 provides in part, “This Section involves an application of that principle to those </w:t>
      </w:r>
      <w:r>
        <w:rPr>
          <w:rFonts w:ascii="Georgia" w:eastAsia="Times New Roman" w:hAnsi="Georgia" w:cs="Calibri"/>
          <w:i/>
          <w:iCs/>
          <w:color w:val="333333"/>
          <w:sz w:val="20"/>
          <w:szCs w:val="20"/>
          <w:lang w:val="en"/>
        </w:rPr>
        <w:t>relatively rare situations in which actual physical force</w:t>
      </w:r>
      <w:r>
        <w:rPr>
          <w:rFonts w:ascii="Georgia" w:eastAsia="Times New Roman" w:hAnsi="Georgia" w:cs="Calibri"/>
          <w:color w:val="333333"/>
          <w:sz w:val="20"/>
          <w:szCs w:val="20"/>
          <w:lang w:val="en"/>
        </w:rPr>
        <w:t> has been used to compel a party to appear to assent to a contract.…The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 (emphasis added).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is undoubtedly correct that there are “relatively rare situations in which actual physical force” is used to compel assent to a contract. Extortion is a crime.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Duress by Threat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kind of duress is </w:t>
      </w:r>
      <w:r>
        <w:rPr>
          <w:rFonts w:ascii="Georgia" w:eastAsia="Times New Roman" w:hAnsi="Georgia" w:cs="Calibri"/>
          <w:i/>
          <w:iCs/>
          <w:color w:val="333333"/>
          <w:sz w:val="20"/>
          <w:szCs w:val="20"/>
          <w:lang w:val="en"/>
        </w:rPr>
        <w:t>duress by threat</w:t>
      </w:r>
      <w:r>
        <w:rPr>
          <w:rFonts w:ascii="Georgia" w:eastAsia="Times New Roman" w:hAnsi="Georgia" w:cs="Calibri"/>
          <w:color w:val="333333"/>
          <w:sz w:val="20"/>
          <w:szCs w:val="20"/>
          <w:lang w:val="en"/>
        </w:rPr>
        <w:t>; it is more common than physical duress. Here the perpetrator threatens the victim, who feels there is no reasonable alternative but to assent to the contract. It renders the contract voidable. This rule contains a number of elements.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threat must be improper. Second, there must be no reasonable alternative. If, for example, a supplier threatens to hold up shipment of necessary goods unless the buyer agrees to pay more than the contract price, this would not be duress if the buyer could purchase identical supplies from someone else. Third, the test for inducement is subjective. It does not matter that the person threatened is unusually timid or that a reasonable person would not have felt threatened. The question is whether the threat in fact induced assent by the victim. Such facts as the victim’s belief that the threatener had the ability to carry out the threat and the length of time between the threat and assent are relevant in determining whether the threat did prompt the assent.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types of improper threats that might induce a party to enter into a contract: threats to commit a crime or a tort (e.g., bodily harm or taking of property), to instigate criminal prosecution, to instigate civil proceedings when a threat is made in bad faith, to breach a “duty of good faith and fair dealing under a contract with the recipient,” or to disclose embarrassing details about a person’s private life.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Jack buys a car from a local used-car salesman, Mr. Olson, and the next day realizes he bought a lemon. He threatens to break windows in Olson’s showroom if Olson does not buy the car back for $2,150, the purchase price. Mr. Olson agrees. The agreement is voidable, even though the underlying deal is fair, if Olson feels he has no reasonable alternative and is frightened into agreeing. Suppose Jack knows that Olson has been tampering with his cars’ odometers, a federal offense, and threatens to have Olson prosecuted if he will not repurchase the car. Even though Olson may be guilty, this threat makes the repurchase contract voidable, because it is a misuse for personal ends of a power (to go to the police) given each of us for other purposes. If these threats failed, suppose Jack then tells Olson, “I’m going to haul you into court and sue your pants off.” If Jack means he will sue for his purchase price, this is not an improper threat, because everyone has the right to use the courts to gain what they think is rightfully theirs. But if Jack meant that he would fabricate damages done him by a (falsely) claimed odometer manipulation, that would be an improper threat. Although Olson could defend against the suit, his reputation would suffer in the meantime from his being accused of odometer tampering.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threat to breach a contract that induces the victim to sign a new contract could be improper. Suppose that as part of the original purchase price, Olson agrees to make all necessary repairs and replace all failed parts for the first ninety days. At the end of one month, the transmission dies, and Jack demands a replacement. Olson refuses to repair the car unless Jack signs a contract agreeing to buy his next car from Olson. Whether this threat is improper depends on whether Jack has a reasonable alternative; if a replacement transmission is readily available and Jack has the funds to pay for it, he might have an alternative in suing Olson in small claims court for the cost. But if Jack needs the car immediately and he is impecunious, then the threat would be improper and the contract voidable. A threat to breach a contract is not necessarily improper, however. It depends on whether the new contract is fair and equitable because of unanticipated circumstances. If, for example, Olson discovers that he must purchase a replacement transmission at three times the anticipated cost, his threat to hold up work unless Jack agrees to pay for it might be reasonable.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Undue Influence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of Contracts (Second) characterizes undue influence as “unfair persuasion.”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It is a milder form of duress than physical harm or threats. The unfairness does not lie in any misrepresentation; rather, it occurs when the victim is under the domination of the persuader or is one who, in view of the relationship between them, is warranted in believing that the persuader will act in a manner detrimental to the victim’s welfare if the victim fails to assent. It is the improper use of trust or power to deprive a person of free will and substitute instead another’s objective. Usually the fact pattern involves the victim being isolated from receiving advice except from the persuader. Falling within this rule are situations where, for example, a child takes advantage of an infirm parent, a doctor takes advantage of an ill patient, or a lawyer takes advantage of an unknowledgeable client. If there has been undue influence, the contract is voidable by the party who has been unfairly persuaded. Whether the relationship is one of domination and the persuasion is unfair is a factual question. The answer hinges on a host of variables, including “the unfairness of the resulting bargain, the unavailability of independent advice, and the susceptibility of the person persuaded.”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10.5.1 "Undue Influence"</w:t>
      </w:r>
      <w:r>
        <w:rPr>
          <w:rFonts w:ascii="Georgia" w:eastAsia="Times New Roman" w:hAnsi="Georgia" w:cs="Calibri"/>
          <w:color w:val="333333"/>
          <w:sz w:val="20"/>
          <w:szCs w:val="20"/>
          <w:lang w:val="en"/>
        </w:rPr>
        <w:t>,</w:t>
      </w:r>
      <w:r>
        <w:rPr>
          <w:rFonts w:ascii="Georgia" w:eastAsia="Times New Roman" w:hAnsi="Georgia" w:cs="Calibri"/>
          <w:i/>
          <w:iCs/>
          <w:color w:val="333333"/>
          <w:sz w:val="20"/>
          <w:szCs w:val="20"/>
          <w:lang w:val="en"/>
        </w:rPr>
        <w:t>Hodge v. Shea</w:t>
      </w:r>
      <w:r>
        <w:rPr>
          <w:rFonts w:ascii="Georgia" w:eastAsia="Times New Roman" w:hAnsi="Georgia" w:cs="Calibri"/>
          <w:color w:val="333333"/>
          <w:sz w:val="20"/>
          <w:szCs w:val="20"/>
          <w:lang w:val="en"/>
        </w:rPr>
        <w: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contract induced by physical duress—threat of bodily harm—is void; a contract induced by improper threats—another type of duress—is voidable. Voidable also are contracts induced by undue influence, where a weak will is overborne by a stronger one.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4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two types of duress?</w:t>
      </w:r>
    </w:p>
    <w:p w:rsidR="00A86150" w:rsidRDefault="00F714D4">
      <w:pPr>
        <w:numPr>
          <w:ilvl w:val="0"/>
          <w:numId w:val="24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elements necessary to support a claim of undue influence?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177.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177(b).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10.2 Misrepresentation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43"/>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two types of misrepresentation: fraudulent and nonfraudulent.</w:t>
      </w:r>
    </w:p>
    <w:p w:rsidR="00A86150" w:rsidRDefault="00F714D4">
      <w:pPr>
        <w:numPr>
          <w:ilvl w:val="0"/>
          <w:numId w:val="243"/>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fraudulent misrepresentation in the execution and fraudulent misrepresentation in the inducement.</w:t>
      </w:r>
    </w:p>
    <w:p w:rsidR="00A86150" w:rsidRDefault="00F714D4">
      <w:pPr>
        <w:numPr>
          <w:ilvl w:val="0"/>
          <w:numId w:val="243"/>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elements necessary to prove fraudulent and nonfraudulent misrepresentation.</w:t>
      </w:r>
    </w:p>
    <w:p w:rsidR="00A86150" w:rsidRDefault="00F714D4">
      <w:pPr>
        <w:numPr>
          <w:ilvl w:val="0"/>
          <w:numId w:val="243"/>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remedies for misrepresentation.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Description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types of misrepresentation are fraudulent and nonfraudulent. Within the former are fraud in the execution and fraud in the inducement. Within the latter are negligent misrepresentation and innocent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Misrepresentation is a statement of fact that is not consistent with the truth. If misrepresentation is intentional, it is fraudulent misrepresentation; if it is not intentional, it is nonfraudulent misrepresentation, which can be either negligent or innocent.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further taxonomy, courts distinguish between fraud in the execution and fraud in the inducement. Fraud in the execution is defined by the Restatement as follows: “If a misrepresentation as to the character or essential terms of a proposed contract induces conduct that appears to be a manifestation of assent by one who neither knows nor has reasonable opportunity to know of the character or essential terms of the proposed contract, his conduct is not effective as a manifestation of assent.”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For example, Alphonse and Gaston decide to sign a written contract incorporating terms to which they have agreed. It is properly drawn up, and Gaston reads it and approves it. Before he can sign it, however, Alphonse shrewdly substitutes a different version to which Gaston has not agreed. Gaston signs the substitute version. There is no contract. There has been fraud in the execution.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Fraud in the inducement is more common. It involves some misrepresentation about the subject of the contract that induces assent. Alphonse tells Gaston that the car Gaston is buying from Alphonse has just been overhauled—which pleases Gaston—but it has not been. This renders the contract voidable.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Fraudulent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Necessary to proving fraudulent misrepresentation (usually just “fraud,” though technically “fraud” is the crime and “fraudulent misrepresentation” is the civil wrong) is a misstatement of fact that is intentionally made and justifiably relied upon.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Misstatement of Fact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generally, any statement not in accord with the facts (a fact is something amenable to testing as true) is a misrepresentation. Falsity does not depend on intent. A typist’s unnoticed error in a letter (inadvertently omitting the word “not,” for example, or transposing numbers) can amount to a misrepresentation on which the recipient may rely (it is not fraudulent misrepresentation). A half-truth can amount to a misrepresentation, as, for example, when the seller of a hotel says that the income is from both permanent and transient guests but fails to disclose that the bulk of the income is from single-night stopovers by seamen using the hotel as a brothel.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Concealment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type of misrepresentation is concealment. It is an act that is equivalent to a statement that the facts are to the contrary and that serves to prevent the other party from learning the true statement of affairs; it is hiding the truth. A common example is painting over defects in a building—by concealing the defects, the owner is misrepresenting the condition of the property. The act of concealment need not be direct; it may consist of sidetracking the other party from gaining necessary knowledge by, for example, convincing a third person who has knowledge of the defect not to speak. Concealment is always a misrepresentation.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Nondisclosure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more passive type of concealment is nondisclosure. Although generally the law imposes no obligation on anyone to speak out, nondisclosure of a fact can operate as a misrepresentation under certain circumstances. This occurs, for example, whenever the other party has erroneous information, or, as </w:t>
      </w:r>
      <w:r>
        <w:rPr>
          <w:rFonts w:ascii="Georgia" w:eastAsia="Times New Roman" w:hAnsi="Georgia" w:cs="Calibri"/>
          <w:i/>
          <w:iCs/>
          <w:color w:val="333333"/>
          <w:sz w:val="20"/>
          <w:szCs w:val="20"/>
          <w:lang w:val="en"/>
        </w:rPr>
        <w:t>Reed v. King</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10.5.2 "Misrepresentation by Concealment"</w:t>
      </w:r>
      <w:r>
        <w:rPr>
          <w:rFonts w:ascii="Georgia" w:eastAsia="Times New Roman" w:hAnsi="Georgia" w:cs="Calibri"/>
          <w:color w:val="333333"/>
          <w:sz w:val="20"/>
          <w:szCs w:val="20"/>
          <w:lang w:val="en"/>
        </w:rPr>
        <w:t>) shows, where the nondisclosure amounts to a failure to act in good faith, or where the party who conceals knows or should know that the other side cannot, with reasonable diligence, discover the truth.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remarkable 1991 case out of New York, a New York City stockbroker bought an old house upstate (basically anyplace north of New York City) in the village of Nyack, north of New York City, and then wanted out of the deal when he discovered—the defendant seller had not told him—that it was “haunted.” The court summarized the facts: “Plaintiff, to his horror, discovered that the house he had recently contracted to purchase was widely reputed to be possessed by poltergeists [ghosts], reportedly seen by defendant seller and members of her family on numerous occasions over the last nine years. Plaintiff promptly commenced this action seeking rescission of the contract of sale. Supreme Court reluctantly dismissed the complaint, holding that plaintiff has no remedy at law in this jurisdiction.”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high court of New York ruled he could rescind the contract because the house was “haunted as a matter of law”: the defendant had promoted it as such on village tours and in </w:t>
      </w:r>
      <w:r>
        <w:rPr>
          <w:rFonts w:ascii="Georgia" w:eastAsia="Times New Roman" w:hAnsi="Georgia" w:cs="Calibri"/>
          <w:i/>
          <w:iCs/>
          <w:color w:val="333333"/>
          <w:sz w:val="20"/>
          <w:szCs w:val="20"/>
          <w:lang w:val="en"/>
        </w:rPr>
        <w:t>Reader’s Digest</w:t>
      </w:r>
      <w:r>
        <w:rPr>
          <w:rFonts w:ascii="Georgia" w:eastAsia="Times New Roman" w:hAnsi="Georgia" w:cs="Calibri"/>
          <w:color w:val="333333"/>
          <w:sz w:val="20"/>
          <w:szCs w:val="20"/>
          <w:lang w:val="en"/>
        </w:rPr>
        <w:t>. She had concealed it, and no reasonable buyer’s inspection would have revealed the “fact.” The dissent basically hooted, saying, “The existence of a poltergeist is no more binding upon the defendants than it is upon this court.”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Statement Made False by Subsequent Events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statement of fact is made false by later events, it must be disclosed as false. For example, in idle chatter one day, Alphonse tells Gaston that he owns thirty acres of land. In fact, Alphonse owns only twenty-seven, but he decided to exaggerate a little. He meant no harm by it, since the conversation had no import. A year later, Gaston offers to buy the “thirty acres” from Alphonse, who does not correct the impression that Gaston has. The failure to speak is a nondisclosure—presumably intentional, in this situation—that would allow Gaston to rescind a contract induced by his belief that he was purchasing thirty acres.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Statements of Opinion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opinion, of course, is not a fact; neither is sales puffery. For example, the statements “In my opinion this apple is very tasty” and “These apples are the best in the county” are not facts; they are not expected to be taken as true. Reliance on opinion is hazardous and generally not considered justifiable.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Jack asks what condition the car is in that he wishes to buy, Mr. Olson’s response of “Great!” is not ordinarily a misrepresentation. As the Restatement puts it: “The propensity of sellers and buyers to exaggerate the advantages to the other party of the bargains they promise is well recognized, and to some extent their assertions must be discounted.”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Vague statements of quality, such as that a product is “good,” ought to suggest nothing other than that such is the personal judgment of the opinion holder.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this general rule, there are certain exceptions that justify reliance on opinions and effectively make them into facts. Merely because someone is less astute than the one with whom she is bargaining does not give rise to a claim of justifiable reliance on an unwarranted opinion. But if the person is inexperienced and susceptible or gullible to blandishments, the contract can be voided, as illustrated in </w:t>
      </w:r>
      <w:r>
        <w:rPr>
          <w:rFonts w:ascii="Georgia" w:eastAsia="Times New Roman" w:hAnsi="Georgia" w:cs="Calibri"/>
          <w:i/>
          <w:iCs/>
          <w:color w:val="333333"/>
          <w:sz w:val="20"/>
          <w:szCs w:val="20"/>
          <w:lang w:val="en"/>
        </w:rPr>
        <w:t>Vokes v. Arthur Murray, Inc.</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10.5.3 "Misrepresentation by Assertions of Opinion"</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Misstatement of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Incorrect assertions of law usually do not give rise to any relief, but sometimes they do. An assertion that “the city has repealed the sales tax” or that a court has cleared title to a parcel of land is a statement of fact; if such assertions are false, they are governed by the same rules that govern misrepresentations of fact generally. An assertion of the legal consequences of a given set of facts is generally an opinion on which the recipient relies at his or her peril, especially if both parties know or assume the same facts. Thus, if there is a lien on a house, the seller’s statement that “the courts will throw it out, you won’t be bothered by it” is an opinion. A statement that “you can build a five-unit apartment on this property” is not actionable because, at common law, people are supposed to know what the local and state laws are, and nobody should rely on a layperson’s statement about the law. However, if the statement of law is made by a lawyer or real estate broker, or some other person on whom a layperson may justifiably rely, then it may be taken as a fact and, if untrue, as the basis for a claim of misrepresentation. (Assertions about foreign laws are generally held to be statements of fact, not opinion.)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Assertions of Intention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Usually, assertions of intention are not considered facts. The law allows considerable leeway in the honesty of assertions of intention. The Restatement talks in terms of “a misrepresentation of intention…consistent with reasonable standards of fair dealing.”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 right to misstate intentions is useful chiefly in the acquisition of land; the cases permit buyers to misrepresent the purpose of the acquisition so as not to arouse the suspicion of the seller that the land is worth considerably more than his asking price. To be a misrepresentation that will permit rescission, an assertion of intention must be false at the time made; that is, the person asserting an intention must not then have intended it. That later he or she does not carry out the stated intention is not proof that there was no intention at the time asserted. Moreover, to render a contract voidable, the false assertion of intention must be harmful in some way to other interests of the recipient. Thus, in the common example, the buyer of land tells the seller that he intends to build a residence on the lot, but he actually intends to put up a factory and has lied because he knows that otherwise the seller will not part with it because her own home is on an adjacent lot. The contract is voidable by the seller. So a developer says, as regards the picturesque old barn on the property, “I’ll sure try to save it,” but after he buys the land he realizes it would be very expensive (and in the way), so he does not try to save it. No misrepresentation.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Intentionally Made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element necessary to prove fraud is that the misrepresentation was intentionally made. A misrepresentation is intentionally made “if the maker intends his assertion to induce a party to manifest his assent and the maker (a) knows or believes that the assertion is not in accord with the facts, or (b) does not have the confidence that he states or implies in the truth of the assertion, or (c) knows that he does not have the basis that he states or implies for the assertion.”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of intent often has practical consequences in terms of the remedy available to the plaintiff. If the misrepresentation is fraudulent, the plaintiff may, as an alternative to avoiding the contract, recover damages. Some of this is discussed in </w:t>
      </w:r>
      <w:r>
        <w:rPr>
          <w:rFonts w:ascii="Georgia" w:eastAsia="Times New Roman" w:hAnsi="Georgia" w:cs="Calibri"/>
          <w:color w:val="2689C6"/>
          <w:sz w:val="20"/>
          <w:szCs w:val="20"/>
          <w:lang w:val="en"/>
        </w:rPr>
        <w:t>Section 10.2.4 "Remedies"</w:t>
      </w:r>
      <w:r>
        <w:rPr>
          <w:rFonts w:ascii="Georgia" w:eastAsia="Times New Roman" w:hAnsi="Georgia" w:cs="Calibri"/>
          <w:color w:val="333333"/>
          <w:sz w:val="20"/>
          <w:szCs w:val="20"/>
          <w:lang w:val="en"/>
        </w:rPr>
        <w:t> and more fully in </w:t>
      </w:r>
      <w:r>
        <w:rPr>
          <w:rFonts w:ascii="Georgia" w:eastAsia="Times New Roman" w:hAnsi="Georgia" w:cs="Calibri"/>
          <w:color w:val="2689C6"/>
          <w:sz w:val="20"/>
          <w:szCs w:val="20"/>
          <w:lang w:val="en"/>
        </w:rPr>
        <w:t>Chapter 16 "Remedies"</w:t>
      </w:r>
      <w:r>
        <w:rPr>
          <w:rFonts w:ascii="Georgia" w:eastAsia="Times New Roman" w:hAnsi="Georgia" w:cs="Calibri"/>
          <w:color w:val="333333"/>
          <w:sz w:val="20"/>
          <w:szCs w:val="20"/>
          <w:lang w:val="en"/>
        </w:rPr>
        <w:t>, where we see that some states would force the plaintiff to elect one of these two remedies, whereas other states would allow the plaintiff to pursue both remedies (although only one type of recovery would eventually be allowed). If the misrepresentation is not intentional, then the common law allowed the plaintiff only the remedy of rescission. But the Uniform Commercial Code (UCC), Section 2-721, allows both remedies in contracts for the sale of goods, whether the misrepresentation is fraudulent or not, and does not require election of remedies.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Reliance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final element necessary to prove fraud is reliance by the victim. He or she must show that the misrepresentation induced assent—that is, he or she relied on it. The reliance need not be solely on the false assertion; the defendant cannot win the case by demonstrating that the plaintiff would have assented to the contract even without the misrepresentation. It is sufficient to avoid the contract if the plaintiff weighed the assertion as one of the important factors leading him to make the contract, and he believed it to be true. The person who asserts reliance to avoid a contract must have acted in good faith and reasonably in relying on the false assertion. Thus if the victim failed to read documents given him that truly stated the facts, he cannot later complain that he relied on a contrary statement, as, for example, when the purchaser of a car dealership was told the inventory consisted of new cars, but the supporting papers, receipt of which he acknowledged, clearly stated how many miles each car had been driven. If Mr. Olson tells Jack that the car Jack is interested in is “a recognized classic,” and if Jack doesn’t care a whit about that but buys the car because he likes its tail fins, he will have no case against Mr. Olson when he finds out the car is not a classic: it didn’t matter to him, and he didn’t rely on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the person relying on a statement need not verify it independently. However, if verification is relatively easy, or if the statement is one that concerns matters peculiarly within the person’s purview, he or she may not be held to have justifiably relied on the other party’s false assertion. Moreover, usually the rule of reliance applies to statements about past events or existing facts, not about the occurrence of events in the future.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Nonfraudulent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Nonfraudulent misrepresentation may also be grounds for some relief. There are two types: negligent misrepresentation and innocent misrepresentation.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Negligent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representation is caused by carelessness, it isnegligent misrepresentation. To prove it, a plaintiff must show a negligent misstatement of fact that is material and justifiably relied upon.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Negligent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element of misrepresentation, “negligent” here means the party who makes the representation was careless. A potential buyer of rural real estate asks the broker if the neighborhood is quiet. The broker assures her it is. In fact, the neighbors down the road have a whole kennel of hunting hounds that bark a lot. The broker didn’t know that; she just assumed the neighborhood was quiet. That is negligence: failure to use appropriate care.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Misstatement of Fact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thing is a fact may be subject to the same general analysis used in discussing fraudulent misrepresentation. (A person could negligently conceal a fact, or negligently give an opinion, as in legal malpractice.)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Materiality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material misrepresentation is one that “would be likely to induce a reasonable person to manifest his assent” or that “the maker knows…would be likely to induce the recipient to do so.”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An honestly mistaken statement that the house for sale was built in 1922 rather than 1923 would not be the basis for avoiding the contract because it is not material unless the seller knew that the buyer had sentimental or other reasons for purchasing a house built in 1922.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did not mention materiality as an element of fraud; if the misrepresentation is fraudulent, the victim can avoid the contract, no matter the significance of the misrepresentation. So although materiality is not technically required for fraudulent misrepresentation, it is usually a crucial factor in determining whether the plaintiff did rely. Obviously, the more immaterial the false assertion, the less likely it is that the victim relied on it to his detriment. This is especially the case when the defendant knows that he does not have the basis that he states for an assertion but believes that the particular point is unimportant and therefore immaterial. And of course it is usually not worth the plaintiff’s while to sue over an immaterial fraudulent misrepresentation. Consequently, for practical purposes, materiality is an important consideration in most cases. </w:t>
      </w:r>
      <w:r>
        <w:rPr>
          <w:rFonts w:ascii="Georgia" w:eastAsia="Times New Roman" w:hAnsi="Georgia" w:cs="Calibri"/>
          <w:i/>
          <w:iCs/>
          <w:color w:val="333333"/>
          <w:sz w:val="20"/>
          <w:szCs w:val="20"/>
          <w:lang w:val="en"/>
        </w:rPr>
        <w:t>Reed v. King</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10.5.2 "Misrepresentation by Concealment"</w:t>
      </w:r>
      <w:r>
        <w:rPr>
          <w:rFonts w:ascii="Georgia" w:eastAsia="Times New Roman" w:hAnsi="Georgia" w:cs="Calibri"/>
          <w:color w:val="333333"/>
          <w:sz w:val="20"/>
          <w:szCs w:val="20"/>
          <w:lang w:val="en"/>
        </w:rPr>
        <w:t>) discusses materiality (as well as nondisclosure).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Justifiable Reliance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issues here for negligent misrepresentation are the same as those set out for fraudulent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Negligent misrepresentation implies culpability and is usually treated the same as fraudulent misrepresentation; if the representation is not fraudulent, however, it cannot be the basis for rescission unless it is also material.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Innocent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elements necessary to prove innocent misrepresentation are, reasonably enough, based on what we’ve looked at so far, as follows: an innocent misstatement of fact that is material and justifiably relied upon.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not necessary here to go over the elements in detail. The issues are the same as previously discussed, except now the misrepresentation is innocent. The plaintiffs purchased the defendants’ eighteen-acre parcel on the defendants’ representation that the land came with certain water rights for irrigation, which they believed was true. It was not true. The plaintiffs were entitled to rescission on the basis of innocent misrepresentation.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Remedies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Remedies will be taken up in </w:t>
      </w:r>
      <w:r>
        <w:rPr>
          <w:rFonts w:ascii="Georgia" w:eastAsia="Times New Roman" w:hAnsi="Georgia" w:cs="Calibri"/>
          <w:color w:val="2689C6"/>
          <w:sz w:val="20"/>
          <w:szCs w:val="20"/>
          <w:lang w:val="en"/>
        </w:rPr>
        <w:t>Chapter 16 "Remedies"</w:t>
      </w:r>
      <w:r>
        <w:rPr>
          <w:rFonts w:ascii="Georgia" w:eastAsia="Times New Roman" w:hAnsi="Georgia" w:cs="Calibri"/>
          <w:color w:val="333333"/>
          <w:sz w:val="20"/>
          <w:szCs w:val="20"/>
          <w:lang w:val="en"/>
        </w:rPr>
        <w:t>, but it is worth noting the difference between remedies for fraudulent misrepresentation and remedies for nonfraudulent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Fraudulent misrepresentation has traditionally given the victim the right to rescind the contract promptly (return the parties to the before-contract status)</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affirm it and bring an action for damages caused by the fraud, but not both.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The UCC (Section 2-721) has rejected the “election of remedies” doctrine; it allows cumulative damages, such that the victim can both return the goods and sue for damages. And this is the modern trend for fraudulent misrepresentation: victims may first seek damages, and if that does not make them whole, they may seek rescission.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bookmarkStart w:id="19" w:name="fn-10"/>
      <w:bookmarkEnd w:id="19"/>
      <w:r>
        <w:rPr>
          <w:rFonts w:ascii="Georgia" w:eastAsia="Times New Roman" w:hAnsi="Georgia" w:cs="Calibri"/>
          <w:color w:val="333333"/>
          <w:sz w:val="20"/>
          <w:szCs w:val="20"/>
          <w:lang w:val="en"/>
        </w:rPr>
        <w:t> In egregious cases of fraud where the defendant has undertaken a pattern of such deceit, the rare civil remedy of punitive damages may be awarded against the defendant.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further note: the burden of proof for fraudulent misrepresentation is that it must be proved not just “by a preponderance of the evidence,” as in the typical civil case, but rather “by clear, cogent, and convincing evidence”; the fact finder must believe the claim of fraud is very probably true.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bookmarkStart w:id="20" w:name="fn-11"/>
      <w:bookmarkEnd w:id="20"/>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Misrepresentation may be of two types: fraudulent (in the execution or in the inducement) and nonfraudulent (negligent or innocent). Each type has different elements that must be proved, but in general there must be a misstatement of fact by some means that is intentionally made (for fraud), material (for nonfraudulent), and justifiably relied upon.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fraudulent misrepresentation and nonfraudulent misrepresentation, between fraud in the execution and fraud in the inducement, and between negligent and innocent misrepresentation.</w:t>
      </w:r>
    </w:p>
    <w:p w:rsidR="00A86150" w:rsidRDefault="00F714D4">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the elements that must be shown to prove the four different types of misrepresentation noted in Exercise 1.</w:t>
      </w:r>
    </w:p>
    <w:p w:rsidR="00A86150" w:rsidRDefault="00F714D4">
      <w:pPr>
        <w:numPr>
          <w:ilvl w:val="0"/>
          <w:numId w:val="24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the traditional common-law approach to remedies for fraud and the UCC’s approach?</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163.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Ikeda v. Curtis</w:t>
      </w:r>
      <w:r>
        <w:rPr>
          <w:rFonts w:ascii="Calibri" w:eastAsia="Times New Roman" w:hAnsi="Calibri" w:cs="Calibri"/>
          <w:color w:val="333333"/>
          <w:sz w:val="20"/>
          <w:szCs w:val="20"/>
        </w:rPr>
        <w:t>, 261 P.2d 684 (Wash. 1951).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Stambovsky v. Ackley</w:t>
      </w:r>
      <w:r>
        <w:rPr>
          <w:rFonts w:ascii="Calibri" w:eastAsia="Times New Roman" w:hAnsi="Calibri" w:cs="Calibri"/>
          <w:color w:val="333333"/>
          <w:sz w:val="20"/>
          <w:szCs w:val="20"/>
        </w:rPr>
        <w:t>, 169 A.D.2d 254 (N.Y. 1991).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168(d).</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171(1).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Restatement (Second) of Contracts, Section 162(1).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Restatement (Second) of Contracts, Section 162(2).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Lesher v. Strid</w:t>
      </w:r>
      <w:r>
        <w:rPr>
          <w:rFonts w:ascii="Calibri" w:eastAsia="Times New Roman" w:hAnsi="Calibri" w:cs="Calibri"/>
          <w:color w:val="333333"/>
          <w:sz w:val="20"/>
          <w:szCs w:val="20"/>
        </w:rPr>
        <w:t>, 996 P.2d 988 (Or. Ct. App. 2000).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Merritt v. Craig</w:t>
      </w:r>
      <w:r>
        <w:rPr>
          <w:rFonts w:ascii="Calibri" w:eastAsia="Times New Roman" w:hAnsi="Calibri" w:cs="Calibri"/>
          <w:color w:val="333333"/>
          <w:sz w:val="20"/>
          <w:szCs w:val="20"/>
        </w:rPr>
        <w:t>, 753 A.2d 2 (Md. Ct. App. 2000).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bookmarkStart w:id="21" w:name="ftn.fn-10"/>
      <w:bookmarkEnd w:id="21"/>
      <w:r>
        <w:rPr>
          <w:rFonts w:ascii="Calibri" w:eastAsia="Times New Roman" w:hAnsi="Calibri" w:cs="Calibri"/>
          <w:color w:val="333333"/>
          <w:sz w:val="20"/>
          <w:szCs w:val="20"/>
        </w:rPr>
        <w:t> </w:t>
      </w:r>
      <w:r>
        <w:rPr>
          <w:rFonts w:ascii="Calibri" w:eastAsia="Times New Roman" w:hAnsi="Calibri" w:cs="Calibri"/>
          <w:i/>
          <w:iCs/>
          <w:color w:val="333333"/>
          <w:sz w:val="20"/>
          <w:szCs w:val="20"/>
        </w:rPr>
        <w:t>Ehrman v. Mann</w:t>
      </w:r>
      <w:r>
        <w:rPr>
          <w:rFonts w:ascii="Calibri" w:eastAsia="Times New Roman" w:hAnsi="Calibri" w:cs="Calibri"/>
          <w:color w:val="333333"/>
          <w:sz w:val="20"/>
          <w:szCs w:val="20"/>
        </w:rPr>
        <w:t>, 979 So.2d 1011 (Fla. Ct. App. 2008).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bookmarkStart w:id="22" w:name="ftn.fn-11"/>
      <w:bookmarkEnd w:id="22"/>
      <w:r>
        <w:rPr>
          <w:rFonts w:ascii="Calibri" w:eastAsia="Times New Roman" w:hAnsi="Calibri" w:cs="Calibri"/>
          <w:color w:val="333333"/>
          <w:sz w:val="20"/>
          <w:szCs w:val="20"/>
        </w:rPr>
        <w:t> </w:t>
      </w:r>
      <w:r>
        <w:rPr>
          <w:rFonts w:ascii="Calibri" w:eastAsia="Times New Roman" w:hAnsi="Calibri" w:cs="Calibri"/>
          <w:i/>
          <w:iCs/>
          <w:color w:val="333333"/>
          <w:sz w:val="20"/>
          <w:szCs w:val="20"/>
        </w:rPr>
        <w:t>Kirkham v. Smith</w:t>
      </w:r>
      <w:r>
        <w:rPr>
          <w:rFonts w:ascii="Calibri" w:eastAsia="Times New Roman" w:hAnsi="Calibri" w:cs="Calibri"/>
          <w:color w:val="333333"/>
          <w:sz w:val="20"/>
          <w:szCs w:val="20"/>
        </w:rPr>
        <w:t>, 23 P.3d 10 (Wash. Ct. App. 2001).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10.3 Mistake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45"/>
        </w:numPr>
        <w:shd w:val="clear" w:color="auto" w:fill="EAE9DC"/>
        <w:tabs>
          <w:tab w:val="clear" w:pos="720"/>
          <w:tab w:val="num" w:pos="1020"/>
        </w:tabs>
        <w:spacing w:after="0"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under what circumstances a person may be relieved of a unilateral mistake.</w:t>
      </w:r>
    </w:p>
    <w:p w:rsidR="00A86150" w:rsidRDefault="00F714D4">
      <w:pPr>
        <w:numPr>
          <w:ilvl w:val="0"/>
          <w:numId w:val="245"/>
        </w:numPr>
        <w:shd w:val="clear" w:color="auto" w:fill="EAE9DC"/>
        <w:spacing w:line="439" w:lineRule="atLeast"/>
        <w:ind w:left="63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when a mutual mistake will be grounds for relief, and the types of mutual mistakes.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discussing fraud, we have considered the ways in which trickery by the other party makes a contract void or voidable. We now examine the ways in which the parties might “trick” themselves by making assumptions that lead them mistakenly to believe that they have agreed to something they have not. A mistake is “a belief about a fact that is not in accord with the truth.”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Mistake by One Party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Unilateral Mistake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one party makes a mistake, it is a unilateral mistake. The rule: ordinarily, a contract is not voidable because one party has made a mistake about the subject matter (e.g., the truck is not powerful enough to haul the trailer; the dress doesn’t fit).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Exceptions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one side </w:t>
      </w:r>
      <w:r>
        <w:rPr>
          <w:rFonts w:ascii="Georgia" w:eastAsia="Times New Roman" w:hAnsi="Georgia" w:cs="Calibri"/>
          <w:i/>
          <w:iCs/>
          <w:color w:val="333333"/>
          <w:sz w:val="20"/>
          <w:szCs w:val="20"/>
          <w:lang w:val="en"/>
        </w:rPr>
        <w:t>knows or should know</w:t>
      </w:r>
      <w:r>
        <w:rPr>
          <w:rFonts w:ascii="Georgia" w:eastAsia="Times New Roman" w:hAnsi="Georgia" w:cs="Calibri"/>
          <w:color w:val="333333"/>
          <w:sz w:val="20"/>
          <w:szCs w:val="20"/>
          <w:lang w:val="en"/>
        </w:rPr>
        <w:t> that the other has made a mistake, he or she may not take advantage of it. A person who makes the mistake of not reading a written document will usually get no relief, nor will relief be afforded to one whose mistake is caused by negligence (a contractor forgets to add in the cost of insulation) unless the negligent party would suffer unconscionable hardship if the mistake were not corrected. Courts will allow the correction of drafting errors in a contract (“reformation”) in order to make the contract reflect the parties’ intention.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Mutual Mistake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case of mutual mistake—both parties are wrong about the subject of the contract—relief may be granted.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sets out three requirements for successfully arguing mutual mistake.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party seeking to avoid the contract must prove that</w:t>
      </w:r>
    </w:p>
    <w:p w:rsidR="00A86150" w:rsidRDefault="00F714D4">
      <w:pPr>
        <w:pStyle w:val="ListParagraph"/>
        <w:numPr>
          <w:ilvl w:val="0"/>
          <w:numId w:val="24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mistake relates to a “basic assumption on which the contract was made,”</w:t>
      </w:r>
    </w:p>
    <w:p w:rsidR="00A86150" w:rsidRDefault="00F714D4">
      <w:pPr>
        <w:pStyle w:val="ListParagraph"/>
        <w:numPr>
          <w:ilvl w:val="0"/>
          <w:numId w:val="24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mistake has a material effect on the agreed exchange of performances,</w:t>
      </w:r>
    </w:p>
    <w:p w:rsidR="00A86150" w:rsidRDefault="00F714D4">
      <w:pPr>
        <w:pStyle w:val="ListParagraph"/>
        <w:numPr>
          <w:ilvl w:val="0"/>
          <w:numId w:val="24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party seeking relief does not bear the risk of the mistake.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Basic assumption</w:t>
      </w:r>
      <w:r>
        <w:rPr>
          <w:rFonts w:ascii="Georgia" w:eastAsia="Times New Roman" w:hAnsi="Georgia" w:cs="Calibri"/>
          <w:color w:val="333333"/>
          <w:sz w:val="20"/>
          <w:szCs w:val="20"/>
          <w:lang w:val="en"/>
        </w:rPr>
        <w:t> is probably clear enough. In the famous “cow case,” the defendant sold the plaintiff a cow—Rose of Abalone—believed by both to be barren and thus of less value than a fertile cow (a promising young dairy cow in 2010 might sell for $1,800).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Just before the plaintiff was to take Rose from the defendant’s barn, the defendant discovered she was “large with calf”; he refused to go on with the contract. The court held this was a mutual mistake of fact—“a barren cow is substantially a different creature than a breeding one”—and ruled for the defendant. That she was infertile was “a basic assumption,” but—for example—that hay would be readily available to feed her inexpensively was not, and had hay been expensive, that would not have vitiated the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Material Effect on the Agreed-to Exchange of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“Material effect on the agreed-to exchange of performance” means that because of the mutual mistake, there is a significant difference between the value the parties thought they were exchanging compared with what they would exchange if the contract were performed, given the standing facts. Again, in the cow case, had the seller been required to go through with the deal, he would have given up a great deal more than he anticipated, and the buyer would have received an unagreed-to windfall.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Party Seeking Relief Does Not Bear the Risk of the Mistake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Assume a weekend browser sees a painting sitting on the floor of an antique shop. The owner says, “That old thing? You can have it for $100.” The browser takes it home, dusts it off, and hangs it on the wall. A year later a visitor, an expert in art history, recognizes the hanging as a famous lost El Greco worth $1 million. The story is headlined; the antique dealer is chagrined and claims the contract for sale should be voided because both parties mistakenly thought they were dickering over an “old, worthless” painting. The contract is valid. The owner is said to bear the risk of mistake because he contracted with conscious awareness of his ignorance: he knew he didn’t know what the painting’s possible value might be, but he didn’t feel it worthwhile to have it appraised. He gambled it wasn’t worth much, and lost.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mistake may be unilateral, in which case no relief will be granted unless the other side knows of the mistake and takes advantage of it. A mistake may be mutual, in which case relief may be granted if it is about a basic assumption on which the contract was made, if the mistake has a material effect on the agreed-to exchange, and if the person adversely affected did not bear the risk of the mistake.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relief usually not granted for unilateral mistakes? When is relief granted for them?</w:t>
      </w:r>
    </w:p>
    <w:p w:rsidR="00A86150" w:rsidRDefault="00F714D4">
      <w:pPr>
        <w:numPr>
          <w:ilvl w:val="0"/>
          <w:numId w:val="24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there is a mutual mistake, what does the party seeking relief have to show to avoid the contract?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151.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Sikora v. Vanderploeg</w:t>
      </w:r>
      <w:r>
        <w:rPr>
          <w:rFonts w:ascii="Calibri" w:eastAsia="Times New Roman" w:hAnsi="Calibri" w:cs="Calibri"/>
          <w:color w:val="333333"/>
          <w:sz w:val="20"/>
          <w:szCs w:val="20"/>
        </w:rPr>
        <w:t>, 212 S.W.3d 277 (Tenn. Ct. App. 2006).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152.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Sherwood v. Walker</w:t>
      </w:r>
      <w:r>
        <w:rPr>
          <w:rFonts w:ascii="Calibri" w:eastAsia="Times New Roman" w:hAnsi="Calibri" w:cs="Calibri"/>
          <w:color w:val="333333"/>
          <w:sz w:val="20"/>
          <w:szCs w:val="20"/>
        </w:rPr>
        <w:t>, 33 N.W. 919 (1887).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10.4 Capacity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48"/>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infants may avoid their contracts, with limitations.</w:t>
      </w:r>
    </w:p>
    <w:p w:rsidR="00A86150" w:rsidRDefault="00F714D4">
      <w:pPr>
        <w:numPr>
          <w:ilvl w:val="0"/>
          <w:numId w:val="248"/>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insane or intoxicated people may avoid their contracts, with limitations.</w:t>
      </w:r>
    </w:p>
    <w:p w:rsidR="00A86150" w:rsidRDefault="00F714D4">
      <w:pPr>
        <w:numPr>
          <w:ilvl w:val="0"/>
          <w:numId w:val="248"/>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extent to which contracts made by mentally ill persons are voidable, void, or effectively enforceable.</w:t>
      </w:r>
    </w:p>
    <w:p w:rsidR="00A86150" w:rsidRDefault="00F714D4">
      <w:pPr>
        <w:numPr>
          <w:ilvl w:val="0"/>
          <w:numId w:val="248"/>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contracts made by intoxicated persons may be voidable.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is a meeting of minds. If someone lacks mental capacity to understand what he is assenting to—or that he is assenting to anything—it is unreasonable to hold him to the consequences of his act. At common law there are various classes of people who are presumed to lack the requisite capacity. These include infants (minors), the mentally ill, and the intoxicated.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Minors (or “Infants”)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General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this: minors (or more legalistically “infants”) are in most states persons younger than seventeen years old; they can avoid their contracts, up to and within a reasonable time after reaching majority, subject to some exceptions and limitations. The rationale here is that infants do not stand on an equal footing with adults, and it is unfair to require them to abide by contracts made when they have immature judgment.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words </w:t>
      </w:r>
      <w:r>
        <w:rPr>
          <w:rFonts w:ascii="Georgia" w:eastAsia="Times New Roman" w:hAnsi="Georgia" w:cs="Calibri"/>
          <w:i/>
          <w:iCs/>
          <w:color w:val="333333"/>
          <w:sz w:val="20"/>
          <w:szCs w:val="20"/>
          <w:lang w:val="en"/>
        </w:rPr>
        <w:t>minor</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infant</w:t>
      </w:r>
      <w:r>
        <w:rPr>
          <w:rFonts w:ascii="Georgia" w:eastAsia="Times New Roman" w:hAnsi="Georgia" w:cs="Calibri"/>
          <w:color w:val="333333"/>
          <w:sz w:val="20"/>
          <w:szCs w:val="20"/>
          <w:lang w:val="en"/>
        </w:rPr>
        <w:t> are mostly synonymous, but not exactly, necessarily. In a state where the legal age to drink alcohol is twenty-one, a twenty-year-old would be a minor, but not an infant, because infancy is under eighteen. A seventeen-year-old may avoid contracts (usually), but an eighteen-year-old, while legally bound to his contracts, cannot legally drink alcohol. Strictly speaking, the better term for one who may avoid his contracts is </w:t>
      </w:r>
      <w:r>
        <w:rPr>
          <w:rFonts w:ascii="Georgia" w:eastAsia="Times New Roman" w:hAnsi="Georgia" w:cs="Calibri"/>
          <w:i/>
          <w:iCs/>
          <w:color w:val="333333"/>
          <w:sz w:val="20"/>
          <w:szCs w:val="20"/>
          <w:lang w:val="en"/>
        </w:rPr>
        <w:t>infant</w:t>
      </w:r>
      <w:r>
        <w:rPr>
          <w:rFonts w:ascii="Georgia" w:eastAsia="Times New Roman" w:hAnsi="Georgia" w:cs="Calibri"/>
          <w:color w:val="333333"/>
          <w:sz w:val="20"/>
          <w:szCs w:val="20"/>
          <w:lang w:val="en"/>
        </w:rPr>
        <w:t>, even though, of course, in normal speaking we think of an infant as a baby.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 of majority (when a person is no longer an infant or a minor) was lowered in all states except Mississippi during the 1970s (to correspond to the Twenty-Sixth Amendment, ratified in 1971, guaranteeing the right to vote at eighteen) from twenty-one to either eighteen or nineteen. Legal rights for 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exact day on which the disability of minority vanishes also varies. The old common-law rule put it on the day before the twenty-first birthday. Many states have changed this rule so that majority commences on the day of the eighteenth birthday.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infant’s contract is voidable, not void. An infant wishing to avoid the contract need do nothing positive to disaffirm. The defense of infancy to a lawsuit is sufficient; although the adult cannot enforce the contract, the infant can (which is why it is said to be voidable, not void).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Exceptions and Complications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exceptions and complications here. We call out six of them.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Necessities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as an exception to the general rule, infants are generally liable for the reasonable cost of necessities (for the reason that denying them the right to contract for necessities would harm them, not protect them). At common law, a necessity was defined as food, medicine, clothing, or shelter. In recent years, however, the courts have expanded the concept, so that in many states today, necessities include property and services that will enable the infant to earn a living and to provide for those dependent on him. If the contract is executory, the infant can simply disaffirm. If the contract has been executed, however, the infant must face more onerous consequences. Although he will not be required to perform under the contract, he will be liable under a theory of “quasi-contract” for the reasonable value of the necessity. In </w:t>
      </w:r>
      <w:r>
        <w:rPr>
          <w:rFonts w:ascii="Georgia" w:eastAsia="Times New Roman" w:hAnsi="Georgia" w:cs="Calibri"/>
          <w:i/>
          <w:iCs/>
          <w:color w:val="333333"/>
          <w:sz w:val="20"/>
          <w:szCs w:val="20"/>
          <w:lang w:val="en"/>
        </w:rPr>
        <w:t>Gastonia Personnel Corp. v. Rogers</w:t>
      </w:r>
      <w:r>
        <w:rPr>
          <w:rFonts w:ascii="Georgia" w:eastAsia="Times New Roman" w:hAnsi="Georgia" w:cs="Calibri"/>
          <w:color w:val="333333"/>
          <w:sz w:val="20"/>
          <w:szCs w:val="20"/>
          <w:lang w:val="en"/>
        </w:rPr>
        <w:t>, an emancipated infant, nineteen years old (before the age of minority was reduced), needed employment; he contracted with a personnel company to find him a job, for which it would charge him a fee.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company did find him a job, and when he attempted to disaffirm his liability for payment on the grounds of infancy, the North Carolina court ruled against him, holding that the concepts of necessities “should be enlarged to include such…services as are reasonable and necessary to enable the infant to earn the money required to provide the necessities of life for himself” and his dependents.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Nonvoidable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state statutes variously prohibit disaffirmation for such contracts as insurance, education or medical care, bonding agreements, stocks, or bank accounts. In addition, an infant will lose her power to avoid the contract if the rights of third parties intervene. Roberta, an infant, sells a car to Oswald; Oswald, in turn, shortly thereafter sells it to Byers, who knows nothing of Roberta. May Roberta—still an infant—recover it from Byers? No: the rights of the third party have intervened. To allow the infant seller recovery in this situation would undermine faith in commercial transactions.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Misrepresentation of Age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exception involves misrepresentation of age. Certainly, that the adult reasonably believed the infant was an adult is of no consequence in a contract suit. In many states, an infant may misrepresent his age and disaffirm in accordance with the general rule. But it depends. If an infant affirmatively lies about his age, the trend is to deny disaffirmation. A Michigan statute, for instance, prohibits an infant from disaffirming if he has signed a “separate instrument containing only the statement of age, date of signing and the signature.” And some states estop him from claiming to be an infant even if he less expressly falsely represented himself as an adult. Estoppel is a refusal by the courts on equitable grounds to allow a person to escape liability on an otherwise valid defense; unless the infant can return the consideration, the contract will be enforced. It is a question of fact how far a nonexpress (an implied) misrepresentation will be allowed to go before it is considered so clearly misleading as to range into the prohibited area. Some states hold the infant liable for damages for the tort of misrepresentation, but others do not. As William Prosser, the noted torts scholar, said of cases paying no attention to an infant’s lying about his age, “The effect of the decisions refusing to recognize tort liability for misrepresentation is to create a privileged class of liars who are a great trouble to the business world.”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Ratification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Fourth, when the infant becomes an adult, she has two choices: she may ratify the contract or disaffirm it. She may ratify explicitly; no further consideration is necessary. She may also do so by implication—for instance, by continuing to make payments or retaining goods for an unreasonable period of time. If the child has not disaffirmed the contract while still an infant, she may do so within a reasonable time after reaching majority; what is a “reasonable time” depends on the circumstances.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Return Consideration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Fifth, in most cases of disavowal, the infant’s only obligation is to return the goods (if he still has them) or repay the consideration (unless it has been dissipated); he does not have to account for what he wasted, consumed, or damaged during the contract. But since the age of majority has been lowered to eighteen or nineteen, when most young people have graduated from high school, some courts require, if appropriate to avoid injustice to the adult, that the infant account for what he got. (In </w:t>
      </w:r>
      <w:r>
        <w:rPr>
          <w:rFonts w:ascii="Georgia" w:eastAsia="Times New Roman" w:hAnsi="Georgia" w:cs="Calibri"/>
          <w:i/>
          <w:iCs/>
          <w:color w:val="333333"/>
          <w:sz w:val="20"/>
          <w:szCs w:val="20"/>
          <w:lang w:val="en"/>
        </w:rPr>
        <w:t>Dodson v. Shrader</w:t>
      </w:r>
      <w:r>
        <w:rPr>
          <w:rFonts w:ascii="Georgia" w:eastAsia="Times New Roman" w:hAnsi="Georgia" w:cs="Calibri"/>
          <w:color w:val="333333"/>
          <w:sz w:val="20"/>
          <w:szCs w:val="20"/>
          <w:lang w:val="en"/>
        </w:rPr>
        <w:t>, the supreme court of Tennessee held that an infant would—if the contract was fair—have to pay for the pickup truck he bought and wrecked.)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Tort Connected with a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Sixth, the general rule is that infants are liable for their torts (e.g., assault, trespass, nuisance, negligence) unless the tort suit is only an indirect method of enforcing a contract. Henry, age seventeen, holds himself out to be a competent mechanic. He is paid $500 to overhaul Baker’s engine, but he does a careless job and the engine is seriously damaged. He offers to return the $500 but disaffirms any further contractual liability. Can Baker sue him for his negligence, a tort? No, because such a suit would be to enforce the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Persons Who Are Mentally Ill or Intoxicated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Mentally Ill Persons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that a contract made by person who is mentally ill is voidable by the person when she regains her sanity, or, as appropriate, by a guardian. If, though, a guardian has been legally appointed for a person who is mentally ill, any contract made by the mentally ill person is void, but may nevertheless be ratified by the ward (the incompetent person who is under a guardianship) upon regaining sanity or by the guardian.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if the contract was for a necessity, the other party may have a valid claim against the estate of the one who is mentally ill in order to prevent unjust enrichment. In other cases, whether a court will enforce a contract made with a person who is mentally ill depends on the circumstances. Only if the mental illness impairs the competence of the person in the particular transaction can the contract be avoided; the test is whether the person understood the nature of the business at hand. Upon avoidance, the mentally ill person must return any property in her possession. And if the contract was fair and the other party had no knowledge of the mental illness, the court has the power to order other relief.</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Intoxicated Persons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person is so drunk that he has no awareness of his acts, and if the other person knows this, there is no contract. The intoxicated person is obligated to refund the consideration to the other party unless he dissipated it during his drunkenness. If the other person is unaware of his intoxicated state, however, an offer or acceptance of fair terms manifesting assent is binding.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person is only partially inebriated and has some understanding of his actions, “avoidance depends on a showing that the other party induced the drunkenness or that the consideration was inadequate or that the transaction departed from the normal pattern of similar transactions; if the particular transaction is one which a reasonably competent person might have made, it cannot be avoided even though entirely executory.”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A person who was intoxicated at the time he made the contract may nevertheless subsequently ratify it. Thus where Mervin Hyland, several times involuntarily committed for alcoholism, executed a promissory note in an alcoholic stupor but later, while sober, paid the interest on the past-due note, he was denied the defense of intoxication; the court said he had ratified his contract.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In any event, intoxicated is a disfavored defense on public policy grounds.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Infants may generally disaffirm their contracts up to majority and within a reasonable time afterward, but the rule is subject to some exceptions and complications: necessities, contracts made nonvoidable by statute, misrepresentation of age, extent of duty to return consideration, ratification, and a tort connected with the contract are among these exceptions.</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made by insane or intoxicated people are voidable when the person regains competency. A contract made by a person under guardianship is void, but the estate will be liable for necessities. A contract made while insane or intoxicated may be ratified.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Ivar, an infant, bought a used car—not a necessity—for $9,500. Seller took advantage of Ivar’s infancy: the car was really worth only $5,500. Can Ivar keep the car but disclaim liability for the $4,000 difference?</w:t>
      </w:r>
    </w:p>
    <w:p w:rsidR="00A86150" w:rsidRDefault="00F714D4">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Ivar bought the car and it was a necessity, could he disclaim liability for the $4,000?</w:t>
      </w:r>
    </w:p>
    <w:p w:rsidR="00A86150" w:rsidRDefault="00F714D4">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Alice Ace found her adult son’s Christmas stocking; Mrs. Ace herself had made it fifty years before. It was considerably deteriorated. Isabel, sixteen, handy with knitting, agreed to reknit it for $100, which Mrs. Ace paid in advance. Isabel, regrettably, lost the stocking. She returned the $100 to Mrs. Ace, who was very upset. May Mrs. Ace now sue Isabel for the loss of the stocking (conversion) and emotional distress?</w:t>
      </w:r>
    </w:p>
    <w:p w:rsidR="00A86150" w:rsidRDefault="00F714D4">
      <w:pPr>
        <w:numPr>
          <w:ilvl w:val="0"/>
          <w:numId w:val="24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voluntary intoxication a disfavored defense?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Gastonia Personnel Corp. v. Rogers</w:t>
      </w:r>
      <w:r>
        <w:rPr>
          <w:rFonts w:ascii="Calibri" w:eastAsia="Times New Roman" w:hAnsi="Calibri" w:cs="Calibri"/>
          <w:color w:val="333333"/>
          <w:sz w:val="20"/>
          <w:szCs w:val="20"/>
        </w:rPr>
        <w:t>, 172 S.E.2d 19 (N.C. 1970).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William L. Prosser, </w:t>
      </w:r>
      <w:r>
        <w:rPr>
          <w:rFonts w:ascii="Calibri" w:eastAsia="Times New Roman" w:hAnsi="Calibri" w:cs="Calibri"/>
          <w:i/>
          <w:iCs/>
          <w:color w:val="333333"/>
          <w:sz w:val="20"/>
          <w:szCs w:val="20"/>
        </w:rPr>
        <w:t>Handbook of the Law of Torts</w:t>
      </w:r>
      <w:r>
        <w:rPr>
          <w:rFonts w:ascii="Calibri" w:eastAsia="Times New Roman" w:hAnsi="Calibri" w:cs="Calibri"/>
          <w:color w:val="333333"/>
          <w:sz w:val="20"/>
          <w:szCs w:val="20"/>
        </w:rPr>
        <w:t>, 4th ed. (St. Paul, MN: West, 1971), 999.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Dodson v. Shrader</w:t>
      </w:r>
      <w:r>
        <w:rPr>
          <w:rFonts w:ascii="Calibri" w:eastAsia="Times New Roman" w:hAnsi="Calibri" w:cs="Calibri"/>
          <w:color w:val="333333"/>
          <w:sz w:val="20"/>
          <w:szCs w:val="20"/>
        </w:rPr>
        <w:t>, 824 S.W.2d 545 (Tenn. 1992).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16(b).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First State Bank of Sinai v. Hyland</w:t>
      </w:r>
      <w:r>
        <w:rPr>
          <w:rFonts w:ascii="Calibri" w:eastAsia="Times New Roman" w:hAnsi="Calibri" w:cs="Calibri"/>
          <w:color w:val="333333"/>
          <w:sz w:val="20"/>
          <w:szCs w:val="20"/>
        </w:rPr>
        <w:t>, 399 N.W.2d 894 (S.D. 1987).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10.5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Undue Influence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Hodge v. Shea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168 S.E.2d 82 (S.C. 1969)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Brailsford,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equitable action the circuit court decreed specific performance of a contract for the sale of land, and the defendant has appealed. The plaintiff is a physician, and the contract was prepared and executed in his medical office on August 19, 1965. The defendant had been plaintiff’s patient for a number of years. On the contract date, he was seventy-five years of age, was an inebriate of long standing, and was afflicted by grievous chronic illnesses, including arteriosclerosis, cirrhosis of the liver, neuritises, arthritis of the spine and hip and varicose veins of the legs. These afflictions and others required constant medication and frequent medical attention, and rendered him infirm of body and mind, although not to the point of incompetency to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period immediately before and after August 19, 1965, George A. Shea, the defendant, was suffering a great deal of pain in his back and hip and was having difficulty in voiding. He was attended professionally by the plaintiff, Dr. Joseph Hodge, either at the Shea home, at the doctor’s office or in the hospital at least once each day from August 9 through August 26, 1965, except for August 17. The contract was signed during the morning of August 19. One of Dr. Hodge’s frequent house calls was made on the afternoon of that day, and Mr. Shea was admitted to the hospital on August 21, where he remained until August 25.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Shea was separated from his wife and lived alone. He was dependent upon Dr. Hodge for house calls, which were needed from time to time. His relationship with his physician, who sometimes visited him as a friend and occasionally performed non-professional services for him, was closer than ordinarily arises from that of patient and physician.…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a physician regularly treats a chronically ill person over a period of two years, a confidential relationship is established, raising a presumption that financial dealings between them are fraudulent.”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125 acre tract of land near Mr. Shea’s home, adjacent to land which was being developed as residential property, was one of his most valuable and readily salable assets. In 1962, the developer of this contiguous land had expressed to Mr. Shea an interest in it at $1000.00 per acre. A firm offer of this amount was made in November, 1964, and was refused by Mr. Shea on the advice of his son-in-law that the property was worth at least $1500.00 per acre. Negotiations between the developer and Mr. Ransdell commenced at that time and were in progress when Mr. Shea, at the instance of Dr. Hodge and without consulting Mr. Ransdell or anyone else, signed the contract of August 19, 1965. Under this contract Dr. Hodge claims the right to purchase twenty choice acres of the 125 acre tract for a consideration calculated by the circuit court to be the equivalent of $361.72 per acre. The market value of the land on the contract date has been fixed by an unappealed finding of the master at $1200.00 per acre.…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consideration was expressed in the contract between Dr. Hodge and Mr. Shea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purchase price being (Cadillac Coupe DeVille 6600) &amp; $4000.00 Dollars, on the following terms: Dr. Joseph Hodge to give to Mr. George Shea a new $6600 coupe DeVille Cadillac which is to be registered in name of Mr. George A. Shea at absolutely no cost to him. In return, Mr. Shea will give to Dr. Joe Hodge his 1964 Cadillac coupe DeVille and shall transfer title of this vehicle to Dr. Hodge. Further, Dr. Joseph Hodge will pay to Mr. George A. Shea the balance of $4000.00 for the 20 acres of land described above subject to survey, title check, less taxes on purchase of vehicle.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Dr. Hodge was fully aware of Mr. Shea’s financial troubles, the liens on his property and his son-in-law’s efforts in his behalf. He was also aware of his patient’s predilection for new Cadillacs. Although he was not obligated to do so until the property was cleared of liens, which was not accomplished until the following June, Dr. Hodge hastened to purchase a 1965 Cadillac Coupe DeVille and delivered it to Mr. Shea on the day after his discharge from the hospital on August 25, 1965. If he acted in haste in an effort to fortify what he must have realized was a dubious contract, he has so far succeeded.…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case at hand is attended by gross inadequacy of consideration, serious impairment of the grantor’s mentality from age, intemperance and disease, and a confidential relationship between the grantee and grantor. Has the strong presumption of vitiating unfairness arising from this combination of circumstances been overcome by the evidence? We must conclude that it has not. The record is devoid of any evidence suggesting a reason, compatible with fairness, for Mr. Shea’s assent to so disadvantageous a bargain. Disadvantageous not only because of the gross disparity between consideration and value, but because of the possibility that the sale would impede the important negotiations in which Mr. Ransdell was engaged. Unless his memory failed him, Mr. Shea knew that his son-in-law expected to sell the 125 acre tract for about $1500.00 per acre as an important step toward raising sufficient funds to satisfy the tax and judgment liens against the Shea property. These circumstances furnish strong evidence that Mr. Shea’s assent to the contract, without so much as notice to Mr. Ransdell, was not the product of a deliberate Exercise of an informed judgment.…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on this phase of the case, it would be naive not to recognize that the 1965 Cadillac was used to entice a highly susceptible old man into a hard trade. Mr. Shea was fatuously fond of new Cadillacs, but was apparently incapable of taking care of one. His own 1964 model (he had also had a 1963 model) had been badly abused. According to Dr. Hodge, it ‘smelled like a toilet. * * * had several fenders bumped, bullet holes in the top and the car was just filthy * * *. It was a rather foul car.’…Knowing the condition of Mr. Shea’s car, his financial predicament and the activities of his son-in-law in his behalf, Dr. Hodge used the new automobile as a means of influencing Mr. Shea to agree to sell. The means was calculated to becloud Mr. Shea’s judgment, and, under the circumstances, its use was unfair.…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5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Mr. Shea was separated from his wife and lived alone?</w:t>
      </w:r>
    </w:p>
    <w:p w:rsidR="00A86150" w:rsidRDefault="00F714D4">
      <w:pPr>
        <w:numPr>
          <w:ilvl w:val="0"/>
          <w:numId w:val="25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it was his doctor who convinced him to sell the real estate?</w:t>
      </w:r>
    </w:p>
    <w:p w:rsidR="00A86150" w:rsidRDefault="00F714D4">
      <w:pPr>
        <w:numPr>
          <w:ilvl w:val="0"/>
          <w:numId w:val="25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doctor offer the old man a Cadillac as part of the deal?</w:t>
      </w:r>
    </w:p>
    <w:p w:rsidR="00A86150" w:rsidRDefault="00F714D4">
      <w:pPr>
        <w:numPr>
          <w:ilvl w:val="0"/>
          <w:numId w:val="250"/>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Generally speaking, if you agree to sell your real estate for less than its real value, that’s just a unilateral mistake and the courts will grant no relief. What’s different here?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Misrepresentation by Concealment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Reed v. King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193 Cal. Rptr. 130 (Calif. Ct. App. 1983)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Blease,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sale of a house, must the seller disclose it was the site of a multiple murder? Dorris Reed purchased a house from Robert King. Neither King nor his real estate agents (the other named defendants) told Reed that a woman and her four children were murdered there ten years earlier. However, it seems “truth will come to light; murder cannot be hid long.” (Shakespeare, Merchant of Venice, Act II, Scene II.) Reed learned of the gruesome episode from a neighbor after the sale. She sues seeking rescission and damages. King and the real estate agent defendants successfully demurred to her first amended complaint for failure to state a cause of action. Reed appeals the ensuing judgment of dismissal. We will reverse the judgment.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take all issuable facts pled in Reed’s complaint as true. King and his real estate agent knew about the murders and knew the event materially affected the market value of the house when they listed it for sale. They represented to Reed the premises were in good condition and fit for an “elderly lady” living alone. They did not disclose the fact of the murders. At some point King asked a neighbor not to inform Reed of that event. Nonetheless, after Reed moved in neighbors informed her no one was interested in purchasing the house because of the stigma. Reed paid $76,000, but the house is only worth $65,000 because of its past.…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Discussion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Does Reed’s pleading state a cause of action? Concealed within this question is the nettlesome problem of the duty of disclosure of blemishes on real property which are not physical defects or legal impairments to 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Numerous cases have found non-disclosure of physical defects and legal impediments to use of real property are material. [Citation] However, to our knowledge, no prior real estate sale case has faced an issue of non-disclosure of the kind presented here. Should this variety of ill-repute be required to be disclosed? Is this a circumstance where “non-disclosure of the fact amounts to a failure to act in good faith and in accordance with reasonable standards of fair dealing [?]” (Rest.2d Contracts, § 161, subd. (b).)</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paramount argument against an affirmative conclusion is it permits the camel’s nose of unrestrained irrationality admission to the tent. If such an “irrational” consideration is permitted as a basis of rescission the stability of all conveyances will be seriously undermined. Any fact that might disquiet the enjoyment of some segment of the buying public may be seized upon by a disgruntled purchaser to void a bargain. In our view, keeping this genie in the bottle is not as difficult a task as these arguments assume. We do not view a decision allowing Reed to survive a demurrer in these unusual circumstances as endorsing the materiality of facts predicating peripheral, insubstantial, or fancied harms.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murder of innocents is highly unusual in its potential for so disturbing buyers they may be unable to reside in a home where it has occurred. This fact may foreseeably deprive a buyer of the intended use of the purchase. Murder is not such a common occurrence that </w:t>
      </w:r>
      <w:r>
        <w:rPr>
          <w:rFonts w:ascii="Georgia" w:eastAsia="Times New Roman" w:hAnsi="Georgia" w:cs="Calibri"/>
          <w:i/>
          <w:iCs/>
          <w:color w:val="333333"/>
          <w:sz w:val="20"/>
          <w:szCs w:val="20"/>
          <w:lang w:val="en"/>
        </w:rPr>
        <w:t>buyers</w:t>
      </w:r>
      <w:r>
        <w:rPr>
          <w:rFonts w:ascii="Georgia" w:eastAsia="Times New Roman" w:hAnsi="Georgia" w:cs="Calibri"/>
          <w:color w:val="333333"/>
          <w:sz w:val="20"/>
          <w:szCs w:val="20"/>
          <w:lang w:val="en"/>
        </w:rPr>
        <w:t> should be charged with anticipating and discovering this disquieting possibility. Accordingly, the fact is not one for which a duty of inquiry and discovery can sensibly be imposed upon the buyer.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Reed alleges the fact of the murders has a quantifiable effect on the market value of the premises. We cannot say this allegation is inherently wrong and, in the pleading posture of the case, we assume it to be true. If information known or accessible only to the seller has a significant and measureable effect on market value and, as is alleged here, the seller is aware of this effect, we see no principled basis for making the duty to disclose turn upon the character of the information. Physical usefulness is not and never has been the sole criterion of valuation. Stamp collections and gold speculation would be insane activities if utilitarian considerations were the sole measure of value.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Reputation and history can have a significant effect on the value of realty. “George Washington slept here” is worth something, however physically inconsequential that consideration may be. Ill-repute or “bad will” conversely may depress the value of property. Failure to disclose such a negative fact where it will have a forseeably depressing effect on income expected to be generated by a business is tortuous. [Citation] Some cases have held that </w:t>
      </w:r>
      <w:r>
        <w:rPr>
          <w:rFonts w:ascii="Georgia" w:eastAsia="Times New Roman" w:hAnsi="Georgia" w:cs="Calibri"/>
          <w:i/>
          <w:iCs/>
          <w:color w:val="333333"/>
          <w:sz w:val="20"/>
          <w:szCs w:val="20"/>
          <w:lang w:val="en"/>
        </w:rPr>
        <w:t>unreasonable</w:t>
      </w:r>
      <w:r>
        <w:rPr>
          <w:rFonts w:ascii="Georgia" w:eastAsia="Times New Roman" w:hAnsi="Georgia" w:cs="Calibri"/>
          <w:color w:val="333333"/>
          <w:sz w:val="20"/>
          <w:szCs w:val="20"/>
          <w:lang w:val="en"/>
        </w:rPr>
        <w:t>fears of the potential buying public that a gas or oil pipeline may rupture may depress the market value of land and entitle the owner to incremental compensation in eminent domain.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Reed will be able to prove her allegation the decade-old multiple murder has a significant effect on market value we cannot determine. If she is able to do so by competent evidence she is entitled to a favorable ruling on the issues of materiality and duty to disclose. Her demonstration of objective tangible harm would still the concern that permitting her to go forward will open the floodgates to rescission on subjective and idiosyncratic grounds.…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is reversed.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the plaintiff was “an elderly lady living alone”?</w:t>
      </w:r>
    </w:p>
    <w:p w:rsidR="00A86150" w:rsidRDefault="00F714D4">
      <w:pPr>
        <w:numPr>
          <w:ilvl w:val="0"/>
          <w:numId w:val="2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did Mrs. Reed find out about the gruesome fact here?</w:t>
      </w:r>
    </w:p>
    <w:p w:rsidR="00A86150" w:rsidRDefault="00F714D4">
      <w:pPr>
        <w:numPr>
          <w:ilvl w:val="0"/>
          <w:numId w:val="2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defendants conceal the facts?</w:t>
      </w:r>
    </w:p>
    <w:p w:rsidR="00A86150" w:rsidRDefault="00F714D4">
      <w:pPr>
        <w:numPr>
          <w:ilvl w:val="0"/>
          <w:numId w:val="2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concern about opening “floodgates to rescission on subjective and idiosyncratic grounds”?</w:t>
      </w:r>
    </w:p>
    <w:p w:rsidR="00A86150" w:rsidRDefault="00F714D4">
      <w:pPr>
        <w:numPr>
          <w:ilvl w:val="0"/>
          <w:numId w:val="25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t>
      </w:r>
      <w:r>
        <w:rPr>
          <w:rFonts w:ascii="Calibri" w:eastAsia="Times New Roman" w:hAnsi="Calibri" w:cs="Calibri"/>
          <w:i/>
          <w:iCs/>
          <w:color w:val="333333"/>
          <w:sz w:val="20"/>
          <w:szCs w:val="20"/>
          <w:lang w:val="en"/>
        </w:rPr>
        <w:t>did</w:t>
      </w:r>
      <w:r>
        <w:rPr>
          <w:rFonts w:ascii="Calibri" w:eastAsia="Times New Roman" w:hAnsi="Calibri" w:cs="Calibri"/>
          <w:color w:val="333333"/>
          <w:sz w:val="20"/>
          <w:szCs w:val="20"/>
          <w:lang w:val="en"/>
        </w:rPr>
        <w:t> George Washington sleep in so many places during the Revolutionary War?</w:t>
      </w:r>
    </w:p>
    <w:p w:rsidR="00A86150" w:rsidRDefault="00F714D4">
      <w:pPr>
        <w:numPr>
          <w:ilvl w:val="0"/>
          <w:numId w:val="25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Mrs. Reed get to rescind her contract and get out of the house as a result of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Misrepresentation by Assertions of Opinion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Vokes v. Arthur Murray,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212 S.2d. 906 (Fla. 1968)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Pierce,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an appeal by Audrey E. Vokes, plaintiff below, from a final order dismissing with prejudice, for failure to state a cause of action, her fourth amended complaint, hereinafter referred to as plaintiff’s complaint.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Arthur Murray, Inc., a corporation, authorizes the operation throughout the nation of dancing schools under the name of “Arthur Murray School of Dancing” through local franchised operators, one of whom was defendant J. P. Davenport whose dancing establishment was in Clearwater.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Mrs. Audrey E. Vokes, a widow of 51 years and without family, had a yen to be “an accomplished dancer” with the hopes of finding “new interest in life.” So, on February 10, 1961, a dubious fate, with the assist of a motivated acquaintance, procured her to attend a “dance party” at Davenport’s “School of Dancing” where she whiled away the pleasant hours, sometimes in a private room, absorbing his accomplished sales technique, during which her grace and poise were elaborated upon and her rosy future as “an excellent dancer” was painted for her in vivid and glowing colors. As an incident to this interlude, he sold her eight 1/2-hour dance lessons to be utilized within one calendar month therefrom, for the sum of $14.50 cash in hand paid, obviously a baited “come-on.”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she embarked upon an almost endless pursuit of the terpsichorean art during which, over a period of less than sixteen months, she was sold fourteen “dance courses” totaling in the aggregate 2302 hours of dancing lessons for a total cash outlay of $31,090.45 [about $220,000 in 2010 dollars] all at Davenport’s dance emporium. All of these fourteen courses were evidenced by execution of a written “Enrollment Agreement-Arthur Murray’s School of Dancing” with the addendum in heavy black print, “No one will be informed that you are taking dancing lessons. Your relations with us are held in strict confidence”, setting forth the number of “dancing lessons” and the “lessons in rhythm sessions” currently sold to her from time to time, and always of course accompanied by payment of cash of the realm.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dance lesson contracts and the monetary consideration therefore of over $31,000 were procured from her by means and methods of Davenport and his associates which went beyond the unsavory, yet legally permissible, perimeter of “sales puffing” and intruded well into the forbidden area of undue influence, the suggestion of falsehood, the suppression of truth, and the free Exercise of rational judgment, if what plaintiff alleged in her complaint was true. From the time of her first contact with the dancing school in February, 1961, she was influenced unwittingly by a constant and continuous barrage of flattery, false praise, excessive compliments, and panegyric encomiums, to such extent that it would be not only inequitable, but unconscionable, for a Court exercising inherent chancery power to allow such contracts to stand.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was incessantly subjected to overreaching blandishment and cajolery. She was assured she had “grace and poise”; that she was “rapidly improving and developing in her dancing skill”; that the additional lessons would “make her a beautiful dancer, capable of dancing with the most accomplished dancers”; that she was “rapidly progressing in the development of her dancing skill and gracefulness”, etc., etc. She was given “dance aptitude tests” for the ostensible purpose of “determining” the number of remaining hours of instructions needed by her from time to time.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one point she was sold 545 additional hours of dancing lessons to be entitled to an award of the “Bronze Medal” signifying that she had reached “the Bronze Standard”, a supposed designation of dance achievement by students of Arthur Murray, Inc.…At another point, while she still had over 1,000 unused hours of instruction she was induced to buy 151 additional hours at a cost of $2,049.00 to be eligible for a “Student Trip to Trinidad”, at her own expense as she later learned.…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sandwiched in between other lesser sales promotions, she was influenced to buy an additional 481 hours of instruction at a cost of $6,523.81 in order to “be classified as a Gold Bar Member, the ultimate achievement of the dancing studio.”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the foregoing sales promotions, illustrative of the entire fourteen separate contracts, were procured by defendant Davenport and Arthur Murray, Inc., by false representations to her that she was improving in her dancing ability, that she had excellent potential, that she was responding to instructions in dancing grace, and that they were developing her into a beautiful dancer, whereas in truth and in fact she did not develop in her dancing ability, she had no “dance aptitude,” and in fact had difficulty in “hearing that musical beat.” The complaint alleged that such representations to her “were in fact false and known by the defendant to be false and contrary to the plaintiff’s true ability, the truth of plaintiff’s ability being fully known to the defendants, but withheld from the plaintiff for the sole and specific intent to deceive and defraud the plaintiff and to induce her in the purchasing of additional hours of dance lessons.” It was averred that the lessons were sold to her “in total disregard to the true physical, rhythm, and mental ability of the plaintiff.” In other words, while she first exulted that she was entering the “spring of her life”, she finally was awakened to the fact there was “spring” neither in her life nor in her feet.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complaint prayed that the Court decree the dance contracts to be null and void and to be cancelled, that an accounting be had, and judgment entered against, the defendants “for that portion of the $31,090.45 not charged against specific hours of instruction given to the plaintiff.” The Court held the complaint not to state a cause of action and dismissed it with prejudice. We disagree and reverse.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true that “generally a misrepresentation, to be actionable, must be one of fact rather than of opinion.” [Citations] But this rule has significant qualifications, applicable here. It does not apply where there is a fiduciary relationship between the parties, or where there has been some artifice or trick employed by the representor, or where the parties do not in general deal at “arm’s length” as we understand the phrase, or where the representee does not have equal opportunity to become apprised of the truth or falsity of the fact represented. [Citation] As stated by Judge Allen of this Court in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 A statement of a party having * * * superior knowledge may be regarded as a statement of fact although it would be considered as opinion if the parties were dealing on equal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[Citation] it was said that “* * * what is plainly injurious to good faith ought to be considered as a fraud sufficient to impeach a contract.”… [Reversed.]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was the motivation of the “motivated acquaintance” in this case?</w:t>
      </w:r>
    </w:p>
    <w:p w:rsidR="00A86150" w:rsidRDefault="00F714D4">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Mrs. Vokes was a “widow of 51 years and without family”?</w:t>
      </w:r>
    </w:p>
    <w:p w:rsidR="00A86150" w:rsidRDefault="00F714D4">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did the defendant J. P. Davenport entice her into spending a lot of money on dance lessons?</w:t>
      </w:r>
    </w:p>
    <w:p w:rsidR="00A86150" w:rsidRDefault="00F714D4">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was the defendants’ defense as to why they should not be liable for misrepresentation, and why was that defense not good?</w:t>
      </w:r>
    </w:p>
    <w:p w:rsidR="00A86150" w:rsidRDefault="00F714D4">
      <w:pPr>
        <w:numPr>
          <w:ilvl w:val="0"/>
          <w:numId w:val="25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Would you say the court here is rather condescending to Mrs. Vokes, all things considered?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Mutual Mistake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Konic International Corporation v. Spokane Computer Services,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708 P.2d 932 (Idaho 1985)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magistrate found the following facts. David Young, an employee of Spokane Computer, was instructed by his employer to investigate the possibility of purchasing a surge protector, a device which protects computers from damaging surges of electrical current. Young’s investigation turned up several units priced from $50 to $200, none of which, however, were appropriate for his employer’s needs. Young then contacted Konic. After discussing Spokane Computer’s needs with a Konic engineer, Young was referred to one of Konic’s salesmen. Later, after deciding on a certain unit, Young inquired as to the price of the selected item. The salesman responded, “fifty-six twenty.” The salesman meant $5,620. Young in turn thought $56.20.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salesman for Konic asked about Young’s authority to order the equipment and was told that Young would have to get approval from one of his superiors. Young in turn prepared a purchase order for $56.20 and had it approved by the appropriate authority. Young telephoned the order and purchase order number to Konic who then shipped the equipment to Spokane Computer. However, because of internal processing procedures of both parties the discrepancy in prices was not discovered immediately. Spokane Computer received the surge protector and installed it in its office. The receipt and installation of the equipment occurred while the president of Spokane Computer was on vacation. Although the president’s father, who was also chairman of the board of Spokane Computer, knew of the installation, he only inquired as to what the item was and who had ordered it. The president came back from vacation the day after the surge protector had been installed and placed in operation and was told of the purchase. He immediately ordered that power to the equipment be turned off because he realized that the equipment contained parts which alone were worth more than $56 in value. Although the president then told Young to verify the price of the surge protector, Young failed to do so. Two weeks later, when Spokane Computer was processing its purchase order and Konic’s invoice, the discrepancy between the amount on the invoice and the amount on the purchase order was discovered. The president of Spokane Computer then contacted Konic, told Konic that Young had no authority to order such equipment, that Spokane Computer did not want the equipment, and that Konic should remove it. Konic responded that Spokane Computer now owned the equipment and if the equipment was not paid for, Konic would sue for the price. Spokane Computer refused to pay and this litigation ensued.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Basically what is involved here is a failure of communication between the parties. A similar failure to communicate arose over 100 years ago in the celebrated case of </w:t>
      </w:r>
      <w:r>
        <w:rPr>
          <w:rFonts w:ascii="Georgia" w:eastAsia="Times New Roman" w:hAnsi="Georgia" w:cs="Calibri"/>
          <w:i/>
          <w:iCs/>
          <w:color w:val="333333"/>
          <w:sz w:val="20"/>
          <w:szCs w:val="20"/>
          <w:lang w:val="en"/>
        </w:rPr>
        <w:t>Raffles v. Wichelhaus</w:t>
      </w:r>
      <w:r>
        <w:rPr>
          <w:rFonts w:ascii="Georgia" w:eastAsia="Times New Roman" w:hAnsi="Georgia" w:cs="Calibri"/>
          <w:color w:val="333333"/>
          <w:sz w:val="20"/>
          <w:szCs w:val="20"/>
          <w:lang w:val="en"/>
        </w:rPr>
        <w:t>, [Citation] which has become better known as the case of the good ship “Peerless.” In </w:t>
      </w:r>
      <w:r>
        <w:rPr>
          <w:rFonts w:ascii="Georgia" w:eastAsia="Times New Roman" w:hAnsi="Georgia" w:cs="Calibri"/>
          <w:i/>
          <w:iCs/>
          <w:color w:val="333333"/>
          <w:sz w:val="20"/>
          <w:szCs w:val="20"/>
          <w:lang w:val="en"/>
        </w:rPr>
        <w:t>Peerless</w:t>
      </w:r>
      <w:r>
        <w:rPr>
          <w:rFonts w:ascii="Georgia" w:eastAsia="Times New Roman" w:hAnsi="Georgia" w:cs="Calibri"/>
          <w:color w:val="333333"/>
          <w:sz w:val="20"/>
          <w:szCs w:val="20"/>
          <w:lang w:val="en"/>
        </w:rPr>
        <w:t>, the parties agreed on a sale of cotton which was to be delivered from Bombay by the ship “Peerless.” In fact, there were two ships named “Peerless” and each party, in agreeing to the sale, was referring to a different ship. Because the sailing time of the two ships was materially different, neither party was willing to agree to shipment by the “other” Peerless. The court ruled that, because each party had a different ship in mind at the time of the contract, there was in fact no binding contract. The</w:t>
      </w:r>
      <w:r>
        <w:rPr>
          <w:rFonts w:ascii="Georgia" w:eastAsia="Times New Roman" w:hAnsi="Georgia" w:cs="Calibri"/>
          <w:i/>
          <w:iCs/>
          <w:color w:val="333333"/>
          <w:sz w:val="20"/>
          <w:szCs w:val="20"/>
          <w:lang w:val="en"/>
        </w:rPr>
        <w:t>Peerless</w:t>
      </w:r>
      <w:r>
        <w:rPr>
          <w:rFonts w:ascii="Georgia" w:eastAsia="Times New Roman" w:hAnsi="Georgia" w:cs="Calibri"/>
          <w:color w:val="333333"/>
          <w:sz w:val="20"/>
          <w:szCs w:val="20"/>
          <w:lang w:val="en"/>
        </w:rPr>
        <w:t> rule later was incorporated into section 71 of the Restatement of Contracts and has now evolved into section 20 of Restatement (Second) of Contracts (1981). Section 20 states in part: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There is no manifestation of mutual assent to an exchange if the parties attach materially different meanings to their manifestations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neither knows or has reason to know the meaning attached by the other.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(c) to Section 20 further explains that “even though the parties manifest mutual assent to the same words of agreement, there may be no contract because of a material difference of understanding as to the terms of the exchange.” Another authority, Williston, discussing situations where a mistake will prevent formation of a contract, agrees that “where a phrase of contract…is reasonably capable of different interpretations…there is no contract.”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present case, both parties attributed different meanings to the same term, “fifty-six twenty.” Thus, there was no meeting of the minds of the parties. With a hundred fold difference in the two prices, obviously price was a material term. Because the “fifty-six twenty” designation was a material term expressed in an ambiguous form to which two meanings were obviously applied, we conclude that no contract between the parties was ever formed. Accordingly, we do not reach the issue of whether Young had authority to order the equipment.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5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reasonable to say that no contract was made in this case?</w:t>
      </w:r>
    </w:p>
    <w:p w:rsidR="00A86150" w:rsidRDefault="00F714D4">
      <w:pPr>
        <w:numPr>
          <w:ilvl w:val="0"/>
          <w:numId w:val="25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discrepancy in price of one hundred times is, of course, enormous. How could such an egregious mistake have occurred by both parties? In terms of running a sensible business, how could this kind of mistake be avoided before it resulted in expensive litigation?</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10.6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agreement is enforceable if the parties did not enter into it (1) of their own free will, (2) with adequate knowledge of the terms, and (3) with the mental capacity to appreciate the relationship.</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coerced through duress will void a contract if actually induced through physical harm and will make the contract voidable if entered under the compulsion of many types of threats. The threat must be improper and leave no reasonable alternative, but the test is subjective—that is, what did the person threatened actually fear, not what a more reasonable person might have feared.</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Misrepresentations may render an agreement void or voidable. Among the factors to be considered are whether the misrepresentation was deliberate and material; whether the promisee relied on the misrepresentation in good faith; whether the representation was of fact, opinion, or intention; and whether the parties had a special relationship.</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Similarly, mistaken beliefs, not induced by misrepresentations, may suffice to avoid the bargain. Some mistakes on one side only make a contract voidable. More often, mutual mistakes of facts will show that there was no meeting of the minds.</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Those who lack capacity are often entitled to avoid contract liability. Although it is possible to state the general rule, many exceptions exist—for example, in contracts for necessities, infants will be liable for the reasonable value of the goods purchased.</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Eulrich, an auto body mechanic who had never operated a business, entered into a Snap-On Tools franchise agreement. For $22,000 invested from his savings and the promise of another $22,000 from the sale of inventory, he was provided a truck full of tools. His job was to drive around his territory and sell them. The agreement allowed termination by either party; if Eulrich terminated, he was entitled to resell to Snap-On any new tools he had remaining. When he complained that his territory was not profitable, his supervisors told him to work it harder, that anybody could make money with Snap-On’s marketing system. (In fact, the evidence was the system made money for the supervisors and little for dealers; dealers quickly failed and were replaced by new recruits.) Within several months Eulrich was out of money and desperate. He tried to “check in” his truck to get money to pay his household bills and uninsured medical bills for his wife; the supervisors put him off for weeks. On the check-in day, the exhausted Eulrich’s supervisors berated him for being a bad businessman, told him no check would be forthcoming until all the returned inventory was sold, and presented him with a number of papers to sign, including a “Termination Agreement” whereby he agreed to waive any claims against Snap-On; he was not aware that was what he had signed. He sued to rescind the contract and for damages. The defendants held up the waiver as a defense. Under what theory might Eulrich recover?</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Chauncey, a college student, worked part-time in a restaurant. After he had worked for several months, the owner of the restaurant discovered that Chauncey had stolen $2,000 from the cash register. The owner called Chauncey’s parents and told them that if they did not sign a note for $2,000, he would initiate criminal proceedings against Chauncey. The parents signed and delivered the note to the owner but later refused to pay. May the owner collect on the note? Why?</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restaurant advertised a steak dinner that included a “juicy, great-tasting steak, a fresh crisp salad, and a warm roll.” After reading the ad, Clarence visited the restaurant and ordered the steak dinner. The steak was dry, the lettuce in the salad was old and limp with brown edges, and the roll was partly frozen. May Clarence recover from the restaurant on the basis of misrepresentation? Why?</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A86150" w:rsidRDefault="00F714D4">
      <w:pPr>
        <w:numPr>
          <w:ilvl w:val="0"/>
          <w:numId w:val="254"/>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Randolph enrolled in a business law class and purchased a new business law textbook from the local bookstore. He dropped the class during the first week and sold the book to his friend Scott. Before making the sale, Randolph told Scott that he had purchased the book new and had owned it for one week. Unknown to either Randolph or Scott, the book was in fact a used one. Scott later discovered some underlining in the middle of the book and attempted to avoid the contract. Randolph refused to refund the purchase price, claiming that he had not intentionally deceived his friend. May Scott avoid the contract? Why?</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Waters was attracted to Midwest Supply by its advertisements for doing federal income taxes. The ads stated “guaranteed accurate tax preparation.” Waters inquired about amending past returns to obtain refunds. Midwest induced him to apply for and receive improper refunds. When Waters was audited, he was required to pay more taxes, and the IRS put tax liens on his wages and bank accounts. In fact, Midwest hired people with no knowledge about taxes at all; if a customer inquired about employees’ qualifications, Midwest’s manual told the employees to say, “Midwest has been preparing taxes for twenty years.” The manual also instructed office managers never to refer to any employee as a “specialist” or “tax expert,” but never to correct any news reporters or commentators if they referred to employees as such. What cause of action has Waters, and for what remedies?</w:t>
      </w:r>
    </w:p>
    <w:p w:rsidR="00A86150" w:rsidRDefault="00F714D4">
      <w:pPr>
        <w:numPr>
          <w:ilvl w:val="0"/>
          <w:numId w:val="254"/>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Mutschler Grain Company (later Jamestown Farmers Elevator) agreed to sell General Mills 30,000 bushels of barley at $1.22 per bushel. A dispute arose: Mutschler said that transportation was to be by truck but that General Mills never ordered any trucks to pick up the grain; General Mills said the grain was to be shipped by rail (railcars were in short supply). Nine months later, after Mutschler had delivered only about one-tenth the contracted amount, the price of barley was over $3.00 per bushel. Mutschler defaulted on, and then repudiated, the contract. Fred Mutschler then received this telephone call from General Mills: “We’re General Mills, and if you don’t deliver this grain to us, why we’ll have a battery of lawyers in there tomorrow morning to visit you, and then we are going to the North Dakota Public Service (Commission); we’re going to the Minneapolis Grain Exchange and we’re going to the people in Montana and there will be no more Mutschler Grain Company. We’re going to take your license.”</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Mutchsler then shipped 22,000 bushels of barley at the $1.22 rate and sued General Mills for the difference between that price and the market price of over $3.00. Summary judgment issued for General Mills. Upon what basis might Mutschler Grain appeal?</w:t>
      </w:r>
    </w:p>
    <w:p w:rsidR="00A86150" w:rsidRDefault="00F714D4">
      <w:pPr>
        <w:numPr>
          <w:ilvl w:val="0"/>
          <w:numId w:val="25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Duke decided to sell his car. The car’s muffler had a large hole in it, and as a result, the car made a loud noise. Before showing the car to potential buyers, Duke patched the hole with muffler tape to quiet it. Perry bought the car after test-driving it. He later discovered the faulty muffler and sought to avoid the contract, claiming fraud. Duke argued that he had not committed fraud because Perry had not asked about the muffler and Duke had made no representation of fact concerning it. Is Duke correct? Decide and explain.</w:t>
      </w:r>
    </w:p>
    <w:p w:rsidR="00A86150" w:rsidRDefault="00F714D4">
      <w:pPr>
        <w:numPr>
          <w:ilvl w:val="0"/>
          <w:numId w:val="25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At the end of the term at college, Jose, talking in the library with his friend Leanne, said, “I’ll sell you my business law notes for $25.” Leanne agreed and paid him the money. Jose then realized he’d made a mistake in that he had offered his notes when he meant to offer his book. Leanne didn’t want the book; she had a book. She wanted the notes. Would Leanne have a cause of action against Jose if he refused to deliver the notes? Decide and explain.</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255"/>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Misrepresentation that does not go to the core of a contract is</w:t>
      </w:r>
    </w:p>
    <w:p w:rsidR="00A86150" w:rsidRDefault="00F714D4">
      <w:pPr>
        <w:pStyle w:val="ListParagraph"/>
        <w:numPr>
          <w:ilvl w:val="0"/>
          <w:numId w:val="25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fraud in the execution</w:t>
      </w:r>
    </w:p>
    <w:p w:rsidR="00A86150" w:rsidRDefault="00F714D4">
      <w:pPr>
        <w:pStyle w:val="ListParagraph"/>
        <w:numPr>
          <w:ilvl w:val="0"/>
          <w:numId w:val="25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fraud in the inducement</w:t>
      </w:r>
    </w:p>
    <w:p w:rsidR="00A86150" w:rsidRDefault="00F714D4">
      <w:pPr>
        <w:pStyle w:val="ListParagraph"/>
        <w:numPr>
          <w:ilvl w:val="0"/>
          <w:numId w:val="25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undue influence</w:t>
      </w:r>
    </w:p>
    <w:p w:rsidR="00A86150" w:rsidRDefault="00F714D4">
      <w:pPr>
        <w:pStyle w:val="ListParagraph"/>
        <w:numPr>
          <w:ilvl w:val="0"/>
          <w:numId w:val="25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example of mistake</w:t>
      </w:r>
    </w:p>
    <w:p w:rsidR="00A86150" w:rsidRDefault="00F714D4">
      <w:pPr>
        <w:numPr>
          <w:ilvl w:val="0"/>
          <w:numId w:val="257"/>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order for a misrepresentation to make a contract voidable,</w:t>
      </w:r>
    </w:p>
    <w:p w:rsidR="00A86150" w:rsidRDefault="00F714D4">
      <w:pPr>
        <w:pStyle w:val="ListParagraph"/>
        <w:numPr>
          <w:ilvl w:val="0"/>
          <w:numId w:val="25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must have been intentional</w:t>
      </w:r>
    </w:p>
    <w:p w:rsidR="00A86150" w:rsidRDefault="00F714D4">
      <w:pPr>
        <w:pStyle w:val="ListParagraph"/>
        <w:numPr>
          <w:ilvl w:val="0"/>
          <w:numId w:val="25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party seeking to void must have relied on the misrepresentation</w:t>
      </w:r>
    </w:p>
    <w:p w:rsidR="00A86150" w:rsidRDefault="00F714D4">
      <w:pPr>
        <w:pStyle w:val="ListParagraph"/>
        <w:numPr>
          <w:ilvl w:val="0"/>
          <w:numId w:val="25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must always be material</w:t>
      </w:r>
    </w:p>
    <w:p w:rsidR="00A86150" w:rsidRDefault="00F714D4">
      <w:pPr>
        <w:pStyle w:val="ListParagraph"/>
        <w:numPr>
          <w:ilvl w:val="0"/>
          <w:numId w:val="25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 is required</w:t>
      </w:r>
    </w:p>
    <w:p w:rsidR="00A86150" w:rsidRDefault="00F714D4">
      <w:pPr>
        <w:pStyle w:val="ListParagraph"/>
        <w:numPr>
          <w:ilvl w:val="0"/>
          <w:numId w:val="257"/>
        </w:numPr>
        <w:shd w:val="clear" w:color="auto" w:fill="E3EFF7"/>
        <w:spacing w:before="150"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mistake by one party will not invalidate a contract unless</w:t>
      </w:r>
    </w:p>
    <w:p w:rsidR="00A86150" w:rsidRDefault="00F714D4">
      <w:pPr>
        <w:pStyle w:val="ListParagraph"/>
        <w:numPr>
          <w:ilvl w:val="0"/>
          <w:numId w:val="25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other party knew of the mistake</w:t>
      </w:r>
    </w:p>
    <w:p w:rsidR="00A86150" w:rsidRDefault="00F714D4">
      <w:pPr>
        <w:pStyle w:val="ListParagraph"/>
        <w:numPr>
          <w:ilvl w:val="0"/>
          <w:numId w:val="25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party making the mistake did not read the contract closely</w:t>
      </w:r>
    </w:p>
    <w:p w:rsidR="00A86150" w:rsidRDefault="00F714D4">
      <w:pPr>
        <w:pStyle w:val="ListParagraph"/>
        <w:numPr>
          <w:ilvl w:val="0"/>
          <w:numId w:val="25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parties to the contract had never done business before</w:t>
      </w:r>
    </w:p>
    <w:p w:rsidR="00A86150" w:rsidRDefault="00F714D4">
      <w:pPr>
        <w:pStyle w:val="ListParagraph"/>
        <w:numPr>
          <w:ilvl w:val="0"/>
          <w:numId w:val="25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party is mistaken about the law</w:t>
      </w:r>
    </w:p>
    <w:p w:rsidR="00A86150" w:rsidRDefault="00F714D4">
      <w:pPr>
        <w:numPr>
          <w:ilvl w:val="0"/>
          <w:numId w:val="26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Upon reaching the age of majority, a person who entered into a contract to purchase goods while a minor may</w:t>
      </w:r>
    </w:p>
    <w:p w:rsidR="00A86150" w:rsidRDefault="00F714D4">
      <w:pPr>
        <w:pStyle w:val="ListParagraph"/>
        <w:numPr>
          <w:ilvl w:val="0"/>
          <w:numId w:val="261"/>
        </w:numPr>
        <w:shd w:val="clear" w:color="auto" w:fill="E3EFF7"/>
        <w:spacing w:after="0"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ratify the contract and keep the goods without paying for them</w:t>
      </w:r>
    </w:p>
    <w:p w:rsidR="00A86150" w:rsidRDefault="00F714D4">
      <w:pPr>
        <w:pStyle w:val="ListParagraph"/>
        <w:numPr>
          <w:ilvl w:val="0"/>
          <w:numId w:val="261"/>
        </w:numPr>
        <w:shd w:val="clear" w:color="auto" w:fill="E3EFF7"/>
        <w:spacing w:after="0"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disaffirm the contract and keep the goods without paying for them</w:t>
      </w:r>
    </w:p>
    <w:p w:rsidR="00A86150" w:rsidRDefault="00F714D4">
      <w:pPr>
        <w:pStyle w:val="ListParagraph"/>
        <w:numPr>
          <w:ilvl w:val="0"/>
          <w:numId w:val="261"/>
        </w:numPr>
        <w:shd w:val="clear" w:color="auto" w:fill="E3EFF7"/>
        <w:spacing w:after="0"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avoid paying for the goods by keeping them without ratifying or disaffirming the contract</w:t>
      </w:r>
    </w:p>
    <w:p w:rsidR="00A86150" w:rsidRDefault="00F714D4">
      <w:pPr>
        <w:pStyle w:val="ListParagraph"/>
        <w:numPr>
          <w:ilvl w:val="0"/>
          <w:numId w:val="261"/>
        </w:numPr>
        <w:shd w:val="clear" w:color="auto" w:fill="E3EFF7"/>
        <w:spacing w:after="0"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these</w:t>
      </w:r>
    </w:p>
    <w:p w:rsidR="00A86150" w:rsidRDefault="00F714D4">
      <w:pPr>
        <w:numPr>
          <w:ilvl w:val="0"/>
          <w:numId w:val="26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Seller does not disclose to Buyer that the foundation of a house is infested with termites. Upon purchasing the house and remodeling part of the basement, Buyer discovers the termites. Has Buyer a cause of action against Seller?</w:t>
      </w:r>
    </w:p>
    <w:p w:rsidR="00A86150" w:rsidRDefault="00F714D4">
      <w:pPr>
        <w:pStyle w:val="ListParagraph"/>
        <w:numPr>
          <w:ilvl w:val="0"/>
          <w:numId w:val="263"/>
        </w:numPr>
        <w:shd w:val="clear" w:color="auto" w:fill="E3EFF7"/>
        <w:spacing w:after="0"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yes</w:t>
      </w:r>
    </w:p>
    <w:p w:rsidR="00A86150" w:rsidRDefault="00F714D4">
      <w:pPr>
        <w:pStyle w:val="ListParagraph"/>
        <w:numPr>
          <w:ilvl w:val="0"/>
          <w:numId w:val="263"/>
        </w:numPr>
        <w:shd w:val="clear" w:color="auto" w:fill="E3EFF7"/>
        <w:spacing w:line="439" w:lineRule="atLeast"/>
        <w:ind w:left="108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A86150" w:rsidRDefault="00F714D4">
      <w:pPr>
        <w:numPr>
          <w:ilvl w:val="0"/>
          <w:numId w:val="26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Eulrich v. Snap-On Tools Corp.</w:t>
      </w:r>
      <w:r>
        <w:rPr>
          <w:rFonts w:ascii="Calibri" w:eastAsia="Times New Roman" w:hAnsi="Calibri" w:cs="Calibri"/>
          <w:color w:val="333333"/>
          <w:sz w:val="20"/>
          <w:szCs w:val="20"/>
        </w:rPr>
        <w:t>, 853 P.2d 1350 (Or. Ct. App. 1993).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11</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69"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Consideration</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265"/>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“consideration” is in contract law, what it is not, and what purposes it serves</w:t>
      </w:r>
    </w:p>
    <w:p w:rsidR="00A86150" w:rsidRDefault="00F714D4">
      <w:pPr>
        <w:numPr>
          <w:ilvl w:val="0"/>
          <w:numId w:val="265"/>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sufficiency of consideration is determined</w:t>
      </w:r>
    </w:p>
    <w:p w:rsidR="00A86150" w:rsidRDefault="00F714D4">
      <w:pPr>
        <w:numPr>
          <w:ilvl w:val="0"/>
          <w:numId w:val="265"/>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what common situations an understanding of consideration is important</w:t>
      </w:r>
    </w:p>
    <w:p w:rsidR="00A86150" w:rsidRDefault="00F714D4">
      <w:pPr>
        <w:numPr>
          <w:ilvl w:val="0"/>
          <w:numId w:val="265"/>
        </w:numPr>
        <w:shd w:val="clear" w:color="auto" w:fill="EAE9DC"/>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promises are enforceable without consideration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11.1 General Perspectives on Consideration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66"/>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“consideration” is in contract law.</w:t>
      </w:r>
    </w:p>
    <w:p w:rsidR="00A86150" w:rsidRDefault="00F714D4">
      <w:pPr>
        <w:numPr>
          <w:ilvl w:val="0"/>
          <w:numId w:val="266"/>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what purposes the doctrine serves.</w:t>
      </w:r>
    </w:p>
    <w:p w:rsidR="00A86150" w:rsidRDefault="00F714D4">
      <w:pPr>
        <w:numPr>
          <w:ilvl w:val="0"/>
          <w:numId w:val="266"/>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law determines whether consideration exists.</w:t>
      </w:r>
    </w:p>
    <w:p w:rsidR="00A86150" w:rsidRDefault="00F714D4">
      <w:pPr>
        <w:numPr>
          <w:ilvl w:val="0"/>
          <w:numId w:val="266"/>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elements of consideration.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continues our inquiry into whether the parties created a valid contract. In </w:t>
      </w:r>
      <w:r>
        <w:rPr>
          <w:rFonts w:ascii="Georgia" w:eastAsia="Times New Roman" w:hAnsi="Georgia" w:cs="Calibri"/>
          <w:color w:val="2689C6"/>
          <w:sz w:val="20"/>
          <w:szCs w:val="20"/>
          <w:lang w:val="en"/>
        </w:rPr>
        <w:t>Chapter 9 "The Agreement"</w:t>
      </w:r>
      <w:r>
        <w:rPr>
          <w:rFonts w:ascii="Georgia" w:eastAsia="Times New Roman" w:hAnsi="Georgia" w:cs="Calibri"/>
          <w:color w:val="333333"/>
          <w:sz w:val="20"/>
          <w:szCs w:val="20"/>
          <w:lang w:val="en"/>
        </w:rPr>
        <w:t>, we saw that the first requisite of a valid contract is an agreement: offer and acceptance. In this chapter, we assume that agreement has been reached and concentrate on one of its crucial aspects: the existence of consideration. Which of the following, if any, is a contract?</w:t>
      </w:r>
    </w:p>
    <w:p w:rsidR="00A86150" w:rsidRDefault="00F714D4">
      <w:pPr>
        <w:pStyle w:val="ListParagraph"/>
        <w:numPr>
          <w:ilvl w:val="0"/>
          <w:numId w:val="26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Betty offers to give a book to Lou. Lou accepts.</w:t>
      </w:r>
    </w:p>
    <w:p w:rsidR="00A86150" w:rsidRDefault="00F714D4">
      <w:pPr>
        <w:pStyle w:val="ListParagraph"/>
        <w:numPr>
          <w:ilvl w:val="0"/>
          <w:numId w:val="26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Betty offers Lou the book in exchange for Lou’s promise to pay twenty-five dollars. Lou accepts.</w:t>
      </w:r>
    </w:p>
    <w:p w:rsidR="00A86150" w:rsidRDefault="00F714D4">
      <w:pPr>
        <w:pStyle w:val="ListParagraph"/>
        <w:numPr>
          <w:ilvl w:val="0"/>
          <w:numId w:val="26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Betty offers to give Lou the book if Lou promises to pick it up at Betty’s house. Lou agrees.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American law, only the second situation is a binding contract, because only that contract contains consideration, a set of mutual promises in which each party agrees to give up something to the benefit of the other. This chapter will explore the meaning and rationale of that statement.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of what constitutes a binding contract has been answered differently throughout history and in other cultures. For example, under Roman law, a contract without consideration was binding if certain formal requirements were met. And in the Anglo-American tradition, the presence of a seal—the wax impression affixed to a document—was once sufficient to make a contract binding without any other consideration. The seal is no longer a substitute for consideration, although in some states it creates a presumption of consideration; in forty-nine states, the Uniform Commercial Code (UCC) has abolished the seal on contracts for the sale of goods. (Louisiana has not adopted UCC Article 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Whatever its original historical purposes, and however apparently arcane, the doctrine of consideration serves some still-useful purposes. It provides objective evidence for asserting that a contract exists; it distinguishes between enforceable and unenforceable bargains; and it is a check against rash, unconsidered action, against thoughtless promise making.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Definition of </w:t>
      </w:r>
      <w:r>
        <w:rPr>
          <w:rFonts w:ascii="Calibri" w:eastAsia="Times New Roman" w:hAnsi="Calibri" w:cs="Calibri"/>
          <w:b/>
          <w:bCs/>
          <w:i/>
          <w:iCs/>
          <w:color w:val="333333"/>
          <w:sz w:val="27"/>
          <w:szCs w:val="27"/>
          <w:lang w:val="en"/>
        </w:rPr>
        <w:t>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Consideration is said to exist when the promisor receives some benefit for his promise and the promisee gives up something in return; it is the bargained-for price you pay for what you get. That may seem simple enough. But as with much in the law, the complicating situations are never very far away. The “something” that is promised or delivered cannot be just anything, such as a feeling of pride, warmth, amusement, or friendship; it must be something known as alegal detriment—an act, forbearance, or a promise of such from the promisee. The detriment need not be an actual detriment; it may in fact be a benefit to the promisee, or at least not a loss. The detriment to one side is usually alegal benefit to the other, but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 legal concept, and it centers on the giving up of a legal right or benefit.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Consideration has two elements. The first, as just outlined, is whether the promisee has incurred a legal detriment—given up something, paid some “price,” though it may be, for example, the promise to do something, like paint a house. (Some courts—although a minority—take the view that a bargained-for legal benefit to the promisor is sufficient consideration.) The second element is whether the legal detriment was bargained for: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comes to her house; the intent clearly is to make a gift.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Consideration is—with some exceptions—a required element of a contract. It is the bargained-for giving up of something of legal value for something in return. It serves the purposes of making formal the intention to contract and reducing rash promise making.</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6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Alice promises to give her neighbor a blueberry bush; the neighbor says, “Thank you!” Subsequently, Alice changes her mind. Is she bound by her promise?</w:t>
      </w:r>
    </w:p>
    <w:p w:rsidR="00A86150" w:rsidRDefault="00F714D4">
      <w:pPr>
        <w:numPr>
          <w:ilvl w:val="0"/>
          <w:numId w:val="26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notwithstanding its relative antiquity, does consideration still serve some useful purposes?</w:t>
      </w:r>
    </w:p>
    <w:p w:rsidR="00A86150" w:rsidRDefault="00F714D4">
      <w:pPr>
        <w:numPr>
          <w:ilvl w:val="0"/>
          <w:numId w:val="26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exchange of consideration in this example: A to B, “I will pay you $800 if you paint my garage.” B to A, “Okay, I’ll paint your garage for $800.”</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Lon L. Fuller, “Consideration and Form,” </w:t>
      </w:r>
      <w:r>
        <w:rPr>
          <w:rFonts w:ascii="Calibri" w:eastAsia="Times New Roman" w:hAnsi="Calibri" w:cs="Calibri"/>
          <w:i/>
          <w:iCs/>
          <w:color w:val="333333"/>
          <w:sz w:val="20"/>
          <w:szCs w:val="20"/>
        </w:rPr>
        <w:t>Columbia Law Review</w:t>
      </w:r>
      <w:r>
        <w:rPr>
          <w:rFonts w:ascii="Calibri" w:eastAsia="Times New Roman" w:hAnsi="Calibri" w:cs="Calibri"/>
          <w:color w:val="333333"/>
          <w:sz w:val="20"/>
          <w:szCs w:val="20"/>
        </w:rPr>
        <w:t> 41 (1941): 799.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11.2 Legal Sufficiency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tabs>
          <w:tab w:val="left" w:pos="918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69"/>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in general what “legal sufficiency” means when examining consideration.</w:t>
      </w:r>
    </w:p>
    <w:p w:rsidR="00A86150" w:rsidRDefault="00F714D4">
      <w:pPr>
        <w:numPr>
          <w:ilvl w:val="0"/>
          <w:numId w:val="269"/>
        </w:numPr>
        <w:shd w:val="clear" w:color="auto" w:fill="EAE9DC"/>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how the concept operates in such common situations as threat of litigation, and accord and satisfaction.</w:t>
      </w:r>
    </w:p>
    <w:p w:rsidR="00A86150" w:rsidRDefault="00F714D4">
      <w:pPr>
        <w:numPr>
          <w:ilvl w:val="0"/>
          <w:numId w:val="269"/>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illusory promises are unenforceable, and how courts deal with needs, outputs, and exclusive dealings contracts.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Concept of Legal Sufficiency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suggested in </w:t>
      </w:r>
      <w:r>
        <w:rPr>
          <w:rFonts w:ascii="Georgia" w:eastAsia="Times New Roman" w:hAnsi="Georgia" w:cs="Calibri"/>
          <w:color w:val="2689C6"/>
          <w:sz w:val="20"/>
          <w:szCs w:val="20"/>
          <w:lang w:val="en"/>
        </w:rPr>
        <w:t>Section 11.1 "General Perspectives on Consideration"</w:t>
      </w:r>
      <w:r>
        <w:rPr>
          <w:rFonts w:ascii="Georgia" w:eastAsia="Times New Roman" w:hAnsi="Georgia" w:cs="Calibri"/>
          <w:color w:val="333333"/>
          <w:sz w:val="20"/>
          <w:szCs w:val="20"/>
          <w:lang w:val="en"/>
        </w:rPr>
        <w:t>, what is required in contract is the exchange of a legal detriment and a legal benefit; if that happens, the consideration is said to have legal sufficiency.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Actual versus Legal Detriment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Phil offers George $500 if George will quit smoking for one year. Is Phil’s promise binding? Because George is presumably benefiting by making and sticking to the agreement—surely his health will improve if he gives up smoking—how can his act be considered a legal detriment? The answer is that there is forbearance on George’s part: George is legally entitled to smoke, and by contracting not to, he suffers a loss of his legal right to do so. This is a legal detriment; consideration does not require an actual detriment.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Adequacy of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Scrooge offers to buy Caspar’s motorcycle, worth $700, for $10 and a shiny new fountain pen (worth $5). Caspar agrees. Is this agreement supported by adequate consideration? Yes, because both have agreed to give up something that is theirs: Scrooge, the cash and the pen; Caspar, the motorcycle. Courts are not generally concerned with the economic adequacy of the consideration but instead with whether it is present. As Judge Richard A. Posner puts it, “To ask whether there is consideration is simply to inquire whether the situation is one of exchange and a bargain has been struck. To go further and ask whether the consideration is adequate would require the court to do what…it is less well equipped to do than the parties—decide whether the price (and other essential terms) specified in the contract are reasonable.”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short, “courts do not inquire into the adequacy of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normally, parties to contracts will not make such a one-sided deal as Scrooge and Caspar’s. But there is a common class of contracts in which nominal consideration—usually one dollar—is recited in printed forms. Usually these are option contracts, in which “in consideration of one dollar in hand paid and receipt of which is hereby acknowledged” one party agrees to hold open the right of the other to make a purchase on agreed terms. The courts will enforce these contracts if the dollar is intended “to support a short-time option proposing an exchange on fair terms.”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If, however, the option is for an unreasonably long period of time and the underlying bargain is unfair (the Restatement gives as an example a ten-year option permitting the optionee to take phosphate rock from a widow’s land at a per-ton payment of only one-fourth the prevailing rate), then the courts are unlikely to hold that the nominal consideration makes the option irrevocable.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consideration on such option contracts is nominal, its recital in the written instrument is usually a mere formality, and it is frequently never paid; in effect, the recital of nominal consideration is false. Nevertheless, the courts will enforce the contract—precisely because the recital has become a formality and nobody objects to the charade. Moreover, it would be easy enough to upset an option based on nominal consideration by falsifying oral testimony that the dollar was never paid or received. In a contest between oral testimonies where the incentive to lie is strong and there is a written document clearly incorporating the parties’ agreement, the courts prefer the latter. However, as</w:t>
      </w:r>
      <w:r>
        <w:rPr>
          <w:rFonts w:ascii="Georgia" w:eastAsia="Times New Roman" w:hAnsi="Georgia" w:cs="Calibri"/>
          <w:color w:val="2689C6"/>
          <w:sz w:val="20"/>
          <w:szCs w:val="20"/>
          <w:lang w:val="en"/>
        </w:rPr>
        <w:t>Section 11.4.1 "Consideration for an Option"</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Board of Control of Eastern Michigan University v. Burgess</w:t>
      </w:r>
      <w:r>
        <w:rPr>
          <w:rFonts w:ascii="Georgia" w:eastAsia="Times New Roman" w:hAnsi="Georgia" w:cs="Calibri"/>
          <w:color w:val="333333"/>
          <w:sz w:val="20"/>
          <w:szCs w:val="20"/>
          <w:lang w:val="en"/>
        </w:rPr>
        <w:t>, demonstrates, the state courts are not uniform on this point, and it is a safe practice always to deliver the consideration, no matter how nominal.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Applications of the Legal Sufficiency Doctrine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section discusses several common circumstances where the issue of whether the consideration proffered (offered up) is adequate.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Threat of Litigation: Covenant Not to Sue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every person has the legal right to file suit if he or she feels aggrieved, a promise to refrain from going to court is sufficient consideration to support a promise of payment or performance. In </w:t>
      </w:r>
      <w:r>
        <w:rPr>
          <w:rFonts w:ascii="Georgia" w:eastAsia="Times New Roman" w:hAnsi="Georgia" w:cs="Calibri"/>
          <w:i/>
          <w:iCs/>
          <w:color w:val="333333"/>
          <w:sz w:val="20"/>
          <w:szCs w:val="20"/>
          <w:lang w:val="en"/>
        </w:rPr>
        <w:t>Dedeaux v. Young</w:t>
      </w:r>
      <w:r>
        <w:rPr>
          <w:rFonts w:ascii="Georgia" w:eastAsia="Times New Roman" w:hAnsi="Georgia" w:cs="Calibri"/>
          <w:color w:val="333333"/>
          <w:sz w:val="20"/>
          <w:szCs w:val="20"/>
          <w:lang w:val="en"/>
        </w:rPr>
        <w:t>, Dedeaux purchased property and promised to make certain payments to Young, the broker.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But Dedeaux thereafter failed to make these payments, and Young threatened suit; had he filed papers in court, the transfer of title could have been blocked. To keep Young from suing, Dedeaux promised to pay a 5 percent commission if Young would stay out of court. Dedeaux later resisted paying on the ground that he had never made such a promise and that even if he had, it did not amount to a contract because there was no consideration from Young. The court disagreed, holding that the evidence supported Young’s contention that Dedeaux had indeed made such a promise and upholding Young’s claim for the commission because “a request to forbear to exercise a legal right has been generally accepted as sufficient consideration to support a contract.” If Young had had no grounds to sue—for example, if he had threatened to sue a stranger, or if it could be shown that Dedeaux had no obligation to him originally—then there would have been no consideration because Young would not have been giving up a legal right. A promise to forebear suing in return for settlement of a dispute is called a covenant not to sue (</w:t>
      </w:r>
      <w:r>
        <w:rPr>
          <w:rFonts w:ascii="Georgia" w:eastAsia="Times New Roman" w:hAnsi="Georgia" w:cs="Calibri"/>
          <w:i/>
          <w:iCs/>
          <w:color w:val="333333"/>
          <w:sz w:val="20"/>
          <w:szCs w:val="20"/>
          <w:lang w:val="en"/>
        </w:rPr>
        <w:t>covenant</w:t>
      </w:r>
      <w:r>
        <w:rPr>
          <w:rFonts w:ascii="Georgia" w:eastAsia="Times New Roman" w:hAnsi="Georgia" w:cs="Calibri"/>
          <w:color w:val="333333"/>
          <w:sz w:val="20"/>
          <w:szCs w:val="20"/>
          <w:lang w:val="en"/>
        </w:rPr>
        <w:t> is another word for agreement).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Accord and Satisfaction Generally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Frequently, the parties to a contract will dispute the meaning of its terms and conditions, especially the amount of money actually due. When the dispute is genuine (and not the unjustified attempt of one party to avoid paying a sum clearly due), it can be settled by the parties’ agreement on a fixed sum as the amount due. This second agreement, which substitutes for the disputed first agreement, is called an accord, and when the payment or other term is discharged, the completed second contract is known as anaccord and satisfaction. A suit brought for an alleged breach of the original contract could be defended by citing the later accord and satisfaction.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accord is a contract and must therefore be supported by consideration. Suppose Jan owes Andy $7,000, due November 1. On November 1, Jan pays only $3,500 in exchange for Andy’s promise to release Jan from the remainder of the debt. Has Andy (the promisor) made a binding promise? He has not, because there is no consideration for the accord. Jan has incurred no detriment; she has received something (release of the obligation to pay the remaining $3,500), but she has given up nothing. But if Jan and Andy had agreed that Jan would pay the $3,500 on October 25, then there would be consideration; Jan would have incurred a legal detriment by obligating herself to make a payment earlier than the original contract required her to. If Jan had paid the $3,500 on November 11 and had given Andy something else agreed to—a pen, a keg of beer, a peppercorn—the required detriment would also be present.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take a look at some examples of the accord and satisfaction principle. The dispute that gives rise to the parties’ agreement to settle by an accord and satisfaction may come up in several typical ways: where there is an unliquidated debt; a disputed debt; an “in-full-payment check” for less than what the creditor claims is due; unforeseen difficulties that give rise to a contract modification, or a novation; or a composition among creditors. But no obligation ever arises—and no real legal dispute can arise—where a person promises a benefit if someone will do that which he has a preexisting obligation to, or where a person promises a benefit to someone not to do that which the promisee is already disallowed from doing, or where one makes an illusory promise.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Settling an Unliquidated Debt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unliquidated debt is one that is uncertain in amount. Such debts frequently occur when people consult professionals in whose offices precise fees are rarely discussed, or where one party agrees, expressly or by implication, to pay the customary or reasonable fees of the other without fixing the exact amount. It is certain that a debt is owed, but it is not certain how much. (Aliquidated debt, on the other hand, is one that is fixed in amount, certain. A debt can be liquidated by being written down in unambiguous terms—“IOU $100”—or by being mathematically ascertainable—$1 per pound of ice ordered and 60 pounds delivered; hence the liquidated debt is $60.)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how the matter plays out: Assume a patient goes to the hospital for a gallbladder operation. The cost of the operation has not been discussed beforehand in detail, although the cost in the metropolitan area is normally around $8,000. After the operation, the patient and the surgeon agree on a bill of $6,000. The patient pays the bill; a month later the surgeon sues for another $2,000. Who wins? The patient: he has forgone his right to challenge the reasonableness of the fee by agreeing to a fixed amount payable at a certain time. The agreement liquidating the debt is an accord and is enforceable. If, however, the patient and the surgeon had agreed on an $8,000 fee before the operation, and if the patient arbitrarily refused to pay this liquidated debt unless the surgeon agreed to cut her fee in half, then the surgeon would be entitled to recover the other half in a lawsuit, because the patient would have given no consideration—given up nothing, “suffered no detriment”—for the surgeon’s subsequent agreement to cut the fee.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Settling a Disputed Debt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b/>
          <w:bCs/>
          <w:color w:val="333333"/>
          <w:sz w:val="20"/>
          <w:szCs w:val="20"/>
          <w:lang w:val="en"/>
        </w:rPr>
        <w:t>disputed debt</w:t>
      </w:r>
      <w:r>
        <w:rPr>
          <w:rFonts w:ascii="Georgia" w:eastAsia="Times New Roman" w:hAnsi="Georgia" w:cs="Calibri"/>
          <w:color w:val="333333"/>
          <w:sz w:val="20"/>
          <w:szCs w:val="20"/>
          <w:lang w:val="en"/>
        </w:rPr>
        <w:t> arises where the parties </w:t>
      </w:r>
      <w:r>
        <w:rPr>
          <w:rFonts w:ascii="Georgia" w:eastAsia="Times New Roman" w:hAnsi="Georgia" w:cs="Calibri"/>
          <w:i/>
          <w:iCs/>
          <w:color w:val="333333"/>
          <w:sz w:val="20"/>
          <w:szCs w:val="20"/>
          <w:lang w:val="en"/>
        </w:rPr>
        <w:t>did</w:t>
      </w:r>
      <w:r>
        <w:rPr>
          <w:rFonts w:ascii="Georgia" w:eastAsia="Times New Roman" w:hAnsi="Georgia" w:cs="Calibri"/>
          <w:color w:val="333333"/>
          <w:sz w:val="20"/>
          <w:szCs w:val="20"/>
          <w:lang w:val="en"/>
        </w:rPr>
        <w:t> agree on (liquidated) the price or fee but subsequently get into a dispute about its fairness, and then settle. When this dispute is settled, the parties have given consideration to an agreement to accept a fixed sum as payment for the amount due. Assume that in the gallbladder case the patient agrees in advance to pay $8,000. Eight months after the operation and as a result of nausea and vomiting spells, the patient undergoes a second operation; the surgeons discover a surgical sponge embedded in the patient’s intestine. The patient refuses to pay the full sum of the original surgeon’s bill; they settle on $6,000, which the patient pays. This is a binding agreement because subsequent facts arose to make legitimate the patient’s quarrel over his obligation to pay the full bill. As long as the dispute is based in fact and is not trumped up, as long as the promisee is acting in good faith, then consideration is present when a disputed debt is settled.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“In-Full-Payment” Check Situation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discharge his liquidated debt for $8,000 to the surgeon, the patient sends a check for $6,000 marked “payment in full.” The surgeon cashes it. There is no dispute. May the surgeon sue for the remaining $2,000? This may appear to be an accord: by cashing the check, the surgeon seems to be agreeing with the patient to accept the $6,000 in full payment. But consideration is lacking. Because the surgeon is owed more than the face amount of the check, she causes the patient no legal detriment by accepting the check. If the rule were otherwise, debtors could easily tempt hard-pressed creditors to accept less than the amount owed by presenting immediate cash. The key to the enforceability of a “payment in full” legend is the character of the debt. If unliquidated, or if there is a dispute, then “payment in full” can serve as accord and satisfaction when written on a check that is accepted for payment by a creditor. But if the debt is liquidated and undisputed, there is no consideration when the check is for a lesser amount. (However, it is arguable that if the check is considered to be an agreement modifying a sales contract, no consideration is necessary under Uniform Commercial Code (UCC) Section 2-209.)</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Unforeseen Difficulties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unforeseen difficulty arising after a contract is made may be resolved by an accord and satisfaction, too. Difficulties that no one could foresee can sometimes serve as catalyst for a further promise that may appear to be without consideration but that the courts will enforce nevertheless. Suppose Peter contracts to build Jerry a house for $390,000. While excavating, Peter unexpectedly discovers quicksand, the removal of which will cost an additional $10,000. To ensure that Peter does not delay, Jerry promises to pay Peter $10,000 more than originally agreed. But when the house is completed, Jerry reneges on his promise. Is Jerry liable? Logically perhaps not: Peter has incurred no legal detriment in exchange for the $10,000; he had already contracted to build the house. But most courts would allow Peter to recover on the theory that the original contract was terminated, or modified, either by mutual agreement or by an implied condition that the original contract would be discharged if unforeseen difficulties developed. In short, the courts will enforce the parties’ own mutual recognition that the unforeseen conditions had made the old contract unfair. The parties either have modified their original contract (which requires consideration at common law) or have given up their original contract and made a new one (called a novation).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 question of fact whether the new circumstance is new and difficult enough to make a preexisting obligation into an unforeseen difficulty. Obviously, if Peter encounters only a small pocket of quicksand—say two gallons’ worth—he would have to deal with it as part of his already-agreed-to job. If he encounters as much quicksand as would fill an Olympic-sized swimming pool, that’s clearly unforeseen, and he should get extra to deal with it. Someplace between the two quantities of quicksand there is enough of the stuff so that Peter’s duty to remove it is outside the original agreement and new consideration would be needed in exchange for its removal.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Creditors’ Composition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creditors’ composition may give rise to debt settlement by an accord and satisfaction. It is an agreement whereby two or more creditors of a debtor consent to the debtor’s paying them pro rata shares of the debt due in full satisfaction of their claims. A composition agreement can be critically important to a business in trouble; through it, the business might manage to stave off bankruptcy. Even though the share accepted is less than the full amount due and is payable after the due date so that consideration appears to be lacking, courts routinely enforce these agreements. The promise of each creditor to accept a lesser share than that owed in return for getting something is taken as consideration to support the promises of the others. A debtor has $3,000 on hand. He owes $3,000 each to A, B, and C. A, B, and C agree to accept $1,000 each and discharge the debtor. Each creditor has given up $2,000 but in return has at least received something, the $1,000. Without the composition, one might have received the entire amount owed her, but the others would have received nothing.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Preexisting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amenable to settlement by an accord and satisfaction is the situation where a party has a </w:t>
      </w:r>
      <w:r>
        <w:rPr>
          <w:rFonts w:ascii="Georgia" w:eastAsia="Times New Roman" w:hAnsi="Georgia" w:cs="Calibri"/>
          <w:b/>
          <w:bCs/>
          <w:color w:val="333333"/>
          <w:sz w:val="20"/>
          <w:szCs w:val="20"/>
          <w:lang w:val="en"/>
        </w:rPr>
        <w:t>preexisting duty</w:t>
      </w:r>
      <w:r>
        <w:rPr>
          <w:rFonts w:ascii="Georgia" w:eastAsia="Times New Roman" w:hAnsi="Georgia" w:cs="Calibri"/>
          <w:color w:val="333333"/>
          <w:sz w:val="20"/>
          <w:szCs w:val="20"/>
          <w:lang w:val="en"/>
        </w:rPr>
        <w:t> and he or she is offered a benefit to discharge it. When the only consideration offered the promisor is an act or promise to act to carry out a preexisting duty, there is no valid contract. As </w:t>
      </w:r>
      <w:r>
        <w:rPr>
          <w:rFonts w:ascii="Georgia" w:eastAsia="Times New Roman" w:hAnsi="Georgia" w:cs="Calibri"/>
          <w:i/>
          <w:iCs/>
          <w:color w:val="333333"/>
          <w:sz w:val="20"/>
          <w:szCs w:val="20"/>
          <w:lang w:val="en"/>
        </w:rPr>
        <w:t>Denney v. Reppert</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Section 11.4.2 "Consideration: Preexisting Obligation"</w:t>
      </w:r>
      <w:r>
        <w:rPr>
          <w:rFonts w:ascii="Georgia" w:eastAsia="Times New Roman" w:hAnsi="Georgia" w:cs="Calibri"/>
          <w:color w:val="333333"/>
          <w:sz w:val="20"/>
          <w:szCs w:val="20"/>
          <w:lang w:val="en"/>
        </w:rPr>
        <w:t>) makes clear, the promisee suffers no legal detriment in promising to undertake that which he is already obligated to do. Where a person is promised a benefit not to do that which he is already disallowed from doing, there is no consideration. David is sixteen years old; his uncle promises him $50 if he will refrain from smoking. The promise is not enforceable: legally, David already must refrain from smoking, so he has promised to give up nothing to which he had a legal right. As noted previously, the difficulty arises where it is unclear whether a person has a preexisting obligation or whether such unforeseen difficulties have arisen as to warrant the recognition that the parties have modified the contract or entered into a novation. What if Peter insists on additional payment for him to remove one wheelbarrow full of quicksand from the excavation? Surely that’s not enough “unforeseen difficulty.” How much quicksand is enough?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Illusory Promises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promise is a pledge to do something. Sometimes it is anillusory promise, where the terms of the contract really bind the promisor to give up nothing, to suffer no detriment. For example, Lydia offers to pay Juliette $10 for mowing Lydia’s lawn. Juliette promises to mow the lawn if she feels like it. May Juliette enforce the contract? No, because Juliette has incurred no legal detriment; her promise is illusory, since by doing nothing she still falls within the literal wording of her promise. The doctrine that such bargains are unenforceable is sometimes referred to as the rule of mutuality of obligation: if one party to a contract has not made a binding obligation, neither is the other party bound. Thus if A contracts to hire B for a year at $6,000 a month, reserving the right to dismiss B at any time (an “option to cancel” clause), and B agrees to work for a year, A has not really promised anything; A is not bound to the agreement, and neither is B.</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illusory promise presents a special problem in agreements for exclusive dealing, outputs, and needs contracts.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Exclusive Dealing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exclusive dealing agreement, one party (the franchisor) promises to deal solely with the other party (the franchisee)—for example, a franchisor-designer agrees to sell all of her specially designed clothes to a particular department store (the franchisee). In return, the store promises to pay a certain percentage of the sales price to the designer. On closer inspection, it may appear that the store’s promise is illusory: it pays the designer only if it manages to sell dresses, but it may sell none. The franchisor-designer may therefore attempt to back out of the deal by arguing that because the franchisee is not obligated to do anything, there was no consideration for her promise to deal exclusively with the store.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however, have upheld exclusive dealing contracts on the theory that the franchisee has an obligation to use reasonable efforts to promote and sell the product or services. This obligation may be spelled out in the contract or implied by its terms. In the classic statement of this concept, Judge Benjamin N. Cardozo, then on the New York Court of Appeals, in upholding such a contract, declared: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true that [the franchisee]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expressed.…His promise to pay the defendant one-half of the profits and revenues resulting from the exclusive agency and to render accounts monthly was a promise to use reasonable efforts to bring profits and revenues into existence.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follows the same rule. In the absence of language specifically delineating the seller’s or buyer’s duties, an exclusive dealing contract under Section 2-306(2) imposes “an obligation by the seller to use best efforts to supply the goods and by the buyer to use best efforts to promote their sale.”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Outputs Contracts and Needs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similar issue arises with outputs contracts and needs contracts. In anoutputs contract, the seller—say a coal company—agrees to sell its entire yearly output of coal to an electric utility. Has it really agreed to produce and sell any coal at all? What if the coal-mine owner decides to shut down production to take a year’s vacation—is that a violation of the agreement? Yes. The law imposes upon the seller here a duty to produce and sell a reasonable amount. Similarly, if the electric utility contracted to buy all its requirements of coal from the coal company—a needs contract—could it decide to stop operation entirely and take no coal? No, it is required to take a reasonable amount.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Courts do not inquire into the adequacy of consideration, but (with some exceptions) do require the promisor to incur a legal detriment (the surrender of any legal right he or she possesses—to give up something) in order to receive the bargained-for benefit. The surrender of the right to sue is a legal detriment, and the issue arises in analyzing various kinds of dispute settlement agreements (accord and satisfaction): the obligation to pay the full amount claimed by a creditor on a liquidated debt, an unliquidated debt, and a disputed debt. Where unforeseen difficulties arise, an obligor will be entitled to additional compensation (consideration) to resolve them either because the contract is modified or because the parties have entered into a novation, but no additional consideration is owing to one who performs a preexisting obligation or forbears from performing that which he or she is under a legal duty not to perform. If a promisor gives an illusory promise, he or she gives no consideration and no contract is formed; but exclusive dealing agreements, needs contracts, and outputs contracts are not treated as illusory.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7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meant by “legally sufficient” consideration?</w:t>
      </w:r>
    </w:p>
    <w:p w:rsidR="00A86150" w:rsidRDefault="00F714D4">
      <w:pPr>
        <w:numPr>
          <w:ilvl w:val="0"/>
          <w:numId w:val="27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courts usually not “inquire into the adequacy of consideration”?</w:t>
      </w:r>
    </w:p>
    <w:p w:rsidR="00A86150" w:rsidRDefault="00F714D4">
      <w:pPr>
        <w:numPr>
          <w:ilvl w:val="0"/>
          <w:numId w:val="27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can it be said there is consideration in the following instances: (a) settlement of an unliquidated debt? (b) settlement of a disputed debt? (c) a person agreeing to do more than originally contracted for because of unforeseen difficulties? (d) a creditor agreeing with other creditors for each of them to accept less than they are owed from the debtor?</w:t>
      </w:r>
    </w:p>
    <w:p w:rsidR="00A86150" w:rsidRDefault="00F714D4">
      <w:pPr>
        <w:numPr>
          <w:ilvl w:val="0"/>
          <w:numId w:val="27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there no consideration where a person demands extra compensation for that which she is already obligated to do, or for forbearing to do that which she already is forbidden from doing?</w:t>
      </w:r>
    </w:p>
    <w:p w:rsidR="00A86150" w:rsidRDefault="00F714D4">
      <w:pPr>
        <w:numPr>
          <w:ilvl w:val="0"/>
          <w:numId w:val="27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a contract modification and a novation?</w:t>
      </w:r>
    </w:p>
    <w:p w:rsidR="00A86150" w:rsidRDefault="00F714D4">
      <w:pPr>
        <w:numPr>
          <w:ilvl w:val="0"/>
          <w:numId w:val="270"/>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 courts resolve the problem that a needs or outputs contract apparently imposes no detriment—no requirement to pass any consideration to the other side—on the promisor?</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Richard A. Posner, </w:t>
      </w:r>
      <w:r>
        <w:rPr>
          <w:rFonts w:ascii="Calibri" w:eastAsia="Times New Roman" w:hAnsi="Calibri" w:cs="Calibri"/>
          <w:i/>
          <w:iCs/>
          <w:color w:val="333333"/>
          <w:sz w:val="20"/>
          <w:szCs w:val="20"/>
        </w:rPr>
        <w:t>Economic Analysis of Law</w:t>
      </w:r>
      <w:r>
        <w:rPr>
          <w:rFonts w:ascii="Calibri" w:eastAsia="Times New Roman" w:hAnsi="Calibri" w:cs="Calibri"/>
          <w:color w:val="333333"/>
          <w:sz w:val="20"/>
          <w:szCs w:val="20"/>
        </w:rPr>
        <w:t> (New York: Aspen, 1973), 46.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87(b).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Dedeaux v. Young</w:t>
      </w:r>
      <w:r>
        <w:rPr>
          <w:rFonts w:ascii="Calibri" w:eastAsia="Times New Roman" w:hAnsi="Calibri" w:cs="Calibri"/>
          <w:color w:val="333333"/>
          <w:sz w:val="20"/>
          <w:szCs w:val="20"/>
        </w:rPr>
        <w:t>, 170 So.2d 561 (1965).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Otis F. Wood v. Lucy, Lady Duff-Gordon</w:t>
      </w:r>
      <w:r>
        <w:rPr>
          <w:rFonts w:ascii="Calibri" w:eastAsia="Times New Roman" w:hAnsi="Calibri" w:cs="Calibri"/>
          <w:color w:val="333333"/>
          <w:sz w:val="20"/>
          <w:szCs w:val="20"/>
        </w:rPr>
        <w:t>, 118 N.E. 214 (1917).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11.3 Promises Enforceable without Consideration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271"/>
        </w:numPr>
        <w:shd w:val="clear" w:color="auto" w:fill="EAE9DC"/>
        <w:tabs>
          <w:tab w:val="clear" w:pos="720"/>
          <w:tab w:val="num" w:pos="1320"/>
        </w:tabs>
        <w:spacing w:line="439" w:lineRule="atLeast"/>
        <w:ind w:left="63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exceptions to the requirement of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variety of policy reasons, courts will enforce certain types of promises even though consideration may be absent. Some of these are governed by the Uniform Commercial Code (UCC); others are part of the established common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Promises Enforceable without Consideration at Common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Past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past consideration is not sufficient to support a promise. By past consideration, the courts mean an act that could have served as consideration if it had been bargained for at the time but that was not the subject of a bargain. For example, Mrs. Ace’s dog Fluffy escapes from her mistress’s condo at dusk. Robert finds Fluffy, sees Mrs. Ace, who is herself out looking for her pet, and gives Fluffy to her. She says, “Oh, thank you for finding my dear dog. Come by my place tomorrow morning and I’ll give you fifty dollars as a reward.” The next day Robert stops by Mrs. Ace’s condo, but she says, “Well, I don’t know. Fluffy soiled the carpet again last night. I think maybe a twenty-dollar reward would be plenty.” Robert cannot collect the fifty dollars. Even though Mrs. Ace might have a moral obligation to pay him and honor her promise, there was no consideration for it. Robert incurred no legal detriment; his contribution—finding the dog—was paid out before her promise, and his past consideration is invalid to support a contract. There was no bargained-for exchange.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a valid consideration, given in the past to support a promise, can be the basis for another, later contract under certain circumstances. These occur when a person’s duty to act for one reason or another has become no longer binding. If the person then makes a new promise based on the unfulfilled past duty, the new promise is binding without further consideration. Three types of cases follow.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Promise Revived after Statute of Limitations Has Passed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statute of limitations is a law requiring a lawsuit to be filed within a specified period of years. For example, in many states a contract claim must be sued on within six years; if the plaintiff waits longer than that, the claim will be dismissed, regardless of its merits. When the time period set forth in the statute of limitations has lapsed, the statute is said to have “run.” If a debtor renews a promise to pay or acknowledges a debt after the running of a statute of limitations, then under the common law the promise is binding, although there is no consideration in the usual sense. In many states, this promise or acknowledgment must be in writing and signed by the debtor. Also, in many states, the courts will imply a promise or acknowledgment if the debtor makes a partial payment after the statute has run.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Voidable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promises that might otherwise serve as consideration are voidable by the promisor, for a variety of reasons, including infancy, fraud, duress, or mistake. But a voidable contract does not automatically become void, and if the promisor has not avoided the contract but instead thereafter renews his promise, it is binding. For example, Mr. Melvin sells his bicycle to Seth, age thirteen. Seth promises to pay Mr. Melvin one hundred dollars. Seth may repudiate the contract, but he does not. When he turns eighteen, he renews his promise to pay the one hundred dollars. This promise is binding. (However, a promise made up to the time he turned eighteen would not be binding, since he would still have been a minor.)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Promissory Estoppel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examined the meaning of this forbidding phrase in </w:t>
      </w:r>
      <w:r>
        <w:rPr>
          <w:rFonts w:ascii="Georgia" w:eastAsia="Times New Roman" w:hAnsi="Georgia" w:cs="Calibri"/>
          <w:color w:val="2689C6"/>
          <w:sz w:val="20"/>
          <w:szCs w:val="20"/>
          <w:lang w:val="en"/>
        </w:rPr>
        <w:t>Chapter 8 "Introduction to Contract Law"</w:t>
      </w:r>
      <w:r>
        <w:rPr>
          <w:rFonts w:ascii="Georgia" w:eastAsia="Times New Roman" w:hAnsi="Georgia" w:cs="Calibri"/>
          <w:color w:val="333333"/>
          <w:sz w:val="20"/>
          <w:szCs w:val="20"/>
          <w:lang w:val="en"/>
        </w:rPr>
        <w:t> (recall the English </w:t>
      </w:r>
      <w:r>
        <w:rPr>
          <w:rFonts w:ascii="Georgia" w:eastAsia="Times New Roman" w:hAnsi="Georgia" w:cs="Calibri"/>
          <w:i/>
          <w:iCs/>
          <w:color w:val="333333"/>
          <w:sz w:val="20"/>
          <w:szCs w:val="20"/>
          <w:lang w:val="en"/>
        </w:rPr>
        <w:t>High Trees</w:t>
      </w:r>
      <w:r>
        <w:rPr>
          <w:rFonts w:ascii="Georgia" w:eastAsia="Times New Roman" w:hAnsi="Georgia" w:cs="Calibri"/>
          <w:color w:val="333333"/>
          <w:sz w:val="20"/>
          <w:szCs w:val="20"/>
          <w:lang w:val="en"/>
        </w:rPr>
        <w:t> case). It represents another type of promise that the courts will enforce without consideration. Simply stated,promissory estoppel 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 (The complete phraseology is “promissory estoppel with detrimental reliance.”)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Cases involving pledges of charitable contributions have long been troublesome to courts. Recognizing the necessity to charitable institutions of such pledges, the courts have also been mindful that a mere pledge of money to the general funds of a hospital, university, or similar institution does not usually induce substantial action but is, rather, simply a promise without consideration. When the pledge does prompt a charitable institution to act, promissory estoppel is available as a remedy. In about one-quarter of the states, another doctrine is available for cases involving simple pledges: the “mutual promises” theory, whereby the pledges of many individuals are taken as consideration for each other and are binding against each promisor. This theory was not available to the plaintiff in </w:t>
      </w:r>
      <w:r>
        <w:rPr>
          <w:rFonts w:ascii="Georgia" w:eastAsia="Times New Roman" w:hAnsi="Georgia" w:cs="Calibri"/>
          <w:i/>
          <w:iCs/>
          <w:color w:val="333333"/>
          <w:sz w:val="20"/>
          <w:szCs w:val="20"/>
          <w:lang w:val="en"/>
        </w:rPr>
        <w:t>Timko</w:t>
      </w:r>
      <w:r>
        <w:rPr>
          <w:rFonts w:ascii="Georgia" w:eastAsia="Times New Roman" w:hAnsi="Georgia" w:cs="Calibri"/>
          <w:color w:val="333333"/>
          <w:sz w:val="20"/>
          <w:szCs w:val="20"/>
          <w:lang w:val="en"/>
        </w:rPr>
        <w:t> because his was the only promise.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Moral Obligation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allows, under some circumstances, the enforcement of past-consideration contracts. It provides as follows in Section 86, “Promise for Benefit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promise made in recognition of a benefit previously received by the promisor from the promisee is binding to the extent necessary to prevent injustice.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promise is not binding under Subsection (1)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promisee conferred the benefit as a gift or for other reasons the promisor has not been unjustly enriched; 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the extent that its value is disproportionate to the benefit.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Promises Enforceable without Consideration by Statute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touched on several common-law exceptions to the consideration requirement. Some also are provided by statute.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permits one party to discharge, without consideration, a claim or right arising out of an alleged breach of contract by the other party. This is accomplished by delivering to the other party a signed written waiver orrenunciation.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This provision applies to any contract governed by the UCC and is not limited to the sales provisions of Article 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also permits a party to discharge the other side without consideration when there is no breach, and it permits parties to modify their Article 2 contract without consideration.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official comments to the UCC section add the following: “However, modifications made thereunder must meet the test of good faith imposed by this Act. The effective use of bad faith to escape performance on the original contract terms is barred, and the extortion of a “modification” without legitimate commercial reason is ineffective as a violation of the duty of good faith.”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Seller agrees to deliver a ton of coal within seven days. Buyer needs the coal sooner and asks Seller to deliver within four days. Seller agrees. This promise is binding even though Seller received no additional consideration beyond the purchase price for the additional duty agreed to (the duty to get the coal to Buyer sooner than originally agreed). The UCC allows a merchant’s firm offer, signed, in writing, to bind the merchant to keep the offer to buy or sell open without consideration.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This is the UCC’s equivalent of a common-law option, which, as you recall, does require 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1-207 of the UCC allows a party a reservation of rights while performing a contract. This section raises a difficult question when a debtor issues an in-full-payment check in payment of a disputed debt. As noted earlier in this chapter, because under the common law the creditor’s acceptance of an in-full-payment check in payment of a disputed debt constitutes an accord and satisfaction, the creditor cannot collect an amount beyond the check. But what if the creditor, in cashing the check, reserves the right (under Section 1-207) to sue for an amount beyond what the debtor is offering? The courts are split on the issue: regarding the sale of goods governed by the UCC, some courts allow the creditor to sue for the unpaid debt notwithstanding the check being marked “paid in full,” and others do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Bankruptcy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Bankruptcy is, of course, federal statutory law. The rule here regarding a promise to pay after the obligation is discharged is similar to that governing statutes of limitations. Traditionally, a promise to repay debts after a bankruptcy court has discharged them makes the debtor liable once again. This traditional rule gives rise to potential abuse; after undergoing the rigors of bankruptcy, a debtor could be badgered by creditors into reaffirmation, putting him in a worse position than before, since he must wait six years before being allowed to avail himself of bankruptcy again.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Bankruptcy Act includes certain procedural protections to ensure that the debtor knowingly enters into a reaffirmation of his debt. Among its provisions, the law requires the debtor to have reaffirmed the debt before the debtor is discharged in bankruptcy; he then has sixty days to rescind his reaffirmation. If the bankrupt party is an individual, the law also requires that a court hearing be held at which the consequences of his reaffirmation must be explained, and reaffirmation of certain consumer debts is subject to court approval if the debtor is not represented by an attorney.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International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governed by the Convention on Contracts for the International Sale of Goods (as mentioned in </w:t>
      </w:r>
      <w:r>
        <w:rPr>
          <w:rFonts w:ascii="Georgia" w:eastAsia="Times New Roman" w:hAnsi="Georgia" w:cs="Calibri"/>
          <w:color w:val="2689C6"/>
          <w:sz w:val="20"/>
          <w:szCs w:val="20"/>
          <w:lang w:val="en"/>
        </w:rPr>
        <w:t>Chapter 8 "Introduction to Contract Law"</w:t>
      </w:r>
      <w:r>
        <w:rPr>
          <w:rFonts w:ascii="Georgia" w:eastAsia="Times New Roman" w:hAnsi="Georgia" w:cs="Calibri"/>
          <w:color w:val="333333"/>
          <w:sz w:val="20"/>
          <w:szCs w:val="20"/>
          <w:lang w:val="en"/>
        </w:rPr>
        <w:t>) do not require consideration to be binding.</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some exceptions to the consideration requirement. At common law, past consideration doesn’t count, but no consideration is necessary in these cases: where a promise barred by the statute of limitations is revived, where a voidable duty is reaffirmed, where there has been detrimental reliance on a promise (i.e., promissory estoppel), or where a court simply finds the promisor has a moral obligation to keep the promise.</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statutory law, the UCC has several exceptions to the consideration requirement. No consideration is needed to revive a debt discharged in bankruptcy, and none is called for under the Convention on Contracts for the International Sale of Goods.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Melba began work for Acme Company in 1975 as a filing clerk. Thirty years later she had risen to be comptroller. At a thirty-year celebration party, her boss, Mr. Holder, said, “Melba, I hope you work here for a long time, and you can retire at any time, but if you decide to retire, on account of your years of good service, the company will pay you a monthly pension of $2,000.” Melba continued to work for another two years, then retired. The company paid the pension for three years and then, in an economic downturn, stopped. When Melba sued, the company claimed it was not obligated to her because the pension was of past consideration. What will be the result?</w:t>
      </w:r>
    </w:p>
    <w:p w:rsidR="00A86150" w:rsidRDefault="00F714D4">
      <w:pPr>
        <w:numPr>
          <w:ilvl w:val="0"/>
          <w:numId w:val="2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theories are used to enforce charitable subscriptions?</w:t>
      </w:r>
    </w:p>
    <w:p w:rsidR="00A86150" w:rsidRDefault="00F714D4">
      <w:pPr>
        <w:numPr>
          <w:ilvl w:val="0"/>
          <w:numId w:val="2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elements necessary for the application of the doctrine of promissory estoppel?</w:t>
      </w:r>
    </w:p>
    <w:p w:rsidR="00A86150" w:rsidRDefault="00F714D4">
      <w:pPr>
        <w:numPr>
          <w:ilvl w:val="0"/>
          <w:numId w:val="2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what circumstances does the Restatement employ moral obligation as a basis for enforcing an otherwise unenforceable contract?</w:t>
      </w:r>
    </w:p>
    <w:p w:rsidR="00A86150" w:rsidRDefault="00F714D4">
      <w:pPr>
        <w:numPr>
          <w:ilvl w:val="0"/>
          <w:numId w:val="2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Promises unenforceable because barred by bankruptcy or by the running of the statute of limitations can be revived without further consideration. What do the two circumstances have in common?</w:t>
      </w:r>
    </w:p>
    <w:p w:rsidR="00A86150" w:rsidRDefault="00F714D4">
      <w:pPr>
        <w:numPr>
          <w:ilvl w:val="0"/>
          <w:numId w:val="27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the UCC, when is no consideration required where it would be in equivalent situations at common law?</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Estate of Timko v. Oral Roberts Evangelistic Assn.</w:t>
      </w:r>
      <w:r>
        <w:rPr>
          <w:rFonts w:ascii="Calibri" w:eastAsia="Times New Roman" w:hAnsi="Calibri" w:cs="Calibri"/>
          <w:color w:val="333333"/>
          <w:sz w:val="20"/>
          <w:szCs w:val="20"/>
        </w:rPr>
        <w:t>, 215 N.W.2d 750 (Mich. App. 1974).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1-107.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Sections 2-209(4) and 2-209(1).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2-205.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11.4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Consideration for an Option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Board of Control of Eastern Michigan University v. Burgess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206 N.W.2d 256 (Mich. 1973)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Burns,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February 15, 1966, defendant signed a document which purported to grant to plaintiff a 60-day option to purchase defendant’s home. That document, which was drafted by plaintiff’s agent, acknowledged receipt by defendant of “One and no/100 ($1.00) Dollar and other valuable consideration.” Plaintiff concedes that neither the one dollar nor any other consideration was ever paid or even tendered to defendant. On April 14, 1966, plaintiff delivered to defendant written notice of its intention to exercise the option. On the closing date defendant rejected plaintiff’s tender of the purchase price. Thereupon, plaintiff commenced this action for specific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trial defendant claimed that the purported option was void for want of consideration, that any underlying offer by defendant had been revoked prior to acceptance by plaintiff, and that the agreed purchase price was the product of fraud and mutual mistake. The trial judge concluded that no fraud was involved, and that any mutual mistake was not material. He also held that defendant’s acknowledgment of receipt of consideration bars any subsequent contention to the contrary. Accordingly, the trial judge entered judgment for plaintiff.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Options for the purchase of land, if based on valid consideration, are contracts which may be specifically enforced. [Citations] Conversely, that which purports to be an option, but which is not based on valid consideration, is not a contract and will not be enforced. [Citations] One dollar is valid consideration for an option to purchase land, provided the dollar is paid or at least tendered. [Citations] In the instant case defendant received no consideration for the purported option of February 15, 1966.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written acknowledgment of receipt of consideration merely creates a rebuttable presumption that consideration has, in fact, passed. Neither the parol evidence rule nor the doctrine of estoppel bars the presentation of evidence to contradict any such acknowledgment.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our opinion that the document signed by defendant on February 15, 1966, is not an enforceable option, and that defendant is not barred from so asserting.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trial court premised its holding to the contrary on </w:t>
      </w:r>
      <w:r>
        <w:rPr>
          <w:rFonts w:ascii="Georgia" w:eastAsia="Times New Roman" w:hAnsi="Georgia" w:cs="Calibri"/>
          <w:i/>
          <w:iCs/>
          <w:color w:val="333333"/>
          <w:sz w:val="20"/>
          <w:szCs w:val="20"/>
          <w:lang w:val="en"/>
        </w:rPr>
        <w:t>Lawrence v. McCalmont</w:t>
      </w:r>
      <w:r>
        <w:rPr>
          <w:rFonts w:ascii="Georgia" w:eastAsia="Times New Roman" w:hAnsi="Georgia" w:cs="Calibri"/>
          <w:color w:val="333333"/>
          <w:sz w:val="20"/>
          <w:szCs w:val="20"/>
          <w:lang w:val="en"/>
        </w:rPr>
        <w:t>…(1844). That case is significantly distinguishable from the instant case. Mr. Justice Story held that ‘(t)he guarantor acknowledged the receipt of one dollar, and is now estopped to deny it.’ However, in reliance upon the guaranty substantial credit had been extended to the guarantor’s sons. The guarantor had received everything she bargained for, save one dollar. In the instant case defendant claims that she never received any of the consideration promised 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which purports to be an option for the purchase of land, but which is not based on valid consideration, is a simple offer to sell the same land. [Citation] An option is a contract collateral to an offer to sell whereby the offer is made irrevocable for a specified period. [Citation] Ordinarily, an offer is revocable at the will of the offeror. Accordingly, a failure of consideration affects only the collateral contract to keep the offer open, not the underlying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simple offer may be revoked for any reason or for no reason by the offeror at any time prior to its acceptance by the offeree. [Citation] Thus, the question in this case becomes, ‘Did defendant effectively revoke her offer to sell before plaintiff accepted that offer?’…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testified that within hours of signing the purported option she telephoned plaintiff’s agent and informed him that she would not abide by the option unless the purchase price was increased. Defendant also testified that when plaintiff’s agent delivered to her on April 14, 1966, plaintiff’s notice of its intention to exercise the purported option, she told him that ‘the option was off’.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Plaintiff’s agent testified that defendant did not communicate to him any dissatisfaction until sometime in July, 1966.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defendant is telling the truth, she effectively revoked her offer several weeks before plaintiff accepted that offer, and no contract of sale was created. If plaintiff’s agent is telling the truth, defendant’s offer was still open when plaintiff accepted that offer, and an enforceable contract was created. The trial judge thought it unnecessary to resolve this particular dispute. In light of our holding the dispute must be resolved.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appellate court cannot assess the credibility of witnesses. We have neither seen nor heard them testify. [Citation] Accordingly, we remand this case to the trial court for additional findings of fact based on the record already before the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 for proceedings consistent with this opinion. Costs to defendant.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lower court decide the option given by the defendant was valid?</w:t>
      </w:r>
    </w:p>
    <w:p w:rsidR="00A86150" w:rsidRDefault="00F714D4">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appeals court find the option invalid?</w:t>
      </w:r>
    </w:p>
    <w:p w:rsidR="00A86150" w:rsidRDefault="00F714D4">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case was remanded. On retrial, how could the plaintiff (the university) still win?</w:t>
      </w:r>
    </w:p>
    <w:p w:rsidR="00A86150" w:rsidRDefault="00F714D4">
      <w:pPr>
        <w:numPr>
          <w:ilvl w:val="0"/>
          <w:numId w:val="27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was not disputed that the defendant signed the purported option. Is it right that she should get out of it merely because she didn’t really get the $1.00?</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Consideration: Preexisting Obligation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Denney v. Reppert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432 S.W.2d 647 (Ky. 1968)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 L. Myre, Sr., Special Commissioner.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sole question presented in this case is which of several claimants is entitled to an award for information leading to the apprehension and conviction of certain bank robbers.…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question for determination is whether the employees of the robbed bank are eligible to receive or share in the reward. The great weight of authority answers in the negative. [Citation] states the rule thusly: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 * * well established that a public officer with the authority of the law to make an arrest may accept an offer of reward or compensation for acts or services performed outside of his bailiwick or not within the scope of his official duties. * *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7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Bankers Association put the resolution of this matter into the court’s hands?</w:t>
      </w:r>
    </w:p>
    <w:p w:rsidR="00A86150" w:rsidRDefault="00F714D4">
      <w:pPr>
        <w:numPr>
          <w:ilvl w:val="0"/>
          <w:numId w:val="27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Several claimants came forward for the reward; only one person got it. What was the difference between the person who got the reward and those who did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Consideration: Required for Contract Modification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Gross v. Diehl Specialties International,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776 S.W.2d 879 (Missouri Ct. App. 1989)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Smith,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appeals from a jury verdict and resultant judgment for defendant in a breach of employment contract case.…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was employed under a fifteen year employment contract originally executed in 1977 between plaintiff and defendant. Defendant, at that time called Dairy Specialties, Inc., was a company in the business of formulating ingredients to produce non-dairy products for use by customers allergic to cow’s milk. Plaintiff successfully formulated [Vitamite]…for that usage.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Thereafter, on August 24, 1977, plaintiff and defendant corporation entered into an employment contract employing plaintiff as general manager of defendant for fifteen years. Compensation was established at $14,400 annually plus cost of living increases. In addition, when 10% of defendant’s gross profits exceeded the annual salary, plaintiff would receive an additional amount of compensation equal to the difference between his compensation and 10% of the gross profits for such year. On top of that plaintiff was to receive a royalty for the use of each of his inventions and formulae of 1% of the selling price of all of the products produced by defendant using one or more of plaintiff’s inventions or formulae during the term of the agreement. That amount was increased to 2% of the selling price following the term of the agreement. The contract further provided that during the term of the agreement the inventions and formulae would be owned equally by plaintiff and defendant and that following the term of the agreement the ownership would revert to plaintiff. During the term of the agreement defendant had exclusive rights to use of the inventions and formulae and after the term of agreement a non-exclusive right of 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time of the execution of the contract, sales had risen from virtually nothing in 1976 to $750,000 annually from sales of Vitamite and a chocolate flavored product formulated by plaintiff called Chocolite. [Dairy’s owner] was in declining health and in 1982 desired to sell his company. At that time yearly sales were $7,500,000. [Owner] sold the company to the Diehl family enterprises for 3 million dollars.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Prior to sale Diehl insisted that a new contract between plaintiff and defendant be executed or Diehl would substantially reduce the amount to be paid for [the company]. A new contract was executed August 24, 1982. It reduced the expressed term of the contract to 10 years, which provided the same expiration date as the prior contract. It maintained the same base salary of $14,400 effective September 1982, thereby eliminating any cost of living increases incurred since the original contract. The 10% of gross profit provision remained the same. The new contract provided that plaintiff’s inventions and formula were exclusively owned by defendant during the term of the contract and after its termination. The 1% royalty during the term of the agreement remained the same, but no royalties were provided for after the term of the agreement. No other changes were made in the agreement. Plaintiff received no compensation for executing the new contract. He was not a party to the sale of the company by [Owner] and received nothing tangible from that sale.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sale plaintiff was given the title and responsibilities of president of defendant with additional duties but no additional compensation. In 1983 and 1984 the business of the company declined severely and in October 1984, plaintiff’s employment with defendant was terminated by defendant. This suit followed.…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turn now to the court’s holding that the 1982 agreement was the operative contract. Plaintiff contends this holding is erroneous because there existed no consideration for the 1982 agreement. We agree. A modification of a contract constitutes the making of a new contract and such new contract must be supported by consideration. [Citation] Where a contract has not been fully performed at the time of the new agreement, the substitution of a new provision, resulting in a modification of the obligations on </w:t>
      </w:r>
      <w:r>
        <w:rPr>
          <w:rFonts w:ascii="Georgia" w:eastAsia="Times New Roman" w:hAnsi="Georgia" w:cs="Calibri"/>
          <w:i/>
          <w:iCs/>
          <w:color w:val="333333"/>
          <w:sz w:val="20"/>
          <w:szCs w:val="20"/>
          <w:lang w:val="en"/>
        </w:rPr>
        <w:t>both</w:t>
      </w:r>
      <w:r>
        <w:rPr>
          <w:rFonts w:ascii="Georgia" w:eastAsia="Times New Roman" w:hAnsi="Georgia" w:cs="Calibri"/>
          <w:color w:val="333333"/>
          <w:sz w:val="20"/>
          <w:szCs w:val="20"/>
          <w:lang w:val="en"/>
        </w:rPr>
        <w:t> sides, for a provision in the old contract still unperformed is sufficient consideration for the new contract. While consideration may consist of either a detriment to the promisee or a benefit to the promisor, a promise to carry out an already existing contractual duty does not constitute consideration.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1982 contract defendant assumed no detriment it did not already have. The term of the contract expired on the same date under both contracts. Defendant undertook no greater obligations than it already had. Plaintiff on the other hand received less than he had under the original contract. His base pay was reduced back to its amount in 1977 despite the provision in the 1977 contract for cost of living adjustments. He lost his equal ownership in his formulae during the term of the agreement and his exclusive ownership after the termination of the agreement. He lost all royalties after termination of the agreement and the right to use and license the formulae subject to defendant’s right to non-exclusive use upon payment of royalties. In exchange for nothing, defendant acquired exclusive ownership of the formulae during and after the agreement, eliminated royalties after the agreement terminated, turned its non-exclusive use after termination into exclusive use and control, and achieved a reduction in plaintiff’s base salary. Defendant did no more than promise to carry out an already existing contractual duty. There was no consideration for the 1982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asserts that consideration flowed to plaintiff because the purchase of defendant by the Diehls might not have occurred without the agreement and the purchase provided plaintiff with continued employment and a financially viable employer. There is no evidence to support this contention. Plaintiff had continued employment with the same employer under the 1977 agreement. Nothing in the 1982 agreement provided for any additional financial protection to plaintiff. The essence of defendant’s position is that [the owner] received more from his sale of the company because of the new agreement than he would have without it. We have difficulty converting [the owner’s] windfall into a benefit to plaintiff.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[Remanded to determine how much plaintiff should receive.]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7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determine that Plaintiff’s postemployment benefits should revert to those in his original contract instead being limited to those in the modified contract?</w:t>
      </w:r>
    </w:p>
    <w:p w:rsidR="00A86150" w:rsidRDefault="00F714D4">
      <w:pPr>
        <w:numPr>
          <w:ilvl w:val="0"/>
          <w:numId w:val="27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argument did Defendant make as to why the terms of the modified contract should be valid?</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agreements—including contract modification at common law (but not under the Uniform Commercial Code [UCC])—are not binding contracts in the absence of what the law terms “consideration.” Consideration is usually defined as a “legal detriment”—an act, forbearance, or a promise. The act can be the payment of money, the delivery of a service, or the transfer of title to property. Consideration is a legal concept in that it centers on the giving up of a legal right or benefit.</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understanding of consideration is important in many commonplace situations, including those in which (1) a debtor and a creditor enter into an accord that is later disputed, (2) a duty is preexisting, (3) a promise is illusory, and (4) creditors agree to a composition.</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promises are enforceable without consideration. These include certain promises under the UCC and other circumstances, including (1) contracts barred by the statute of limitations, (2) promises by a bankrupt to repay debts, and (3) situations in which justice will be served by invoking the doctrine of promissory estoppel. Determining whether an agreement should be upheld despite the lack of consideration, technically defined, calls for a diligent assessment of the factual circumstances.</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76"/>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Hornbuckle purchased equipment from Continental Gin (CG) for $6,300. However, after some of the equipment proved defective, Hornbuckle sent CG a check for $4,000 marked “by endorsement this check is accepted in full payment,” and CG endorsed and deposited the check. May CG force Hornbuckle to pay the remaining $2,300? Why?</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Joseph Hoffman alleged that Red Owl Stores promised him that it would build a store building in Chilton, Wisconsin, and stock it with merchandise for Hoffman to operate in return for Hoffman’s investment of $18,000. The size, cost, design, and layout of the store building was not discussed, nor were the terms of the lease as to rent, maintenance, and purchase options. Nevertheless, in reliance on Red Owl’s promise, the Hoffmans sold their bakery and grocery store business, purchased the building site in Chilton, and rented a residence there for the family. The deal was never consummated: a dispute arose, Red Owl did not build the store, and it denied liability to Hoffman on the basis that its promise to him was too indefinite with respect to all details for a contract to have resulted. Is Hoffman entitled to some relief? On what theory?</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Raquel contracted to deliver one hundred widgets to Sam on December 15, for which he would pay $4,000. On November 25, Sam called her and asked if she could deliver the widgets on December 5. Raquel said she could, and she promised delivery on that day. Is her promise binding? Why?</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Seller agreed to deliver gasoline to Buyer at $3.15 per gallon over a period of one year. By the sixth month, gasoline had increased in price over a dollar a gallon. Although Seller had gasoline available for sale, he told Buyer the price would have to increase by that much or he would be unable to deliver. Buyer agreed to the increase, but when billed, refused to pay the additional amount. Is Buyer bound by the promise? Explain.</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Montbanks’s son, Charles, was seeking an account executive position with Dobbs, Smith &amp; Fogarty, Inc., a large brokerage firm. Charles was independent and wished no interference by his well-known father. The firm, after several weeks’ deliberation, decided to hire Charles. They made him an offer on April 12, 2010, and Charles accepted. Montbanks, unaware that his son had been hired and concerned that he might not be, mailed a letter to Dobbs on April 13 in which he promised to give the brokerage firm $150,000 in commission business if the firm would hire his son. The letter was received by Dobbs, and the firm wishes to enforce it against Montbanks. May Dobbs enforce the promise? Why?</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1869, William E. Story promised his nephew, William E. Story II (then sixteen years old), $5,000 (about $120,000 in today’s money) if “Willie” would abstain from drinking alcohol, smoking, swearing, and playing cards or billiards for money until the nephew reached twenty-one years of age. All of these were legally permissible activities for the teenager at that time in New York State. Willie accepted his uncle’s promise and did refrain from the prohibited acts until he turned twenty-one. When the young man asked for the money, his uncle wrote to him that he would honor the promise but would rather wait until Willie was older before delivering the money, interest added on. Willie agreed. Subsequently, Willie assigned the right to receive the money to one Hamer (Willie wanted the money sooner), and Story I died without making any payment. The estate, administered by Franklin Sidway, refused to pay, asserting there was no binding contract due to lack of consideration: the boy suffered no “detriment,” and the uncle got no benefit. The trial court agreed with the estate, and the plaintiff appealed. Should the court on appeal affirm or reverse? Explain.</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Harold Pearsall and Joe Alexander were friends for over twenty-five years. About twice a week, they bought what they called a package: a half-pint of vodka, orange juice, two cups, and two lottery tickets. They went to Alexander’s house to watch TV, drink screwdrivers, and scratch the lottery tickets. The two had been sharing tickets and screwdrivers since the Washington, DC, lottery began. On the evening in issue, Pearsall bought the package and asked Alexander, “Are you in on it?” Alexander said yes. Pearsall asked for his half of the purchase price, but Alexander had no money. A few hours later, Alexander, having come by some funds of his own, bought another package. He handed one ticket to Pearsall, and they both scratched the tickets; Alexander’s was a $20,000 winner. When Pearsall asked for his share, Alexander refused to give him anything. Are the necessary elements of offer, acceptance, and consideration present here so as to support Pearsall’s assertion the parties had a contract?</w:t>
      </w:r>
    </w:p>
    <w:p w:rsidR="00A86150" w:rsidRDefault="00F714D4">
      <w:pPr>
        <w:numPr>
          <w:ilvl w:val="0"/>
          <w:numId w:val="27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Defendant, Lee Taylor, had assaulted his wife, who took refuge in the house of Plaintiff, Harrington. The next day, Taylor gained access to the house and began another assault upon his wife. Mrs. Taylor knocked him down with an axe and was on the point of cutting his head open or decapitating him while he was lying on the floor when Plaintiff intervened and caught the axe as it was descending. The blow intended for Defendant fell upon Harrington’s hand, mutilating it badly, but saving Defendant’s life. Subsequently, Defendant orally promised to pay Plaintiff her damages but, after paying a small sum, failed to pay anything more. Is Harrington entitled to enforce Taylor’s entire promise?</w:t>
      </w:r>
    </w:p>
    <w:p w:rsidR="00A86150" w:rsidRDefault="00F714D4">
      <w:pPr>
        <w:numPr>
          <w:ilvl w:val="0"/>
          <w:numId w:val="27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White Sands Forest Products (Defendant) purchased logging equipment from Clark Corporation (Plaintiff) under an installment contract that gave Plaintiff the right to repossess and resell the equipment if Defendant defaulted on the contract. Defendant did default and agreed to deliver the equipment to Plaintiff if Plaintiff would then discharge Defendant from further obligation. Plaintiff accepted delivery and resold the equipment, but the sale left a deficiency (there was still money owing by Defendant). Plaintiff then sued for the deficiency, and Defendant set up as a defense the accord and satisfaction. Is the defense good?</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277"/>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Consideration</w:t>
      </w:r>
    </w:p>
    <w:p w:rsidR="00A86150" w:rsidRDefault="00F714D4">
      <w:pPr>
        <w:numPr>
          <w:ilvl w:val="1"/>
          <w:numId w:val="278"/>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consist of a written acknowledgment of some benefit received, even if in fact the benefit is not delivered</w:t>
      </w:r>
    </w:p>
    <w:p w:rsidR="00A86150" w:rsidRDefault="00F714D4">
      <w:pPr>
        <w:numPr>
          <w:ilvl w:val="1"/>
          <w:numId w:val="278"/>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cannot be nominal in amount</w:t>
      </w:r>
    </w:p>
    <w:p w:rsidR="00A86150" w:rsidRDefault="00F714D4">
      <w:pPr>
        <w:numPr>
          <w:ilvl w:val="1"/>
          <w:numId w:val="278"/>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bargained-for act, forbearance, or promise from the promisee</w:t>
      </w:r>
    </w:p>
    <w:p w:rsidR="00A86150" w:rsidRDefault="00F714D4">
      <w:pPr>
        <w:numPr>
          <w:ilvl w:val="1"/>
          <w:numId w:val="278"/>
        </w:numPr>
        <w:shd w:val="clear" w:color="auto" w:fill="E3EFF7"/>
        <w:spacing w:after="0" w:line="439" w:lineRule="atLeast"/>
        <w:ind w:left="72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all of the above</w:t>
      </w:r>
    </w:p>
    <w:p w:rsidR="00A86150" w:rsidRDefault="00F714D4">
      <w:pPr>
        <w:numPr>
          <w:ilvl w:val="0"/>
          <w:numId w:val="278"/>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example of valid consideration is a promise</w:t>
      </w:r>
    </w:p>
    <w:p w:rsidR="00A86150" w:rsidRDefault="00F714D4">
      <w:pPr>
        <w:pStyle w:val="ListParagraph"/>
        <w:numPr>
          <w:ilvl w:val="0"/>
          <w:numId w:val="27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a seventeen-year-old to refrain from drinking alcohol</w:t>
      </w:r>
    </w:p>
    <w:p w:rsidR="00A86150" w:rsidRDefault="00F714D4">
      <w:pPr>
        <w:pStyle w:val="ListParagraph"/>
        <w:numPr>
          <w:ilvl w:val="0"/>
          <w:numId w:val="27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refrain from going to court</w:t>
      </w:r>
    </w:p>
    <w:p w:rsidR="00A86150" w:rsidRDefault="00F714D4">
      <w:pPr>
        <w:pStyle w:val="ListParagraph"/>
        <w:numPr>
          <w:ilvl w:val="0"/>
          <w:numId w:val="27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cook dinner if the promisor can get around to it</w:t>
      </w:r>
    </w:p>
    <w:p w:rsidR="00A86150" w:rsidRDefault="00F714D4">
      <w:pPr>
        <w:pStyle w:val="ListParagraph"/>
        <w:numPr>
          <w:ilvl w:val="0"/>
          <w:numId w:val="27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repay a friend for the four years of free legal advice he had provided</w:t>
      </w:r>
    </w:p>
    <w:p w:rsidR="00A86150" w:rsidRDefault="00F714D4">
      <w:pPr>
        <w:numPr>
          <w:ilvl w:val="0"/>
          <w:numId w:val="28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unliquidated debt is a debt</w:t>
      </w:r>
    </w:p>
    <w:p w:rsidR="00A86150" w:rsidRDefault="00F714D4">
      <w:pPr>
        <w:pStyle w:val="ListParagraph"/>
        <w:numPr>
          <w:ilvl w:val="0"/>
          <w:numId w:val="28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one is not able to pay</w:t>
      </w:r>
    </w:p>
    <w:p w:rsidR="00A86150" w:rsidRDefault="00F714D4">
      <w:pPr>
        <w:pStyle w:val="ListParagraph"/>
        <w:numPr>
          <w:ilvl w:val="0"/>
          <w:numId w:val="28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not yet paid</w:t>
      </w:r>
    </w:p>
    <w:p w:rsidR="00A86150" w:rsidRDefault="00F714D4">
      <w:pPr>
        <w:pStyle w:val="ListParagraph"/>
        <w:numPr>
          <w:ilvl w:val="0"/>
          <w:numId w:val="28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of uncertain amount</w:t>
      </w:r>
    </w:p>
    <w:p w:rsidR="00A86150" w:rsidRDefault="00F714D4">
      <w:pPr>
        <w:pStyle w:val="ListParagraph"/>
        <w:numPr>
          <w:ilvl w:val="0"/>
          <w:numId w:val="28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is unenforceable debt</w:t>
      </w:r>
    </w:p>
    <w:p w:rsidR="00A86150" w:rsidRDefault="00F714D4">
      <w:pPr>
        <w:numPr>
          <w:ilvl w:val="0"/>
          <w:numId w:val="28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rule that if one party to a contract has not made a binding obligation, the other party is not bound is called</w:t>
      </w:r>
    </w:p>
    <w:p w:rsidR="00A86150" w:rsidRDefault="00F714D4">
      <w:pPr>
        <w:pStyle w:val="ListParagraph"/>
        <w:numPr>
          <w:ilvl w:val="0"/>
          <w:numId w:val="28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revocation</w:t>
      </w:r>
    </w:p>
    <w:p w:rsidR="00A86150" w:rsidRDefault="00F714D4">
      <w:pPr>
        <w:pStyle w:val="ListParagraph"/>
        <w:numPr>
          <w:ilvl w:val="0"/>
          <w:numId w:val="28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mutuality of obligation</w:t>
      </w:r>
    </w:p>
    <w:p w:rsidR="00A86150" w:rsidRDefault="00F714D4">
      <w:pPr>
        <w:pStyle w:val="ListParagraph"/>
        <w:numPr>
          <w:ilvl w:val="0"/>
          <w:numId w:val="28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accord and satisfaction</w:t>
      </w:r>
    </w:p>
    <w:p w:rsidR="00A86150" w:rsidRDefault="00F714D4">
      <w:pPr>
        <w:pStyle w:val="ListParagraph"/>
        <w:numPr>
          <w:ilvl w:val="0"/>
          <w:numId w:val="28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estoppel</w:t>
      </w:r>
    </w:p>
    <w:p w:rsidR="00A86150" w:rsidRDefault="00F714D4">
      <w:pPr>
        <w:numPr>
          <w:ilvl w:val="0"/>
          <w:numId w:val="284"/>
        </w:numPr>
        <w:shd w:val="clear" w:color="auto" w:fill="E3EFF7"/>
        <w:tabs>
          <w:tab w:val="num" w:pos="1440"/>
        </w:tabs>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Examples of promises enforceable without consideration include</w:t>
      </w:r>
    </w:p>
    <w:p w:rsidR="00A86150" w:rsidRDefault="00F714D4">
      <w:pPr>
        <w:pStyle w:val="ListParagraph"/>
        <w:numPr>
          <w:ilvl w:val="0"/>
          <w:numId w:val="28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agreement modifying a sales contract</w:t>
      </w:r>
    </w:p>
    <w:p w:rsidR="00A86150" w:rsidRDefault="00F714D4">
      <w:pPr>
        <w:pStyle w:val="ListParagraph"/>
        <w:numPr>
          <w:ilvl w:val="0"/>
          <w:numId w:val="28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promise to pay a debt after the statute of limitations has run</w:t>
      </w:r>
    </w:p>
    <w:p w:rsidR="00A86150" w:rsidRDefault="00F714D4">
      <w:pPr>
        <w:pStyle w:val="ListParagraph"/>
        <w:numPr>
          <w:ilvl w:val="0"/>
          <w:numId w:val="28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debtor’s promise to repay a debt that has been discharged in bankruptcy</w:t>
      </w:r>
    </w:p>
    <w:p w:rsidR="00A86150" w:rsidRDefault="00F714D4">
      <w:pPr>
        <w:pStyle w:val="ListParagraph"/>
        <w:numPr>
          <w:ilvl w:val="0"/>
          <w:numId w:val="285"/>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286"/>
        </w:numPr>
        <w:shd w:val="clear" w:color="auto" w:fill="E3EFF7"/>
        <w:tabs>
          <w:tab w:val="clear" w:pos="720"/>
          <w:tab w:val="num" w:pos="288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86"/>
        </w:numPr>
        <w:shd w:val="clear" w:color="auto" w:fill="E3EFF7"/>
        <w:tabs>
          <w:tab w:val="clear" w:pos="720"/>
          <w:tab w:val="num" w:pos="288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286"/>
        </w:numPr>
        <w:shd w:val="clear" w:color="auto" w:fill="E3EFF7"/>
        <w:tabs>
          <w:tab w:val="clear" w:pos="720"/>
          <w:tab w:val="num" w:pos="288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286"/>
        </w:numPr>
        <w:shd w:val="clear" w:color="auto" w:fill="E3EFF7"/>
        <w:tabs>
          <w:tab w:val="clear" w:pos="720"/>
          <w:tab w:val="num" w:pos="288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286"/>
        </w:numPr>
        <w:shd w:val="clear" w:color="auto" w:fill="E3EFF7"/>
        <w:tabs>
          <w:tab w:val="clear" w:pos="720"/>
          <w:tab w:val="num" w:pos="288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12</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3"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Legality</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287"/>
        </w:numPr>
        <w:shd w:val="clear" w:color="auto" w:fill="EAE9DC"/>
        <w:tabs>
          <w:tab w:val="clear" w:pos="720"/>
          <w:tab w:val="num" w:pos="39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contracts (bargains) that are deemed illegal</w:t>
      </w:r>
    </w:p>
    <w:p w:rsidR="00A86150" w:rsidRDefault="00F714D4">
      <w:pPr>
        <w:numPr>
          <w:ilvl w:val="0"/>
          <w:numId w:val="287"/>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courts deal with disputes concerning illegal contracts</w:t>
      </w:r>
    </w:p>
    <w:p w:rsidR="00A86150" w:rsidRDefault="00F714D4">
      <w:pPr>
        <w:numPr>
          <w:ilvl w:val="0"/>
          <w:numId w:val="287"/>
        </w:numPr>
        <w:shd w:val="clear" w:color="auto" w:fill="EAE9DC"/>
        <w:tabs>
          <w:tab w:val="clear" w:pos="720"/>
          <w:tab w:val="num" w:pos="252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courts will enforce otherwise illegal contracts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12.1 General Perspectives on Illegality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88"/>
        </w:numPr>
        <w:shd w:val="clear" w:color="auto" w:fill="EAE9DC"/>
        <w:tabs>
          <w:tab w:val="clear" w:pos="720"/>
          <w:tab w:val="num" w:pos="180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courts refuse to enforce illegal agreements.</w:t>
      </w:r>
    </w:p>
    <w:p w:rsidR="00A86150" w:rsidRDefault="00F714D4">
      <w:pPr>
        <w:numPr>
          <w:ilvl w:val="0"/>
          <w:numId w:val="288"/>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rationale behind exceptions to the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discussed the requirements of mutual assent, real assent, and consideration. We now turn to the fourth of the five requirements for a valid contract: the legality of the underlying bargain. The basic rule is that courts will not enforce an illegal bargain. (The term </w:t>
      </w:r>
      <w:r>
        <w:rPr>
          <w:rFonts w:ascii="Georgia" w:eastAsia="Times New Roman" w:hAnsi="Georgia" w:cs="Calibri"/>
          <w:i/>
          <w:iCs/>
          <w:color w:val="333333"/>
          <w:sz w:val="20"/>
          <w:szCs w:val="20"/>
          <w:lang w:val="en"/>
        </w:rPr>
        <w:t>illegal bargain</w:t>
      </w:r>
      <w:r>
        <w:rPr>
          <w:rFonts w:ascii="Georgia" w:eastAsia="Times New Roman" w:hAnsi="Georgia" w:cs="Calibri"/>
          <w:color w:val="333333"/>
          <w:sz w:val="20"/>
          <w:szCs w:val="20"/>
          <w:lang w:val="en"/>
        </w:rPr>
        <w:t> is better than </w:t>
      </w:r>
      <w:r>
        <w:rPr>
          <w:rFonts w:ascii="Georgia" w:eastAsia="Times New Roman" w:hAnsi="Georgia" w:cs="Calibri"/>
          <w:i/>
          <w:iCs/>
          <w:color w:val="333333"/>
          <w:sz w:val="20"/>
          <w:szCs w:val="20"/>
          <w:lang w:val="en"/>
        </w:rPr>
        <w:t>illegal contract</w:t>
      </w:r>
      <w:r>
        <w:rPr>
          <w:rFonts w:ascii="Georgia" w:eastAsia="Times New Roman" w:hAnsi="Georgia" w:cs="Calibri"/>
          <w:color w:val="333333"/>
          <w:sz w:val="20"/>
          <w:szCs w:val="20"/>
          <w:lang w:val="en"/>
        </w:rPr>
        <w:t> because a contract is by definition a legal agreement, but the latter terminology prevails in common usage.) Why should this be? Why should the courts refuse to honor contracts made privately by people who presumably know what they are doing—for example, a wager on the World Series or a championship fight? Two reasons are usually given. One is that refusal to enforce helps discourage unlawful behavior; the other is that honoring such contracts would demean the judiciary. Are these reasons valid? Yes and no, in the opinion of one contracts scholar: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[D]enying relief to parties who have engaged in an illegal transaction…helps to effectuate the public policy involved by discouraging the conduct that is disapproved. Mere denial of contractual and quasi-contractual remedy [however] rarely has a substantial effect in discouraging illegal conduct. A man who is hired to perform a murder is not in the least deterred by the fact that the courts are not open to him to collect his fee. Such a man has other methods of enforcement, and they are in fact more effective than legal process. The same is true in varying degrees where less heinous forms of illegal conduct are involved. Even in the matter of usury it was found that mere denial of enforcement was of little value in the effort to eliminate the loan shark. And restraints of trade were not curbed to an appreciable extent until contracts in restraint of trade were made criminal.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instances, then, the protection of the good name of the judicial institution must provide the principal reason for the denial of a remedy to one who has trafficked in the forbidden. This is, moreover, a very good reason. The first duty of an institution is to preserve itself, and if the courts to any appreciable extent busied themselves with “justice among thieves,” the community…would be shocked and the courts would be brought into disrepute.</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Strictly enforced, the rule prohibiting courts from ordering the parties to honor illegal contracts is harsh. It means that a promisee who has already performed under the contract can neither obtain performance of the act for which he bargained nor recover the money he paid or the value of the performance he made. The court will simply leave the parties where it finds them, meaning that one of the parties will have received an uncompensated benefit.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surprisingly, the severity of the rule against enforcement has led courts to seek ways to moderate its impact, chiefly by modifying it according to the principle of restitution. In general, restitution requires that one who has conferred a benefit or suffered a loss should not unfairly be denied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Pursuing this notion, the courts have created several exceptions to the general rule. Thus a party who is excusably ignorant that his promise violates public policy and a party who is not equally in the wrong may recover. Likewise, when a party “would otherwise suffer a forfeiture that is disproportionate in relation to the contravention of public policy involved,” restitution will be allowed.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Other exceptions exist when the party seeking restitution withdraws from the transaction contemplated in the contract before the illegal purpose has been carried out and when “allowing the claim would put an end to a continuing situation that is contrary to the public interest.”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An example of the latter situation occurs when two bettors place money in the hands of a stakeholder. If the wager is unlawful, the loser of the bet has the right to recover his money from the stakeholder before it is paid out to the winner.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Though by and large courts enforce contracts without considering the worth or merits of the bargain they incorporate, freedom of contract can conflict with other public policies. Tensions arise between the desire to let people pursue their own ends and the belief that certain kinds of conduct should not be encouraged. Thus a patient may agree to be treated by an herbalist, but state laws prohibit medical care except by licensed physicians. Law and public policies against usury, gambling, obstructing justice, bribery, corrupt influence, perjury, restraint of trade, impairment of domestic relations, and fraud all significantly affect the authority and willingness of courts to enforce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will consider two types of illegality: (1) that which results from a bargain that violates a statute and (2) that which the courts deem contrary to public policy, even though not expressly set forth in statutes.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Courts refuse to enforce illegal bargains notwithstanding the basic concept of freedom to contract because they do not wish to reward illegal behavior or sully themselves with adjudication of that which is forbidden to undertake. However, fairness sometimes compels courts to make exceptions.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8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w:t>
      </w:r>
      <w:r>
        <w:rPr>
          <w:rFonts w:ascii="Calibri" w:eastAsia="Times New Roman" w:hAnsi="Calibri" w:cs="Calibri"/>
          <w:i/>
          <w:iCs/>
          <w:color w:val="333333"/>
          <w:sz w:val="20"/>
          <w:szCs w:val="20"/>
          <w:lang w:val="en"/>
        </w:rPr>
        <w:t>illegal contract</w:t>
      </w:r>
      <w:r>
        <w:rPr>
          <w:rFonts w:ascii="Calibri" w:eastAsia="Times New Roman" w:hAnsi="Calibri" w:cs="Calibri"/>
          <w:color w:val="333333"/>
          <w:sz w:val="20"/>
          <w:szCs w:val="20"/>
          <w:lang w:val="en"/>
        </w:rPr>
        <w:t> a contradiction in terms?</w:t>
      </w:r>
    </w:p>
    <w:p w:rsidR="00A86150" w:rsidRDefault="00F714D4">
      <w:pPr>
        <w:numPr>
          <w:ilvl w:val="0"/>
          <w:numId w:val="28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courts refuse to enforce contracts (or bargains) made by competent adults if the contracts harm no third party but are illegal?</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Harold C. Havighurst, review of </w:t>
      </w:r>
      <w:r>
        <w:rPr>
          <w:rFonts w:ascii="Calibri" w:eastAsia="Times New Roman" w:hAnsi="Calibri" w:cs="Calibri"/>
          <w:i/>
          <w:iCs/>
          <w:color w:val="333333"/>
          <w:sz w:val="20"/>
          <w:szCs w:val="20"/>
        </w:rPr>
        <w:t>Corbin on Contracts</w:t>
      </w:r>
      <w:r>
        <w:rPr>
          <w:rFonts w:ascii="Calibri" w:eastAsia="Times New Roman" w:hAnsi="Calibri" w:cs="Calibri"/>
          <w:color w:val="333333"/>
          <w:sz w:val="20"/>
          <w:szCs w:val="20"/>
        </w:rPr>
        <w:t>, by Arthur L. Corbin, </w:t>
      </w:r>
      <w:r>
        <w:rPr>
          <w:rFonts w:ascii="Calibri" w:eastAsia="Times New Roman" w:hAnsi="Calibri" w:cs="Calibri"/>
          <w:i/>
          <w:iCs/>
          <w:color w:val="333333"/>
          <w:sz w:val="20"/>
          <w:szCs w:val="20"/>
        </w:rPr>
        <w:t>Yale Law Journal</w:t>
      </w:r>
      <w:r>
        <w:rPr>
          <w:rFonts w:ascii="Calibri" w:eastAsia="Times New Roman" w:hAnsi="Calibri" w:cs="Calibri"/>
          <w:color w:val="333333"/>
          <w:sz w:val="20"/>
          <w:szCs w:val="20"/>
        </w:rPr>
        <w:t> 61 (1952): 1143, 1144–45.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197(b).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197(b).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12.2 Agreements in Violation of Statute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90"/>
        </w:numPr>
        <w:shd w:val="clear" w:color="auto" w:fill="EAE9DC"/>
        <w:tabs>
          <w:tab w:val="clear" w:pos="720"/>
          <w:tab w:val="num" w:pos="180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various types of bargains may be made illegal by statute, including gambling, some service-for-fee agreements involving unlicensed practitioners, and usury.</w:t>
      </w:r>
    </w:p>
    <w:p w:rsidR="00A86150" w:rsidRDefault="00F714D4">
      <w:pPr>
        <w:numPr>
          <w:ilvl w:val="0"/>
          <w:numId w:val="290"/>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while gambling contracts are often illegal, some agreements that might appear to involve gambling are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bargain that violates the criminal law—including statutes that govern extortion, robbery, embezzlement, forgery, some gambling, licensing, and consumer credit transactions—is illegal. Thus determining whether contracts are lawful may seem to be an easy enough task. Clearly, whenever the statute itself explicitly forbids the making of the contract or the performance agreed upon, the bargain (such as a contract to sell drugs) is unlawful. But when the statute does not expressly prohibit the making of the contract, courts examine a number of factors, as discussed in </w:t>
      </w:r>
      <w:r>
        <w:rPr>
          <w:rFonts w:ascii="Georgia" w:eastAsia="Times New Roman" w:hAnsi="Georgia" w:cs="Calibri"/>
          <w:color w:val="2689C6"/>
          <w:sz w:val="20"/>
          <w:szCs w:val="20"/>
          <w:lang w:val="en"/>
        </w:rPr>
        <w:t>Section 12.5.1 "Extension of Statutory Illegality Based on Public Policy"</w:t>
      </w:r>
      <w:r>
        <w:rPr>
          <w:rFonts w:ascii="Georgia" w:eastAsia="Times New Roman" w:hAnsi="Georgia" w:cs="Calibri"/>
          <w:color w:val="333333"/>
          <w:sz w:val="20"/>
          <w:szCs w:val="20"/>
          <w:lang w:val="en"/>
        </w:rPr>
        <w:t> involving the apparently innocent sale of a jewelry manufacturing firm whose real business was making marijuana-smoking paraphernalia.</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Bargains Made Illegal by Statute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Gambling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states have regulations affecting gambling (wagering) contracts because gambling tends to be an antiutilitarian activity most attractive to those who can least afford it, because gambling tends to reinforce fatalistic mind-sets fundamentally incompatible with capitalism and democracy, because gambling can be addictive, and because gambling inevitably attracts criminal elements lured by readily available money. With the spread of antitax enthusiasms over the last thirty-some years, however, some kinds of gambling have been legalized and regulated, including state-sponsored lotteries. Gambling is betting on an outcome of an event over which the bettors have no control where the purpose is to play with the risk.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because the outcome is contingent on events that lie outside the power of the parties to control does not transform a bargain into a wager. For example, if a gardener agrees to care for the grounds of a septuagenarian for life in return for an advance payment of $10,000, the uncertainty of the date of the landowner’s death does not make the deal a wager. The parties have struck a bargain that accurately assesses, to the satisfaction of each, the risks of the contingency in question. Likewise, the fact that an agreement is phrased in the form of a wager does not make it one. Thus a father says to his daughter, “I’ll bet you can’t get an A in organic chemistry. If you do, I’ll give you $50.” This is a unilateral contract, the consideration to the father being the daughter’s achieving a good grade, a matter over which she has complete control.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general rule against enforcing wagers, there are exceptions, most statutory but some rooted in the common law. The common law permits the sale or purchase of securities: Sally invests $6,000 in stock in Acme Company, hoping the stock will increase in value, though she has no control over the firm’s management. It is not called gambling; it is considered respectable risk taking in the capitalist system, or “entrepreneurialism.” (It really is gambling, though, similar to horse-race gambling.) But because there are speculative elements to some agreements, they are subject to state and federal regulation.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Insurance contracts are also speculative, but unless one party has no insurable interest (a concern for the person or thing insured) in the insured, the contract is not a wager. Thus if you took out a life insurance contract on the life of someone whose name you picked out of the phone book, the agreement would be void because you and the insurance company would have been gambling on a contingent event. (You bet that the person would die within the term of the policy, the insurance company that she would not.) If, however, you insure your spouse, your business partner, or your home, the contingency does not make the policy a wagering agreement because you will have suffered a direct loss should it occur, and the agreement, while compensating for a possible loss, does not create a new risk just for the “game.”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Sunday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contracts entered into on Sundays, as well as other commercial activities, were valid and enforceable. But a separate, religious tradition that traces to the Second Commandment frowned on work performed on “the Lord’s Day.” In 1781 a New Haven city ordinance banning Sunday work was printed on blue paper, and since that time such laws have been known as blue laws. The first statewide blue law was enacted in the United States in 1788; it prohibited travel, work, sports and amusements, and the carrying on of any business or occupation on Sundays. The only exceptions in most states throughout most of the nineteenth century were mutual promises to marry and contracts of necessity or charity. As the Puritan fervor wore off, and citizens were, more and more, importuned to consider themselves “consumers” in a capitalistic economic system, the laws have faded in importance and are mostly repealed, moribund, or unenforced. Washington State, up until 2008, completely prohibited hard alcohol sales on Sunday, and all liquor stores were closed, but subsequently the state—desperate for tax revenue—relaxed the prohibition.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Usury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usury statute is one that sets the maximum allowable interest that may be charged on a loan; usury is charging illegal interest rates. Formerly, such statutes were a matter of real importance because the penalty levied on the lender—ranging from forfeiture of the interest, or of both the principal and the interest, or of some part of the principal—was significant. But usury laws, like Sunday contract laws, have been relaxed to accommodate an ever-more-frenzied consumer society. There are a number of transactions to which the laws do not apply, varying by state: small consumer loans, pawn shop loans, payday loans, and corporate loans. In </w:t>
      </w:r>
      <w:r>
        <w:rPr>
          <w:rFonts w:ascii="Georgia" w:eastAsia="Times New Roman" w:hAnsi="Georgia" w:cs="Calibri"/>
          <w:i/>
          <w:iCs/>
          <w:color w:val="333333"/>
          <w:sz w:val="20"/>
          <w:szCs w:val="20"/>
          <w:lang w:val="en"/>
        </w:rPr>
        <w:t>Marquette v. First Omaha Service Corp.</w:t>
      </w:r>
      <w:r>
        <w:rPr>
          <w:rFonts w:ascii="Georgia" w:eastAsia="Times New Roman" w:hAnsi="Georgia" w:cs="Calibri"/>
          <w:color w:val="333333"/>
          <w:sz w:val="20"/>
          <w:szCs w:val="20"/>
          <w:lang w:val="en"/>
        </w:rPr>
        <w:t>, the Supreme Court ruled that a national bank could charge the highest interest rate allowed in its home state to customers living anywhere in the United States, including states with restrictive interest caps.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Thus it was that in 1980 Citibank moved its credit card headquarters from cosmopolitan New York City to the somewhat less cosmopolitan Sioux Falls, South Dakota. South Dakota had recently abolished its usury laws, and so, as far as credit-card interest rates, the sky was the limit. That appealed to Citibank and a number of other financial institutions, and to the state: it became a major player in the US financial industry, garnering many jobs.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Licensing Statutes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practice most professions and carry on the trade of an increasing number of occupations, states require that providers of services possess licenses—hairdressers, doctors, plumbers, real estate brokers, and egg inspectors are among those on a long list. As sometimes happens, though, a person may contract for the services of one who is unlicensed either because he is unqualified and carrying on his business without a license or because for technical reasons (e.g., forgetting to mail in the license renewal application) he does not possess a license at the moment. Robin calls Paul, a plumber, to install the pipes for her new kitchen. Paul, who has no license, puts in all the pipes and asks to be paid. Having discovered that Paul is unlicensed, Robin refuses to pay. May Paul collect?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answer the question, a three-step analysis is necessary. First, is a license required? Some occupations may be performed without a license (e.g., lawn mowing). Others may be performed with or without certain credentials, the difference lying in what the professional may tell the public. (For instance, an accountant need not be a certified public accountant to carry on most accounting functions.) Let us assume that the state requires everyone who does any sort of plumbing for pay to have a valid license.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step is to determine whether the licensing statute explicitly bars recovery by someone who has performed work while unlicensed. Some do; many others contain no specific provision on the point. Statutes that do bar recovery must of course govern the courts when they are presented with the question.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statute is silent, courts must, in the third step of the analysis, distinguish between “regulatory” and “revenue” licenses. A regulatory license is intended to protect the public health, safety, and welfare. To obtain these licenses, the practitioner of the art must generally demonstrate his or her abilities by taking some sort of examination, like the bar exam for lawyers or the medical boards for doctors. A plumber’s or electrician’s licensing requirement might fall into this category. A revenue license generally requires no such examination and is imposed for the sake of raising revenue and to ensure that practitioners register their address so they can be found if a disgruntled client wants to serve them legal papers for a lawsuit. Some revenue licenses, in addition to requiring registration, require practitioners to demonstrate that they have insurance. A license to deliver milk, open to anyone who applies and pays the fee, would be an example of a revenue license. (In some states, plumbing licenses are for revenue purposes only.)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Generally speaking, failure to hold a regulatory license bars recovery, but the absence of a revenue or registration license does not—the person may obtain the license and then move to recover. See </w:t>
      </w:r>
      <w:r>
        <w:rPr>
          <w:rFonts w:ascii="Georgia" w:eastAsia="Times New Roman" w:hAnsi="Georgia" w:cs="Calibri"/>
          <w:color w:val="2689C6"/>
          <w:sz w:val="20"/>
          <w:szCs w:val="20"/>
          <w:lang w:val="en"/>
        </w:rPr>
        <w:t>Section 12.5.2 "Unlicensed Practitioner Cannot Collect Fee"</w:t>
      </w:r>
      <w:r>
        <w:rPr>
          <w:rFonts w:ascii="Georgia" w:eastAsia="Times New Roman" w:hAnsi="Georgia" w:cs="Calibri"/>
          <w:color w:val="333333"/>
          <w:sz w:val="20"/>
          <w:szCs w:val="20"/>
          <w:lang w:val="en"/>
        </w:rPr>
        <w:t> for an example of a situation in which the state statute demands practitioners be licensed.</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Gambling, interest rates, and Sunday contracts are among the types of contracts that have, variously, been subject to legislative illegality. Laws may require certain persons to have licenses in order to practice a trade or profession. Whether an unlicensed person is barred from recovering a fee for service depends on the language of the statute and the purpose of the requirement: if it is a mere revenue-raising or registration statute, recovery will often be allowed. If the practitioner is required to prove competency, no recovery is possible for an unlicensed person.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91"/>
        </w:numPr>
        <w:shd w:val="clear" w:color="auto" w:fill="E3EFF7"/>
        <w:tabs>
          <w:tab w:val="clear" w:pos="720"/>
          <w:tab w:val="num" w:pos="108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the typical kinds of contracts made illegal by statute.</w:t>
      </w:r>
    </w:p>
    <w:p w:rsidR="00A86150" w:rsidRDefault="00F714D4">
      <w:pPr>
        <w:numPr>
          <w:ilvl w:val="0"/>
          <w:numId w:val="29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some practitioners completely prohibited from collecting a fee for service if they don’t have a license, and others allowed to collect the fee after they get the license?</w:t>
      </w:r>
    </w:p>
    <w:p w:rsidR="00A86150" w:rsidRDefault="00F714D4">
      <w:pPr>
        <w:numPr>
          <w:ilvl w:val="0"/>
          <w:numId w:val="29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no competency test is required, why do some statutes require the practitioner to be licensed?</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Marquette v. First Omaha Service Corp.</w:t>
      </w:r>
      <w:r>
        <w:rPr>
          <w:rFonts w:ascii="Calibri" w:eastAsia="Times New Roman" w:hAnsi="Calibri" w:cs="Calibri"/>
          <w:color w:val="333333"/>
          <w:sz w:val="20"/>
          <w:szCs w:val="20"/>
        </w:rPr>
        <w:t>, 439 US 299 (1978).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See Thomas M. Reardon, “T. M. Reardon’s first-hand account of Citibank’s move to South Dakota,” </w:t>
      </w:r>
      <w:r>
        <w:rPr>
          <w:rFonts w:ascii="Calibri" w:eastAsia="Times New Roman" w:hAnsi="Calibri" w:cs="Calibri"/>
          <w:i/>
          <w:iCs/>
          <w:color w:val="333333"/>
          <w:sz w:val="20"/>
          <w:szCs w:val="20"/>
        </w:rPr>
        <w:t>NorthWestern Financial Review</w:t>
      </w:r>
      <w:r>
        <w:rPr>
          <w:rFonts w:ascii="Calibri" w:eastAsia="Times New Roman" w:hAnsi="Calibri" w:cs="Calibri"/>
          <w:color w:val="333333"/>
          <w:sz w:val="20"/>
          <w:szCs w:val="20"/>
        </w:rPr>
        <w:t>, September 15, 2004, accessed March 1, 2011, </w:t>
      </w:r>
      <w:hyperlink r:id="rId27" w:tgtFrame="_blank" w:history="1">
        <w:r>
          <w:rPr>
            <w:rStyle w:val="Hyperlink"/>
            <w:rFonts w:ascii="Calibri" w:eastAsia="Times New Roman" w:hAnsi="Calibri" w:cs="Calibri"/>
            <w:color w:val="2689C6"/>
            <w:sz w:val="20"/>
            <w:szCs w:val="20"/>
          </w:rPr>
          <w:t>http://www.highbeam.com/doc/1P3-708279811.html</w:t>
        </w:r>
      </w:hyperlink>
      <w:r>
        <w:rPr>
          <w:rFonts w:ascii="Calibri" w:eastAsia="Times New Roman" w:hAnsi="Calibri" w:cs="Calibri"/>
          <w:color w:val="333333"/>
          <w:sz w:val="20"/>
          <w:szCs w:val="20"/>
        </w:rPr>
        <w:t>. Mr. Reardon was a member of the South Dakota Bankers’ Association.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12.3 Bargains Made Illegal by Common Law</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292"/>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contracts or bargains have been declared illegal by courts.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Public policy is expressed by courts as well as legislatures. In determining whether to enforce a contract where there is no legislative dictate, courts must ordinarily balance the interests at stake. To strike the proper balance, courts must weigh the parties’ expectations, the forfeitures that would result from denial of enforcement, and the public interest favoring enforcement against these factors: the strength of the policy, whether denying enforcement will further the policy, the seriousness and deliberateness of the violation, and how direct the connection is between the misconduct and the contractual term to be enforced.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Bargains Made Illegal by Common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Common-Law Restraint of Trade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oldest public policies evolved by courts is the common-law prohibition against restraint of trade. From the early days of industrialism, the courts took a dim view of ostensible competitors who agreed among themselves to fix prices or not to sell in each other’s territories. Since 1890, with the enactment of the Sherman Act, the law of restraint of trade has been absorbed by federal and state antitrust statutes. But the common-law prohibition still exists. Though today it is concerned almost exclusively with promises not to compete in sales of businesses and employment contracts, it can arise in other settings. For example, George’s promise to Arthur never to sell the parcel of land that Arthur is selling to him is void because it unreasonably restrains trade in the land.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one of reason: not every restraint of trade is unlawful; only unreasonable ones are. As the Restatement puts it, “Every promise that relates to business dealings or to a professional or other gainful occupation operates as a restraint in the sense that it restricts the promisor’s future activity. Such a promise is not, however, unenforceable, unless the restraint that it imposes is unreasonably detrimental to the smooth operation of a freely competitive private economy.”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An agreement that restrains trade will be construed as unreasonable unless it is ancillary to a legitimate business interest and is no greater than necessary to protect the legitimate interest. Restraint-of-trade cases usually arise in two settings: (1) the sale of a business and an attendant agreement not to compete with the purchasers and (2) an employee’s agreement not to compete with the employer should the employee leave for any reason.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Sale of a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first common area where a restraint-of-trade issue may arise is with the sale of a business. Regina sells her lingerie store to Victoria and promises not to establish a competing store in town for one year. Since Victoria is purchasing Regina’s goodwill (the fact that customers are used to shopping at her store), as well as her building and inventory, there is clearly a property interest to be protected. And the geographical limitation (“in town”) is reasonable if that is where the store does business. But if Regina had agreed not to engage in any business in town, or to wait ten years before opening up a new store, or not to open up a new store anywhere within one hundred miles of town, she could avoid the noncompetition terms of the contract because the restraint in each case (nature, duration, and geographic area of restraint) would have been broader than necessary to protect Victoria’s interest. Whether the courts will uphold an agreement not to compete depends on all the circumstances of the particular case, as the Connecticut barber in </w:t>
      </w:r>
      <w:r>
        <w:rPr>
          <w:rFonts w:ascii="Georgia" w:eastAsia="Times New Roman" w:hAnsi="Georgia" w:cs="Calibri"/>
          <w:color w:val="2689C6"/>
          <w:sz w:val="20"/>
          <w:szCs w:val="20"/>
          <w:lang w:val="en"/>
        </w:rPr>
        <w:t>Section 12.5.3 "Unconscionability"</w:t>
      </w:r>
      <w:r>
        <w:rPr>
          <w:rFonts w:ascii="Georgia" w:eastAsia="Times New Roman" w:hAnsi="Georgia" w:cs="Calibri"/>
          <w:color w:val="333333"/>
          <w:sz w:val="20"/>
          <w:szCs w:val="20"/>
          <w:lang w:val="en"/>
        </w:rPr>
        <w:t>discovered.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Employment Noncompete Agreements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common restraint-of-trade issue arises with regard tononcompete agreements in employment contracts. As a condition of employment by the research division of a market research firm, Bruce, a product analyst, is required to sign an agreement in which he promises, for a period of one year after leaving the company, not to “engage, directly or indirectly, in any business competing with the company and located within fifty miles of the company’s main offices.” The principal reason recited in the agreement for this covenant not to compete is that by virtue of the employment, Bruce will come to learn a variety of internal secrets, including client lists, trade or business secrets, reports, confidential business discussions, ongoing research, publications, computer programs, and related papers. Is this agreement a lawful restraint of trade?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both the property interest of the employer and the extent of the restraint are issues. Certainly an employer has an important competitive interest in seeing that company information not walk out the door with former employees. Nevertheless, a promise by an employee not to compete with his or her former employer is scrutinized carefully by the courts, and an injunction (an order directing a person to stop doing what he or she should not do) will be issued cautiously, partly because the prospective employee is usually confronted with a contract of adhesion (take it or leave it) and is in a weak bargaining position compared to the employer, and partly because an injunction might cause the employee’s unemployment. Many courts are not enthusiastic about employment noncompete agreements. The California Business and Professions Code provides that “every contract by which anyone is restrained from engaging in a lawful profession, trade, or business of any kind is to that extent void.”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As a result of the statute, and to promote entrepreneurial robustness, California courts typically interpret the statute broadly and refuse to enforce noncompete agreements. Other states are less stingy, and employers have attempted to avoid the strictures of no-enforcement state rulings by providing that their employment contracts will be interpreted according to the law of a state where noncompetes are favorably viewed.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covenant not to compete is ruled unlawful, the courts can pursue one of three courses by way of remedy. A court can refuse to enforce the entire covenant, freeing the employee to compete thenceforth. The court could delete from the agreement only that part that is unreasonable and enforce the remainder (the “blue pencil” rule). In some states, the courts have moved away from this rule and have actually taken to rewriting the objectionable clause themselves. Since the parties intended that there be some form of restriction on competition, a reasonable modification would achieve a more just result.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Unconscionable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may refuse to enforce unconscionable contracts, those that are very one-sided, unfair, the product of unequal bargaining power, or oppressive; a court may find the contract divisible and enforce only the parts that are not unconscionable.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common-law rule is reflected in Section 208 of the Restatement: “If a contract or term thereof is unconscionable at the time the contract is made a court may refuse to enforce the contract, or may enforce the remainder of the contract without the unconscionable term, or may so limit the application of any unconscionable term as to avoid any unconscionable result.”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the Uniform Commercial Code (UCC) (again, of course, a statute, not common law) provides a similar rule in Section 2-302(1):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Unconscionable</w:t>
      </w:r>
      <w:r>
        <w:rPr>
          <w:rFonts w:ascii="Georgia" w:eastAsia="Times New Roman" w:hAnsi="Georgia" w:cs="Calibri"/>
          <w:color w:val="333333"/>
          <w:sz w:val="20"/>
          <w:szCs w:val="20"/>
          <w:lang w:val="en"/>
        </w:rPr>
        <w:t> is not defined in the Restatement or the UCC, but cases have given gloss to the meaning, as in </w:t>
      </w:r>
      <w:r>
        <w:rPr>
          <w:rFonts w:ascii="Georgia" w:eastAsia="Times New Roman" w:hAnsi="Georgia" w:cs="Calibri"/>
          <w:color w:val="2689C6"/>
          <w:sz w:val="20"/>
          <w:szCs w:val="20"/>
          <w:lang w:val="en"/>
        </w:rPr>
        <w:t>Section 12.5.3 "Unconscionability"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Williams v. Walker-Thomas Furniture Co.</w:t>
      </w:r>
      <w:r>
        <w:rPr>
          <w:rFonts w:ascii="Georgia" w:eastAsia="Times New Roman" w:hAnsi="Georgia" w:cs="Calibri"/>
          <w:color w:val="333333"/>
          <w:sz w:val="20"/>
          <w:szCs w:val="20"/>
          <w:lang w:val="en"/>
        </w:rPr>
        <w:t>, a well-known early interpretation of the section by the DC Court of Appeals.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Unconscionability may arise procedurally or substantively. A term is procedurally unconscionable if it is imposed upon the “weaker” party because of fine or inconspicuous print, unexpected placement in the contract, lack of opportunity to read the term, lack of education or sophistication that precludes understanding, or lack of equality of bargaining power. Substantive unconscionability arises where the affected terms are oppressive and harsh, where the term deprives a party of any real remedy for breach. Most often—but not always—courts find unconscionable contracts in the context of consumer transactions rather than commercial transactions. In the latter case, the assumption is that the parties tend to be sophisticated businesspeople able to look out for their own contract interests.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Exculpatory Clauses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have long held that public policy disfavors attempts to contract out of tort liability. Exculpatory clauses that exempt one party from tort liability to the other for harm caused intentionally or recklessly are unenforceable without exception. A contract provision that exempts a party from tort liability for negligence is unenforceable under two general circumstances: (1) when it “exempts an employer from liability to an employee for injury in the course of his employment” or (2) when it exempts one charged with a duty of public service and who is receiving compensation from liability to one to whom the duty is owed.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Contract terms with offensive exculpatory clauses may be considered somewhat akin to unconscionability.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Put shortly, exculpatory clauses are OK if they are reasonable. Put not so shortly, exculpatory clauses will generally be held valid if (1) the agreement does not involve a business generally thought suitable for public regulation (a twenty-kilometer bicycle race, for example, is probably not one thought generally suitable for public regulation, whereas a bus line is); (2) the party seeking exculpation is not performing a business of great importance to the public or of practical necessity for some members of the public; (3) the party does not purport to be performing the service to just anybody who comes along (unlike the bus line); (4) the parties are dealing at arms’ length, able to bargain about the contract; (5) the person or property of the purchaser is not placed under control of the seller, subject to his or his agent’s carelessness; or (6) the clause is conspicuous and clear.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Obstructing the Administration of Justice or Violating a Public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well established under common law that contracts that would interfere with the administration of justice or that call upon a public official to violate a public duty are void and unenforceable. Examples of such contracts are numerous: to conceal or compound a crime, to pay for the testimony of a witness in court contingent on the court’s ruling, to suppress evidence by paying a witness to leave the state, or to destroy documents. Thus, in an unedifying case in Arkansas, a gambler sued a circuit court judge to recover $1,675 allegedly paid to the judge as protection money, and the Arkansas Supreme Court affirmed the dismissal of the suit, holding, “The law will not aid either party to the alleged illegal and void contract…‘but will leave them where it finds them, if they have been equally cognizant of the illegality.’”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Also in this category are bribes, agreements to obstruct or delay justice (jury tampering, abuse of the legal process), and the like.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Family Relations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broad area in which public policy intrudes on private contractual arrangements is that of undertakings between couples, either prior to or during marriage. Marriage is quintessentially a relationship defined by law, and individuals have limited ability to change its scope through legally enforceable contracts. Moreover, marriage is an institution that public policy favors, and agreements that unreasonably restrain marriage are void. Thus a father’s promise to pay his twenty-one-year-old daughter $100,000 if she refrains from marrying for ten years would be unenforceable. However, a promise in apostnuptial (after marriage) agreement that if the husband predeceases the wife, he will provide his wife with a fixed income for as long as she remains unmarried is valid because the offer of support is related to the need. (Upon remarriage, the need would presumably be less pressing.) Property settlements before, during, or upon the breakup of a marriage are generally enforceable, since property is not considered to be an essential incident of marriage. But agreements in the form of property arrangements that tend to be detrimental to marriage are void—for example, a prenuptial (premarital) contract in which the wife-to-be agrees on demand of the husband-to-be to leave the marriage and renounce any claims upon the husband-to-be at any time in the future in return for which he will pay her $100,000. Separation agreements are not considered detrimental to marriage as long as they are entered after or in contemplation of immediate separation; but a separation agreement must be “fair” under the circumstances, and judges may review them upon challenge. Similarly, child custody agreements are not left to the whim of the parents but must be consistent with the best interest of the child, and the courts retain the power to examine this question.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types of contracts or bargains that might be found illegal are innumerable, limited only by the ingenuity of those who seek to overreach.</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Courts will not enforce contracts that are, broadly speaking, contrary to public policy. These include some noncompete agreements, exculpatory clauses, unconscionable bargains, contracts to obstruct the public process or justice, and contracts interfering with family relations.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93"/>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employment noncompete agreements viewed less favorably than sale-of-business noncompete agreements?</w:t>
      </w:r>
    </w:p>
    <w:p w:rsidR="00A86150" w:rsidRDefault="00F714D4">
      <w:pPr>
        <w:numPr>
          <w:ilvl w:val="0"/>
          <w:numId w:val="29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a person by contract exculpate herself from liability for gross negligence? For ordinary negligence?</w:t>
      </w:r>
    </w:p>
    <w:p w:rsidR="00A86150" w:rsidRDefault="00F714D4">
      <w:pPr>
        <w:numPr>
          <w:ilvl w:val="0"/>
          <w:numId w:val="29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parking lot agreement says the parking lot is “not responsible for loss of contents or damage to the vehicle.” Is that acceptable? Explain.</w:t>
      </w:r>
    </w:p>
    <w:p w:rsidR="00A86150" w:rsidRDefault="00F714D4">
      <w:pPr>
        <w:numPr>
          <w:ilvl w:val="0"/>
          <w:numId w:val="29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valet parking lot agreement—where the car owner gives the keys to the attendant who parks the car—has the same language as that for the lot in Exercise 3. Is that acceptable? Explain.</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186(a).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California Business and Professions Code, Section 16600.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Raimondo v. Van Vlerah</w:t>
      </w:r>
      <w:r>
        <w:rPr>
          <w:rFonts w:ascii="Calibri" w:eastAsia="Times New Roman" w:hAnsi="Calibri" w:cs="Calibri"/>
          <w:color w:val="333333"/>
          <w:sz w:val="20"/>
          <w:szCs w:val="20"/>
        </w:rPr>
        <w:t>, 325 N.E.2d 544 (Ohio 1975).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195.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Henrioulle v. Marin Ventures, Inc.</w:t>
      </w:r>
      <w:r>
        <w:rPr>
          <w:rFonts w:ascii="Calibri" w:eastAsia="Times New Roman" w:hAnsi="Calibri" w:cs="Calibri"/>
          <w:color w:val="333333"/>
          <w:sz w:val="20"/>
          <w:szCs w:val="20"/>
        </w:rPr>
        <w:t>, 573 P.2d 465 (Calif. 1978).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Womack v. Maner</w:t>
      </w:r>
      <w:r>
        <w:rPr>
          <w:rFonts w:ascii="Calibri" w:eastAsia="Times New Roman" w:hAnsi="Calibri" w:cs="Calibri"/>
          <w:color w:val="333333"/>
          <w:sz w:val="20"/>
          <w:szCs w:val="20"/>
        </w:rPr>
        <w:t>, 301 S.W.2d 438 (Ark. 1957).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12.4 Effect of Illegality and Exceptions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294"/>
        </w:numPr>
        <w:shd w:val="clear" w:color="auto" w:fill="EAE9DC"/>
        <w:tabs>
          <w:tab w:val="clear" w:pos="720"/>
          <w:tab w:val="num" w:pos="162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courts will not enforce illegal bargains.</w:t>
      </w:r>
    </w:p>
    <w:p w:rsidR="00A86150" w:rsidRDefault="00F714D4">
      <w:pPr>
        <w:numPr>
          <w:ilvl w:val="0"/>
          <w:numId w:val="294"/>
        </w:numPr>
        <w:shd w:val="clear" w:color="auto" w:fill="EAE9DC"/>
        <w:tabs>
          <w:tab w:val="clear" w:pos="720"/>
          <w:tab w:val="num" w:pos="132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that there are exceptions to that rule.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Effect of Illegality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this: courts will not enforce illegal bargains. The parties are left where the court found them, and no relief is granted: it’s a hands-off policy. The illegal agreement is void, and that a wrongdoer has benefited to the other’s detriment does not matter.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suppose a specialty contractor, statutorily required to have a license, constructs a waterslide for Plaintiff, when the contractor knew or should have known he was unlicensed. Plaintiff discovers the impropriety and refuses to pay the contractor $80,000 remaining on the deal. The contractor will not get paid.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another example, a man held himself out to be an architect in a jurisdiction requiring that architects pass a test to be licensed. He was paid $80,000 to design a house costing $900,000. The project was late and over budget, and the building violated relevant easement building-code rules. The unlicensed architect was not allowed to keep his fee.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Exceptions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always in the law, there are exceptions. Of relevance here are situations where a court might permit one party to recover: party withdrawing before performance, party protected by statute, party not equally at fault, excusable ignorance, and partial illegality.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Party Withdrawing before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Samantha and Carlene agree to bet on a soccer game and deliver their money to the stakeholder. Subsequently, but before the payout, Carlene decides she wants out; she can get her money from the stakeholder. Ralph hires Jacob for $5,000 to arrange a bribe of a juror. Ralph has a change of heart; he can get his money from Jacob.</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Party Protected by Statute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airline pilot, forbidden by federal law from working overtime, nevertheless does so; she would be entitled to payment for the overtime worked. Securities laws forbid the sale or purchase of unregistered offerings—such a contract is illegal; the statute allows the purchaser rescission (return of the money paid). An attorney (apparently unwittingly) charged his client beyond what the statute allowed for procuring for the client a government pension; the pensioner could get the excess from the attorney.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Party Not Equally at Fault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party induces another to make an illegal contract by undue influence, fraud, or duress; the victim can recover the consideration conveyed to the miscreant if possible.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Excusable Ignorance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woman agrees to marry a man not knowing that he is already married; bigamy is illegal, the marriage is void, and she may sue him for damages. A laborer is hired to move sealed crates, which contain marijuana; it is illegal to ship, sell, or use marijuana, but the laborer is allowed payment for his services.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Partial Illegality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six-page employment contract contains two paragraphs of an illegal noncompete agreement. The illegal part is thrown out, but the legal parts are enforceable.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a number of exceptions to the general rule that courts give no relief to either party to an illegal contract. The rule may be relaxed in cases where justice would be better served than by following the stricture of hands off.</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in general, will a court allow a party relief from an illegal contract (or bargain)?</w:t>
      </w:r>
    </w:p>
    <w:p w:rsidR="00A86150" w:rsidRDefault="00F714D4">
      <w:pPr>
        <w:numPr>
          <w:ilvl w:val="0"/>
          <w:numId w:val="29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 engage in a game of high-stakes poker under circumstances making the game illegal in the jurisdiction. A owes B $5,000 when A loses. When A does not pay, B sues. Does B get the money? What if A had paid B the $5,000 and then sued to get it back?</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Pacific Custom Pools, Inc. v. Turner Construction</w:t>
      </w:r>
      <w:r>
        <w:rPr>
          <w:rFonts w:ascii="Calibri" w:eastAsia="Times New Roman" w:hAnsi="Calibri" w:cs="Calibri"/>
          <w:color w:val="333333"/>
          <w:sz w:val="20"/>
          <w:szCs w:val="20"/>
        </w:rPr>
        <w:t>, 94 Cal. Rptr. 2d 756 (Calif. 2000).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Ransburg v. Haase</w:t>
      </w:r>
      <w:r>
        <w:rPr>
          <w:rFonts w:ascii="Calibri" w:eastAsia="Times New Roman" w:hAnsi="Calibri" w:cs="Calibri"/>
          <w:color w:val="333333"/>
          <w:sz w:val="20"/>
          <w:szCs w:val="20"/>
        </w:rPr>
        <w:t>, 586 N.E. 2d 1295 (Ill. Ct. App. 1992).</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12.5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Extension of Statutory Illegality Based on Public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Bovard v. American Horse Enterprises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247 Cal. Rptr. 340 (Calif. 1988)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[Bovard sued Ralph and American Horse Enterprises (a corporation) to recover on promissory notes that were signed when Ralph purchased the corporation, ostensibly a jewelry-making business. The trial court dismissed Bovard’s complaint.]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Puglia,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found that the corporation predominantly produced paraphernalia used to smoke marijuana [roach clips and bongs] and was not engaged significantly in jewelry production, and that Bovard had recovered the corporate machinery through self-help [i.e., he had repossessed it]. The parties do not challenge these findings. The court acknowledged that the manufacture of drug paraphernalia was not itself illegal in 1978 when Bovard and Ralph contracted for the sale of American Horse Enterprises, Inc. However, the court concluded a public policy against the manufacture of drug paraphernalia was implicit in the statute making the possession, use and transfer of marijuana unlawful. The trial court held the consideration for the contract was contrary to the policy of express law, and the contract was therefore illegal and void. Finally, the court found the parties were in pari delicto [equally at fault] and thus with respect to their contractual dispute should be left as the court found them.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trial court concluded the consideration for the contract was contrary to the policy of the law as expressed in the statute prohibiting the possession, use and transfer of marijuana. Whether a contract is contrary to public policy is a question of law to be determined from the circumstances of the particular case. Here, the critical facts are not in dispute. Whenever a court becomes aware that a contract is illegal, it has a duty to refrain from entertaining an action to enforce the contract. Furthermore the court will not permit the parties to maintain an action to settle or compromise a claim based on an illegal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factors to consider in analyzing whether a contract violates public policy: “Before labeling a contract as being contrary to public policy, courts must carefully inquire into the nature of the conduct, the extent of public harm which may be involved, and the moral quality of the conduct of the parties in light of the prevailing standards of the community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factors are more comprehensively set out in the Restatement Second of Contracts section 178: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A promise or other term of an agreement is unenforceable on grounds of public policy if legislation provides that it is unenforceable or the interest in its enforcement is clearly outweighed in the circumstances by a public policy against the enforcement of such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In weighing the interest in the enforcement of a term, account is taken 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parties’ justified expectations,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any forfeiture that would result if enforcement were denied,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 any special public interest in the enforcement of the particular term.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In weighing a public policy against enforcement of a term, account is taken 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strength of that policy as manifested by legislation or judicial decisions,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likelihood that a refusal to enforce the term will further that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 the seriousness of any misconduct involved and the extent to which it was deliberate,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 the directness of the connection between that misconduct and the term.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Applying the Restatement test to the present circumstances, we conclude the interest in enforcing this contract is very tenuous. Neither party was reasonably justified in expecting the government would not eventually act to geld American Horse Enterprises, a business harnessed to the production of paraphernalia used to facilitate the use of an illegal drug. Moreover, although voidance of the contract imposed a forfeiture on Bovard, he did recover the corporate machinery, the only assets of the business which could be used for lawful purposes, i.e., to manufacture jewelry. Thus, the forfeiture was significantly mitigated if not negligible. Finally, there is no special public interest in the enforcement of this contract, only the general interest in preventing a party to a contract from avoiding a debt.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other hand, the Restatement factors favoring a public policy against enforcement of this contract are very strong. As we have explained, the public policy against manufacturing paraphernalia to facilitate the use of marijuana is strongly implied in the statutory prohibition against the possession, use, etc., of marijuana, a prohibition which dates back at least to 1929.…Obviously, refusal to enforce the instant contract will further that public policy not only in the present circumstances but by serving notice on manufacturers of drug paraphernalia that they may not resort to the judicial system to protect or advance their business interests. Moreover, it is immaterial that the business conducted by American Horse Enterprises was not expressly prohibited by law when Bovard and Ralph made their agreement since both parties knew that the corporation’s products would be used primarily for purposes which were expressly illegal. We conclude the trial court correctly declared the contract contrary to the policy of express law and therefore illegal and void.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think it was significant that Bovard had repossessed the jewelry-making equipment?</w:t>
      </w:r>
    </w:p>
    <w:p w:rsidR="00A86150" w:rsidRDefault="00F714D4">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Bovard want in this case?</w:t>
      </w:r>
    </w:p>
    <w:p w:rsidR="00A86150" w:rsidRDefault="00F714D4">
      <w:pPr>
        <w:numPr>
          <w:ilvl w:val="0"/>
          <w:numId w:val="29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it was not illegal to make bongs and roach clips, why did the court determine that this contract should not be enforced?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Unlicensed Practitioner Cannot Collect Fee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Venturi &amp; Company v. Pacific Malibu Development Corp.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172 Cal.App.4th 1417 (Calif. Ct. App. 2009)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Rubin,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June 2003, plaintiff Venturi &amp; Company LLC and defendant Pacific Malibu Development Corp. entered into a contract involving development of a high-end resort on undeveloped property on the Bahamian island of Little Exuma. Under the contract, plaintiff agreed to serve as a financial advisor and find financing for the Little Exuma project.…[P]laintiff was entitled to some payment under the contract even if plaintiff did not secure financing for the project [called a success fee].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signing the contract, plaintiff contacted more than 60 potential sources of financing for the project.…[I]n the end, defendants did not receive financing from any source that plaintiff had identified.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terminated the contract in January 2005. Two months earlier, however, defendants had signed a [financing agreement] with the Talisker Group. Plaintiff was not involved in defendants’ negotiations with the Talisker Group.…Nevertheless, plaintiff claimed the contract’s provision for a success fee entitled plaintiff to compensation following the [agreement]. When defendants refused to pay plaintiff’s fee, plaintiff sued defendants for the fee and for the reasonable value of plaintiff’s services.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moved for summary judgment. They argued plaintiff had provided the services of a real estate broker by soliciting financing for the Little Exuma project yet did not have a broker’s license. Thus, defendants asserted…the Business and Professions Code barred plaintiff from receiving any compensation as an unlicensed broker.…Plaintiff opposed summary judgment. It argued that one of its managing principals, Jane Venturi, had a real estate sales license and was employed by a real estate broker (whom plaintiff did not identify) when defendants had signed their term sheet with the Talisker Group, the document that triggered plaintiff’s right to a fee.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entered summary judgment for defendants. The court found plaintiff had acted as a real estate broker when working on the Little Exuma project. The court pointed, however, to plaintiff’s lack of evidence that Jane Venturi’s unnamed broker had employed or authorized her to work on the project.…[Summary judgment was issued in favor of defendants, denying plaintiff any recovery.] This appeal followed.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correctly ruled plaintiff could not receive compensation for providing real estate broker services to defendants because plaintiff was not a licensed broker. (Section 11136 [broker’s license required to collect compensation for broker services].) But decisions such as </w:t>
      </w:r>
      <w:r>
        <w:rPr>
          <w:rFonts w:ascii="Georgia" w:eastAsia="Times New Roman" w:hAnsi="Georgia" w:cs="Calibri"/>
          <w:i/>
          <w:iCs/>
          <w:color w:val="333333"/>
          <w:sz w:val="20"/>
          <w:szCs w:val="20"/>
          <w:lang w:val="en"/>
        </w:rPr>
        <w:t>Lindenstadt</w:t>
      </w:r>
      <w:r>
        <w:rPr>
          <w:rFonts w:ascii="Georgia" w:eastAsia="Times New Roman" w:hAnsi="Georgia" w:cs="Calibri"/>
          <w:color w:val="333333"/>
          <w:sz w:val="20"/>
          <w:szCs w:val="20"/>
          <w:lang w:val="en"/>
        </w:rPr>
        <w:t> [Citation] establish that the court erred in denying plaintiff compensation to the extent plaintiff’s services were not those of a real estate broker. In </w:t>
      </w:r>
      <w:r>
        <w:rPr>
          <w:rFonts w:ascii="Georgia" w:eastAsia="Times New Roman" w:hAnsi="Georgia" w:cs="Calibri"/>
          <w:i/>
          <w:iCs/>
          <w:color w:val="333333"/>
          <w:sz w:val="20"/>
          <w:szCs w:val="20"/>
          <w:lang w:val="en"/>
        </w:rPr>
        <w:t>Lindenstadt,</w:t>
      </w:r>
      <w:r>
        <w:rPr>
          <w:rFonts w:ascii="Georgia" w:eastAsia="Times New Roman" w:hAnsi="Georgia" w:cs="Calibri"/>
          <w:color w:val="333333"/>
          <w:sz w:val="20"/>
          <w:szCs w:val="20"/>
          <w:lang w:val="en"/>
        </w:rPr>
        <w:t> the parties entered into 25 to 30 written agreements in which the plaintiff promised to help the defendant find businesses for possible acquisition. After the plaintiff found a number of such businesses, the defendant refused to compensate the plaintiff. The defendant cited the plaintiff’s performance of broker’s services without a license as justifying its refusal to pay. On appeal, the appellate court rejected the defendant’s sweeping contention that the plaintiff’s unlicensed services for </w:t>
      </w:r>
      <w:r>
        <w:rPr>
          <w:rFonts w:ascii="Georgia" w:eastAsia="Times New Roman" w:hAnsi="Georgia" w:cs="Calibri"/>
          <w:i/>
          <w:iCs/>
          <w:color w:val="333333"/>
          <w:sz w:val="20"/>
          <w:szCs w:val="20"/>
          <w:lang w:val="en"/>
        </w:rPr>
        <w:t>some</w:t>
      </w:r>
      <w:r>
        <w:rPr>
          <w:rFonts w:ascii="Georgia" w:eastAsia="Times New Roman" w:hAnsi="Georgia" w:cs="Calibri"/>
          <w:color w:val="333333"/>
          <w:sz w:val="20"/>
          <w:szCs w:val="20"/>
          <w:lang w:val="en"/>
        </w:rPr>
        <w:t>business opportunities meant the plaintiff could not receive compensation for</w:t>
      </w:r>
      <w:r>
        <w:rPr>
          <w:rFonts w:ascii="Georgia" w:eastAsia="Times New Roman" w:hAnsi="Georgia" w:cs="Calibri"/>
          <w:i/>
          <w:iCs/>
          <w:color w:val="333333"/>
          <w:sz w:val="20"/>
          <w:szCs w:val="20"/>
          <w:lang w:val="en"/>
        </w:rPr>
        <w:t>any</w:t>
      </w:r>
      <w:r>
        <w:rPr>
          <w:rFonts w:ascii="Georgia" w:eastAsia="Times New Roman" w:hAnsi="Georgia" w:cs="Calibri"/>
          <w:color w:val="333333"/>
          <w:sz w:val="20"/>
          <w:szCs w:val="20"/>
          <w:lang w:val="en"/>
        </w:rPr>
        <w:t> business opportunity. Rather, the appellate court directed the trial court to examine individually each business opportunity to determine whether the plaintiff acted as an unlicensed broker for that transaction or instead provided only services for which it did not need a broker’s license.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Likewise here, the contract called for plaintiff to provide a range of services, some apparently requiring a broker’s license, others seemingly not. Moreover, and more to the point, plaintiff denied having been involved in arranging, let alone negotiating, defendants’ placement of Securities with the Talisker Group for which plaintiff claimed a “success fee” under the contract’s provision awarding it a fee even if it had no role in procuring the financing. Thus, triable issues existed involving the extent to which plaintiff provided either unlicensed broker services or, alternatively, non-broker services for which it did not need a license. (Accord: [Citation] [severability allowed partial enforcement of personal manager employment contract when license required for some, but not all, services rendered under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contract here…envisioned plaintiff directing its efforts toward many potential sources of financing. As to some of those sources, plaintiff may have crossed the line into performing broker services. But for other sources, plaintiff may have provided only financial and marketing advice for which it did not need a broker’s license. (See, e.g. [Citation] [statute barring unlicensed contractor from receiving fees for some services did not prohibit recovery for work not within scope of licensing statute].) And finally, as to the Talisker Group, plaintiff may have provided even less assistance than financial and marketing advice, given that plaintiff denied involvement with the group. Whether plaintiff crossed the line into providing broker services is thus a triable issue of fact that we cannot resolve on summary judgment.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…Plaintiff…did not have a broker’s license, and therefore was not entitled to compensation for broker’s services. Plaintiff contends it was properly licensed because one of its managers, Jane Venturi, obtained a real estate sales license in February 2004. Thus, she, and plaintiff claims by extension itself, were licensed when defendants purportedly breached the contract by refusing to pay plaintiff months later for the Talisker Group placement. Jane Venturi’s sales license was not, however, sufficient; only a licensed broker may provide broker services. A sales license does not permit its holder to represent another unless the salesperson acts under a broker’s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for defendants is vacated, and the trial court is directed to enter a new order denying defendants’ motion for summary judgment.…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plaintiff think it should be entitled to full recovery under the contract, including for services rendered as a real estate broker? Why did the court deny that?</w:t>
      </w:r>
    </w:p>
    <w:p w:rsidR="00A86150" w:rsidRDefault="00F714D4">
      <w:pPr>
        <w:numPr>
          <w:ilvl w:val="0"/>
          <w:numId w:val="2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Even if the plaintiff were not a real estate broker, why would that mean it could not recover for real estate services provided to the defendant?</w:t>
      </w:r>
    </w:p>
    <w:p w:rsidR="00A86150" w:rsidRDefault="00F714D4">
      <w:pPr>
        <w:numPr>
          <w:ilvl w:val="0"/>
          <w:numId w:val="29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appeals court remanded the case; what did it suggest the plaintiff should recover on retrial?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Unconscionability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Williams v. Walker-Thomas Furniture Co.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350 F.2d 445 (D.C. Ct. App. 1965)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Wright,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all payments now and hereafter made by (purchaser) shall be credited pro rata on all outstanding leases, bills and accounts due the Company by (purchaser) at the time each such payment is made.’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May 12, 1962, appellant Thorne purchased an item described as a daveno, three tables, and two lamps, having total stated value of $391.11 [about $2,800 in 2011 dollars]. Shortly thereafter, he defaulted on his monthly payments and appellee sought to replevy [repossess] all the items purchased since the first transaction in 1958. Similarly, on April 17, 1962, appellant Williams bought a stereo set of stated value of $514.95 [about $3,600 in 2011 dollars]. She too defaulted shortly thereafter, and appellee sought to replevy all the items purchased since December, 1957. The Court of General Sessions granted judgment for appellee. The District of Columbia Court of Appeals affirmed, and we granted appellants’ motion for leave to appeal to this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Appellants’ principal contention, rejected by both the trial and the appellate courts below, is that these contracts, or at least some of them, are unconscionable and, hence, not enforceable. [In its opinion the lower court said:]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Act…or its equivalent, in force in the District of Columbia, we could grant appellant appropriate relief. We think Congress should consider corrective legislation to protect the public from such exploitive contracts as were utilized in the case at bar.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do not agree that the court lacked the power to refuse enforcement to contracts found to be unconscionable. In other jurisdictions, it has been held as a matter of common law that unconscionable contracts are not enforceable. While no decision of this court so holding has been found, the notion that an unconscionable bargain should not be given full enforcement is by no means novel.…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we have never adopted or rejected such a rule, the question here presented is actually one of first impression.…[W]e hold that where the element of unconscionability is present at the time a contract is made, the contract should not be enforced.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We think this formulation correctly states the test to be applied in those cases where no meaningful choice was exercised upon entering the contract. So ordered.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Danaher, J. (dissenting):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lower] court…made no finding that there had actually been sharp practice. Rather the appellant seems to have known precisely where she stood.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aspects of public policy here involved. What is a luxury to some may seem an outright necessity to others. Is public oversight to be required of the expenditures of relief funds? A washing machine, e.g., in the hands of a relief client might become a fruitful source of income. Many relief clients may well need credit, and certain business establishments will take long chances on the sale of items, expecting their pricing policies will afford a degree of protection commensurate with the risk. Perhaps a remedy when necessary will be found within the provisions of the D.C. “Loan Shark” law,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mention such matters only to emphasize the desirability of a cautious approach to any such problem, particularly since the law for so long has allowed parties such great latitude in making their own contracts. I dare say there must annually be thousands upon thousands of installment credit transactions in this jurisdiction, and one can only speculate as to the effect the decision in these cases will have.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the court here say that cross-collateral contracts are necessarily unconscionable?</w:t>
      </w:r>
    </w:p>
    <w:p w:rsidR="00A86150" w:rsidRDefault="00F714D4">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the plaintiff had seven children and was on welfare?</w:t>
      </w:r>
    </w:p>
    <w:p w:rsidR="00A86150" w:rsidRDefault="00F714D4">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defendant have a cross-collateral clause in the contract? What would happen if no such clauses were allowed?</w:t>
      </w:r>
    </w:p>
    <w:p w:rsidR="00A86150" w:rsidRDefault="00F714D4">
      <w:pPr>
        <w:numPr>
          <w:ilvl w:val="0"/>
          <w:numId w:val="29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elements of unconscionability that the court articulates?</w:t>
      </w:r>
    </w:p>
    <w:p w:rsidR="00A86150" w:rsidRDefault="00F714D4">
      <w:pPr>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12.6 Summary and Exercises</w:t>
      </w: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illegal contracts are unenforceable. The courts must grapple with two types of illegalities: (1) statutory violations and (2) violations of public policy not expressly declared unlawful by statute. The former include gambling contracts, contracts with unlicensed professionals, and Sunday contracts.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that violate public policy include many types of covenants not to compete. No general rule for determining their legality can be given, except to say that the more rigid their restrictions against working or competing, the less likely they will withstand judicial scrutiny. Other types of agreements that may violate public policy and hence are unenforceable include provisions that waive tort liability and contracts that interfere with family relationships.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exceptions to the rule that illegal agreements will not be enforced and that courts leave the parties where they are generally involve situations where the hands-off approach would lead to an unfair result: where the parties are not equally at fault, where one is excusably ignorant or withdraws before performance, or where one is protected by a statute. A court may sometimes divide a contract, enforcing the legal part and not the illegal part.</w:t>
      </w:r>
    </w:p>
    <w:p w:rsidR="00A86150" w:rsidRDefault="00F714D4">
      <w:pPr>
        <w:shd w:val="clear" w:color="auto" w:fill="08629A"/>
        <w:tabs>
          <w:tab w:val="left" w:pos="8910"/>
          <w:tab w:val="left" w:pos="9000"/>
        </w:tabs>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Henrioulle was an unemployed widower with two children who received public assistance from the Marin County (California) Department of Social Services. There was a shortage of housing for low-income residents in Marin County. He entered into a lease agreement on a printed form by which the landlord disclaimed any liability for any injury sustained by the tenants anywhere on the property. Henrioulle fractured his wrist when he tripped on a rock on the common stairs in the apartment building. The landlord had been having a hard time keeping the area clean. Is the disclaimer valid? Explain.</w:t>
      </w:r>
    </w:p>
    <w:p w:rsidR="00A86150" w:rsidRDefault="00F714D4">
      <w:pPr>
        <w:numPr>
          <w:ilvl w:val="0"/>
          <w:numId w:val="299"/>
        </w:numPr>
        <w:shd w:val="clear" w:color="auto" w:fill="E3EFF7"/>
        <w:spacing w:before="150" w:after="0" w:line="439" w:lineRule="atLeast"/>
        <w:ind w:left="36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Albert Bennett, an amateur cyclist, entered a bicycle race sponsored by the United States Cycling Federation. He signed a release exculpating the federation for liability: “I further understand that serious accidents occasionally occur during bicycle racing and that participants in bicycle racing occasionally sustain mortal or serious personal injuries, and/or property damage, as a consequence thereof. Knowing the risks of bicycle racing, nevertheless I hereby agree to assume those risks and to release and hold harmless all the persons or entities mentioned above who (through negligence or carelessness) might otherwise be liable to me (or my heirs or assigns) for damages.”</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During the race, Bennett was hit by an automobile that had been allowed on the otherwise blocked-off street by agents of the defendant. Bennett sued; the trial court dismissed the case on summary judgment. Bennett appealed. What was the decision on appeal?</w:t>
      </w:r>
    </w:p>
    <w:p w:rsidR="00A86150" w:rsidRDefault="00F714D4">
      <w:pPr>
        <w:numPr>
          <w:ilvl w:val="0"/>
          <w:numId w:val="299"/>
        </w:numPr>
        <w:shd w:val="clear" w:color="auto" w:fill="E3EFF7"/>
        <w:spacing w:before="150" w:after="0" w:line="439" w:lineRule="atLeast"/>
        <w:ind w:left="36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Ramses owned an industrial supply business. He contracted to sell the business to Tut. Clause VI of their Agreement of Sale provided as follows: “In further consideration for the purchase, Ramses agrees that he shall not compete, either directly or indirectly, in the same business as is conducted by the corporation in its established territory.”</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Two months after the sale, Ramses opened a competing business across the street from the business now owned by Tut, who brought suit, asking the court to close Ramses’s business on the basis of Clause VI. What should the court decide? Why?</w:t>
      </w:r>
    </w:p>
    <w:p w:rsidR="00A86150" w:rsidRDefault="00F714D4">
      <w:pPr>
        <w:numPr>
          <w:ilvl w:val="0"/>
          <w:numId w:val="299"/>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Elmo, a door-to-door salesman, entered into a contract to sell the Wilson family $320 worth of household products on credit. The Wilsons later learned that Elmo had failed to purchase a city license to make door-to-door sales and refused to pay him. May Elmo collect from the Wilsons? Why?</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Gardner purchased from Singer a sewing machine ($700) and three vacuums (about $250 each), one after the other, on Singer’s “1 to 36 month plan.” Gardner defaulted after paying a total of $400 on account, and Singer sued to repossess all the purchases. Gardner defended by claiming the purchase plan was unconscionable and pointed to the </w:t>
      </w:r>
      <w:r>
        <w:rPr>
          <w:rFonts w:ascii="Calibri" w:eastAsia="Times New Roman" w:hAnsi="Calibri" w:cs="Calibri"/>
          <w:i/>
          <w:iCs/>
          <w:color w:val="333333"/>
          <w:sz w:val="20"/>
          <w:szCs w:val="20"/>
          <w:lang w:val="en"/>
        </w:rPr>
        <w:t>Williams</w:t>
      </w:r>
      <w:r>
        <w:rPr>
          <w:rFonts w:ascii="Calibri" w:eastAsia="Times New Roman" w:hAnsi="Calibri" w:cs="Calibri"/>
          <w:color w:val="333333"/>
          <w:sz w:val="20"/>
          <w:szCs w:val="20"/>
          <w:lang w:val="en"/>
        </w:rPr>
        <w:t> case (</w:t>
      </w:r>
      <w:r>
        <w:rPr>
          <w:rFonts w:ascii="Calibri" w:eastAsia="Times New Roman" w:hAnsi="Calibri" w:cs="Calibri"/>
          <w:color w:val="2689C6"/>
          <w:sz w:val="20"/>
          <w:szCs w:val="20"/>
          <w:lang w:val="en"/>
        </w:rPr>
        <w:t>Section 12.5.3 "Unconscionability"</w:t>
      </w:r>
      <w:r>
        <w:rPr>
          <w:rFonts w:ascii="Calibri" w:eastAsia="Times New Roman" w:hAnsi="Calibri" w:cs="Calibri"/>
          <w:color w:val="333333"/>
          <w:sz w:val="20"/>
          <w:szCs w:val="20"/>
          <w:lang w:val="en"/>
        </w:rPr>
        <w:t>) as controlling law (that cross-collateral contracts are unconscionable). The trial court ruled for Gardner; Singer appealed. What was the result on appeal?</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Blubaugh leased a large farm combine from John Deere Leasing by signing an agreement printed on very lightweight paper. The back side of the form was “written in such fine, light print as to be nearly illegible.…The court was required to use a magnifying glass.” And the wording was “unreasonably complex,” but it contained terms much in John Deere’s favor. When Blubaugh defaulted, John Deere repossessed the combine, sold it for more than he had paid, and sued him for additional sums in accordance with the default clauses on the back side of the lease. Blubaugh defended by asserting the clauses were unconscionable. Is this a case of procedural, substantive, or no unconscionability? Decide.</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A86150" w:rsidRDefault="00F714D4">
      <w:pPr>
        <w:numPr>
          <w:ilvl w:val="0"/>
          <w:numId w:val="2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1963 the Southern Railway Company was disturbed by an order issued by the Interstate Commerce Commission, a federal agency, which would adversely affect the firm’s profit by some $13 million [about $90 million in 2011 dollars]. Southern hired a lawyer, Robert Troutman, who was a friend of President John F. Kennedy, to lobby the president that the latter might convince the attorney general, Robert Kennedy, to back Southern’s position in a lawsuit against the ICC. It worked; Southern won. Southern then refused to pay Troutman’s bill in the amount of $200,000 [about $14 million in 2011 dollars] and moved for summary judgment dismissing Troutman’s claim, asserting—among other things—that contracts whereby one person is hired to use his influence with a public official are illegal bargains. Should summary judgment issue? Decide.</w:t>
      </w:r>
    </w:p>
    <w:p w:rsidR="00A86150" w:rsidRDefault="00F714D4">
      <w:pPr>
        <w:numPr>
          <w:ilvl w:val="0"/>
          <w:numId w:val="29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Buyer, representing himself to be experienced in timber negotiations, contracted to buy the timber on Seller’s land. The first $11,500 would go to Buyer, the next $2,000 would go to Seller, and the rest would be divided fifty-fifty after costs of removal of the timber. Buyer said the timber would be worth $18,000–$20,000. When Seller discovered the timber was in fact worth more than $50,000, he sued, claiming the contract was unconscionable. How should the court rule?</w:t>
      </w:r>
    </w:p>
    <w:p w:rsidR="00A86150" w:rsidRDefault="00F714D4">
      <w:pPr>
        <w:shd w:val="clear" w:color="auto" w:fill="08629A"/>
        <w:spacing w:after="0" w:line="264" w:lineRule="atLeast"/>
        <w:ind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30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Gambling contracts are</w:t>
      </w:r>
    </w:p>
    <w:p w:rsidR="00A86150" w:rsidRDefault="00F714D4">
      <w:pPr>
        <w:pStyle w:val="ListParagraph"/>
        <w:numPr>
          <w:ilvl w:val="0"/>
          <w:numId w:val="30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always unenforceable</w:t>
      </w:r>
    </w:p>
    <w:p w:rsidR="00A86150" w:rsidRDefault="00F714D4">
      <w:pPr>
        <w:pStyle w:val="ListParagraph"/>
        <w:numPr>
          <w:ilvl w:val="0"/>
          <w:numId w:val="30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enforceable if written</w:t>
      </w:r>
    </w:p>
    <w:p w:rsidR="00A86150" w:rsidRDefault="00F714D4">
      <w:pPr>
        <w:pStyle w:val="ListParagraph"/>
        <w:numPr>
          <w:ilvl w:val="0"/>
          <w:numId w:val="30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effect enforceable in certain situations involving the sale of securities</w:t>
      </w:r>
    </w:p>
    <w:p w:rsidR="00A86150" w:rsidRDefault="00F714D4">
      <w:pPr>
        <w:pStyle w:val="ListParagraph"/>
        <w:numPr>
          <w:ilvl w:val="0"/>
          <w:numId w:val="30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always enforceable when made with insurance companies</w:t>
      </w:r>
    </w:p>
    <w:p w:rsidR="00A86150" w:rsidRDefault="00F714D4">
      <w:pPr>
        <w:numPr>
          <w:ilvl w:val="0"/>
          <w:numId w:val="30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State X, plumbers must purchase a license but do not have to pass an examination. This is an example of</w:t>
      </w:r>
    </w:p>
    <w:p w:rsidR="00A86150" w:rsidRDefault="00F714D4">
      <w:pPr>
        <w:pStyle w:val="ListParagraph"/>
        <w:numPr>
          <w:ilvl w:val="0"/>
          <w:numId w:val="30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regulatory license</w:t>
      </w:r>
    </w:p>
    <w:p w:rsidR="00A86150" w:rsidRDefault="00F714D4">
      <w:pPr>
        <w:pStyle w:val="ListParagraph"/>
        <w:numPr>
          <w:ilvl w:val="0"/>
          <w:numId w:val="30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revenue license</w:t>
      </w:r>
    </w:p>
    <w:p w:rsidR="00A86150" w:rsidRDefault="00F714D4">
      <w:pPr>
        <w:pStyle w:val="ListParagraph"/>
        <w:numPr>
          <w:ilvl w:val="0"/>
          <w:numId w:val="30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a and b</w:t>
      </w:r>
    </w:p>
    <w:p w:rsidR="00A86150" w:rsidRDefault="00F714D4">
      <w:pPr>
        <w:pStyle w:val="ListParagraph"/>
        <w:numPr>
          <w:ilvl w:val="0"/>
          <w:numId w:val="30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neither a nor b</w:t>
      </w:r>
    </w:p>
    <w:p w:rsidR="00A86150" w:rsidRDefault="00F714D4">
      <w:pPr>
        <w:numPr>
          <w:ilvl w:val="0"/>
          <w:numId w:val="304"/>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contract to pay a lobbyist to influence a public official is generally illegal.</w:t>
      </w:r>
    </w:p>
    <w:p w:rsidR="00A86150" w:rsidRDefault="00F714D4">
      <w:pPr>
        <w:pStyle w:val="ListParagraph"/>
        <w:numPr>
          <w:ilvl w:val="0"/>
          <w:numId w:val="30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true</w:t>
      </w:r>
    </w:p>
    <w:p w:rsidR="00A86150" w:rsidRDefault="00F714D4">
      <w:pPr>
        <w:pStyle w:val="ListParagraph"/>
        <w:numPr>
          <w:ilvl w:val="0"/>
          <w:numId w:val="30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false</w:t>
      </w:r>
    </w:p>
    <w:p w:rsidR="00A86150" w:rsidRDefault="00F714D4">
      <w:pPr>
        <w:numPr>
          <w:ilvl w:val="0"/>
          <w:numId w:val="306"/>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Exculpatory clauses are sometimes enforceable when they relieve someone from liability for</w:t>
      </w:r>
    </w:p>
    <w:p w:rsidR="00A86150" w:rsidRDefault="00F714D4">
      <w:pPr>
        <w:pStyle w:val="ListParagraph"/>
        <w:numPr>
          <w:ilvl w:val="0"/>
          <w:numId w:val="30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intentional act</w:t>
      </w:r>
    </w:p>
    <w:p w:rsidR="00A86150" w:rsidRDefault="00F714D4">
      <w:pPr>
        <w:pStyle w:val="ListParagraph"/>
        <w:numPr>
          <w:ilvl w:val="0"/>
          <w:numId w:val="30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recklessness</w:t>
      </w:r>
    </w:p>
    <w:p w:rsidR="00A86150" w:rsidRDefault="00F714D4">
      <w:pPr>
        <w:pStyle w:val="ListParagraph"/>
        <w:numPr>
          <w:ilvl w:val="0"/>
          <w:numId w:val="30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negligence</w:t>
      </w:r>
    </w:p>
    <w:p w:rsidR="00A86150" w:rsidRDefault="00F714D4">
      <w:pPr>
        <w:pStyle w:val="ListParagraph"/>
        <w:numPr>
          <w:ilvl w:val="0"/>
          <w:numId w:val="30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numPr>
          <w:ilvl w:val="0"/>
          <w:numId w:val="308"/>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employee’s promise not to compete with the employer after leaving the company</w:t>
      </w:r>
    </w:p>
    <w:p w:rsidR="00A86150" w:rsidRDefault="00F714D4">
      <w:pPr>
        <w:pStyle w:val="ListParagraph"/>
        <w:numPr>
          <w:ilvl w:val="0"/>
          <w:numId w:val="30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never enforceable because it restrains trade</w:t>
      </w:r>
    </w:p>
    <w:p w:rsidR="00A86150" w:rsidRDefault="00F714D4">
      <w:pPr>
        <w:pStyle w:val="ListParagraph"/>
        <w:numPr>
          <w:ilvl w:val="0"/>
          <w:numId w:val="30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always enforceable if in writing</w:t>
      </w:r>
    </w:p>
    <w:p w:rsidR="00A86150" w:rsidRDefault="00F714D4">
      <w:pPr>
        <w:pStyle w:val="ListParagraph"/>
        <w:numPr>
          <w:ilvl w:val="0"/>
          <w:numId w:val="30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always enforceable</w:t>
      </w:r>
    </w:p>
    <w:p w:rsidR="00A86150" w:rsidRDefault="00F714D4">
      <w:pPr>
        <w:pStyle w:val="ListParagraph"/>
        <w:numPr>
          <w:ilvl w:val="0"/>
          <w:numId w:val="309"/>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enforceable if related to the employer’s property interests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310"/>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310"/>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10"/>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10"/>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310"/>
        </w:numPr>
        <w:shd w:val="clear" w:color="auto" w:fill="E3EFF7"/>
        <w:tabs>
          <w:tab w:val="clear" w:pos="720"/>
          <w:tab w:val="num" w:pos="144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13</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8"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Form and Meaning</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311"/>
        </w:numPr>
        <w:shd w:val="clear" w:color="auto" w:fill="EAE9DC"/>
        <w:tabs>
          <w:tab w:val="clear" w:pos="720"/>
          <w:tab w:val="num" w:pos="360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kinds of contracts must be evidenced by some writing under the Statute of Frauds, what the exceptions to the requirements are, and what satisfies a writing requirement</w:t>
      </w:r>
    </w:p>
    <w:p w:rsidR="00A86150" w:rsidRDefault="00F714D4">
      <w:pPr>
        <w:numPr>
          <w:ilvl w:val="0"/>
          <w:numId w:val="311"/>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effect prior or contemporaneous “side” agreements have on a written contract</w:t>
      </w:r>
    </w:p>
    <w:p w:rsidR="00A86150" w:rsidRDefault="00F714D4">
      <w:pPr>
        <w:numPr>
          <w:ilvl w:val="0"/>
          <w:numId w:val="311"/>
        </w:numPr>
        <w:shd w:val="clear" w:color="auto" w:fill="EAE9DC"/>
        <w:tabs>
          <w:tab w:val="clear" w:pos="720"/>
          <w:tab w:val="num" w:pos="216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contract is to be interpreted if its meaning is disputed</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four chapters, we have focused on the question of whether the parties created a valid contract and have examined the requirements of (1) agreement (offer and acceptance), (2) real consent (free will, knowledge, and capacity), (3) consideration, and (4) legality. Assuming that these requirements have been met, we now turn to the form and meaning of the contract itself. Does the contract have to be in a written form, and—if there is a dispute—what does the contract mean?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13.1 The Statute of Frauds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12"/>
        </w:numPr>
        <w:shd w:val="clear" w:color="auto" w:fill="EAE9DC"/>
        <w:tabs>
          <w:tab w:val="clear" w:pos="720"/>
          <w:tab w:val="num" w:pos="252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which contracts are required to be evidenced by some writing to be enforceable.</w:t>
      </w:r>
    </w:p>
    <w:p w:rsidR="00A86150" w:rsidRDefault="00F714D4">
      <w:pPr>
        <w:numPr>
          <w:ilvl w:val="0"/>
          <w:numId w:val="312"/>
        </w:numPr>
        <w:shd w:val="clear" w:color="auto" w:fill="EAE9DC"/>
        <w:tabs>
          <w:tab w:val="clear" w:pos="720"/>
          <w:tab w:val="num" w:pos="216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exceptions to that requirement.</w:t>
      </w:r>
    </w:p>
    <w:p w:rsidR="00A86150" w:rsidRDefault="00F714D4">
      <w:pPr>
        <w:numPr>
          <w:ilvl w:val="0"/>
          <w:numId w:val="312"/>
        </w:numPr>
        <w:shd w:val="clear" w:color="auto" w:fill="EAE9DC"/>
        <w:tabs>
          <w:tab w:val="clear" w:pos="720"/>
          <w:tab w:val="num" w:pos="180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what the writing requirement means.</w:t>
      </w:r>
    </w:p>
    <w:p w:rsidR="00A86150" w:rsidRDefault="00F714D4">
      <w:pPr>
        <w:numPr>
          <w:ilvl w:val="0"/>
          <w:numId w:val="312"/>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effect of noncompliance with the Statute of Frauds.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 of the Statute of Frauds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this: a contract need not be in writing to be enforceable. An oral agreement to pay a high-fashion model $2 million to pose for photographs is as binding as if the language of the deal were printed on vellum and signed in the presence of twenty bishops. For three centuries, however, a large exception grew up around the Statute of Frauds, first enacted in England in 1677 under the formal name “An Act for the Prevention of Frauds and Perjuries.” TheStatute of Frauds requires that some contracts be evidenced by a writing, signed by the party to be bound. The English statute’s two sections dealing with contracts read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 4]…no action shall be brought</w:t>
      </w:r>
    </w:p>
    <w:p w:rsidR="00A86150" w:rsidRDefault="00F714D4">
      <w:pPr>
        <w:pStyle w:val="ListParagraph"/>
        <w:numPr>
          <w:ilvl w:val="0"/>
          <w:numId w:val="31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whereby to charge any executor or administrator upon any special promise, to answer damages out of his own estate;</w:t>
      </w:r>
    </w:p>
    <w:p w:rsidR="00A86150" w:rsidRDefault="00F714D4">
      <w:pPr>
        <w:pStyle w:val="ListParagraph"/>
        <w:numPr>
          <w:ilvl w:val="0"/>
          <w:numId w:val="31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 whereby to charge the defendant upon any special promise to answer for the debt, default or miscarriages of another person;</w:t>
      </w:r>
    </w:p>
    <w:p w:rsidR="00A86150" w:rsidRDefault="00F714D4">
      <w:pPr>
        <w:pStyle w:val="ListParagraph"/>
        <w:numPr>
          <w:ilvl w:val="0"/>
          <w:numId w:val="31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 to charge any person upon any agreement made upon consideration of marriage;</w:t>
      </w:r>
    </w:p>
    <w:p w:rsidR="00A86150" w:rsidRDefault="00F714D4">
      <w:pPr>
        <w:pStyle w:val="ListParagraph"/>
        <w:numPr>
          <w:ilvl w:val="0"/>
          <w:numId w:val="31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 upon any contract or sale of lands, tenements or hereditaments, or any interest in or concerning them;</w:t>
      </w:r>
    </w:p>
    <w:p w:rsidR="00A86150" w:rsidRDefault="00F714D4">
      <w:pPr>
        <w:pStyle w:val="ListParagraph"/>
        <w:numPr>
          <w:ilvl w:val="0"/>
          <w:numId w:val="31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 upon any agreement that is not to be performed within the space of one year from the making thereof;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the agreement upon which such action shall be brought, or some memorandum or note thereof, shall be in writing, and signed by the party to be charged therewith, or some other person thereunto by him lawfully authorized.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 17]…no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Notice, of course, that this is a </w:t>
      </w:r>
      <w:r>
        <w:rPr>
          <w:rFonts w:ascii="Georgia" w:eastAsia="Times New Roman" w:hAnsi="Georgia" w:cs="Calibri"/>
          <w:i/>
          <w:iCs/>
          <w:color w:val="333333"/>
          <w:sz w:val="20"/>
          <w:szCs w:val="20"/>
          <w:lang w:val="en"/>
        </w:rPr>
        <w:t>statute</w:t>
      </w:r>
      <w:r>
        <w:rPr>
          <w:rFonts w:ascii="Georgia" w:eastAsia="Times New Roman" w:hAnsi="Georgia" w:cs="Calibri"/>
          <w:color w:val="333333"/>
          <w:sz w:val="20"/>
          <w:szCs w:val="20"/>
          <w:lang w:val="en"/>
        </w:rPr>
        <w:t>; it is a legislative intrusion into the common law of contracts. The name of the act is somewhat unfortunate: insofar as it deals with fraud at all, it does not deal with fraud as we normally think of it. It tries to avoid the fraud that occurs when one person attempts to impose on another a contract that never was agreed to.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Statute of Frauds has been enacted in form similar to the seventeenth-century act in every state but Maryland and New Mexico, where judicial decisions have given it legal effect, and Louisiana. With minor exceptions in Minnesota, Wisconsin, North Carolina, and Pennsylvania, the laws all embrace the same categories of contracts that are required to be in writing. Early in the twentieth century, Section 17 was replaced by a section of the Uniform Sales Act, and this in turn has now been replaced by provisions in the Uniform Commercial Code (UCC).</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13.1</w:t>
      </w:r>
      <w:r>
        <w:rPr>
          <w:rFonts w:ascii="Georgia" w:eastAsia="Times New Roman" w:hAnsi="Georgia" w:cs="Calibri"/>
          <w:i/>
          <w:iCs/>
          <w:color w:val="BB9966"/>
          <w:sz w:val="21"/>
          <w:szCs w:val="21"/>
          <w:lang w:val="en"/>
        </w:rPr>
        <w:t> Contracts Required to Be in Writing</w:t>
      </w:r>
    </w:p>
    <w:p w:rsidR="00A86150" w:rsidRDefault="00F714D4">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019300"/>
            <wp:effectExtent l="0" t="0" r="0" b="0"/>
            <wp:docPr id="62" name="Picture 12" descr="http://images.flatworldknowledge.com/mayerlawentrep/mayerlawentrep-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mayerlawentrep/mayerlawentrep-fig13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rsidR="00A86150" w:rsidRDefault="0081777E">
      <w:pPr>
        <w:shd w:val="clear" w:color="auto" w:fill="FFFFFF"/>
        <w:spacing w:after="0" w:line="270" w:lineRule="atLeast"/>
        <w:jc w:val="center"/>
        <w:textAlignment w:val="baseline"/>
        <w:divId w:val="524907457"/>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79" style="width:468pt;height:1.5pt" o:hralign="center" o:hrstd="t" o:hrnoshade="t" o:hr="t" fillcolor="#555" stroked="f"/>
        </w:pic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ancient, the Statute of Frauds is alive and well in the United States. Today it is used as a technical defense in many contract actions, often with unfair results: it can be used by a person to wriggle out of an otherwise perfectly fine oral contract (it is said then to be used “as a sword instead of a shield”). Consequently, courts interpret the law strictly and over the years have enunciated a host of exceptions—making what appears to be simple quite complex. Indeed, after more than half a century of serious scholarly criticism, the British Parliament repealed most of the statute in 1954. As early as 1885, a British judge noted that “in the vast majority of cases [the statute’s] operation is simply to enable a man to break a promise with impunity because he did not write it down with sufficient formality.” A proponent of the repeal said on the floor of the House of Commons that “future students of law will, I hope, have their labours lightened by the passage of this measure.” In the United States, students have no such reprieve from the Statute of Frauds, to which we now turn for examination.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Contracts Required in Writing and the Exceptions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Promises to Pay the Debt of Another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a promise to pay the debt of another person must be evidenced by some writing if it is a “collateral promise of suretyship (or ‘guaranty’).” A collateral promise is one secondary or ancillary to some other promise. Asurety or guarantor (the terms are essentially synonymous) is one who promises to perform upon the default of another. Consider this: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and B agree to pay 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both A and B are making a direct promise to pay C. Although A is listed first, both are promising to pay C. Now consider this: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agrees to pay C if A does not.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it is clear that there must be another agreement somewhere for A to pay C, but that is not contained in this promise. Rather, B is making an agreement with C that is </w:t>
      </w:r>
      <w:r>
        <w:rPr>
          <w:rFonts w:ascii="Georgia" w:eastAsia="Times New Roman" w:hAnsi="Georgia" w:cs="Calibri"/>
          <w:i/>
          <w:iCs/>
          <w:color w:val="333333"/>
          <w:sz w:val="20"/>
          <w:szCs w:val="20"/>
          <w:lang w:val="en"/>
        </w:rPr>
        <w:t>collateral</w:t>
      </w:r>
      <w:r>
        <w:rPr>
          <w:rFonts w:ascii="Georgia" w:eastAsia="Times New Roman" w:hAnsi="Georgia" w:cs="Calibri"/>
          <w:color w:val="333333"/>
          <w:sz w:val="20"/>
          <w:szCs w:val="20"/>
          <w:lang w:val="en"/>
        </w:rPr>
        <w:t>—on the side—to the promise A is making to C. Sometimes the other agreement somewhere for A to pay C is actually in the same document as B’s promise to pay C if A does not. That does not make B’s promise a direct promise as opposed to a collateral one.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Lydia wishes to purchase on credit a coat at Miss Juliette’s Fine Furs. Juliette thinks Lydia’s creditworthiness is somewhat shaky. So Lydia’s friend Jessica promises Miss Juliette’s that if the store will extend Lydia credit, Jessica will pay whatever balance is due should Lydia default. Jessica is a surety for Lydia, and the agreement is subject to the Statute of Frauds; an oral promise will not be enforceable.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Suppose Jessica very much wants Lydia to have the coat, so she calls the store and says, “Send Lydia the fur, and I will pay for it.” This agreement does not create a suretyship, because Jessica is primarily liable: she is making a direct promise to pay. To fall within the Statute of Frauds, the surety must back the debt of another person to a third-party promisee (also known as the obligee of the principal debtor). The “debt,” incidentally, need not be a money obligation; it can be any contractual duty. If Lydia had promised to work as a cashier on Saturdays at Miss Juliette’s in return for the coat, Jessica could become surety to that obligation by agreeing to work in Lydia’s place if she failed to show up. Such a promise would need to be in writing to be enforceable.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exception:</w:t>
      </w:r>
      <w:r>
        <w:rPr>
          <w:rFonts w:ascii="Georgia" w:eastAsia="Times New Roman" w:hAnsi="Georgia" w:cs="Calibri"/>
          <w:color w:val="333333"/>
          <w:sz w:val="20"/>
          <w:szCs w:val="20"/>
          <w:lang w:val="en"/>
        </w:rPr>
        <w:t> the main purpose doctrine. The main purpose doctrine is a major exception to the surety provision of the Statute of Frauds. It holds that if the promisor’s principal reason for acting as surety is to secure her own economic advantage, then the agreement is not bound by the Statute of Frauds writing requirement. Suppose, in the previous example, that Jessica is really the one who wants the fur coat but cannot, for reasons of prudence, let it be known that she has bought one. So she proposes that Lydia “buy” it for her and that she will guarantee Lydia’s payments. Since the main purpose of Jessica’s promise is to advance her own interests, an oral agreement is binding. Normally, the main purpose rule comes into play when the surety desires a financial advantage to herself that cannot occur unless she provides some security. For example, the board chairman of a small company, who also owns all the voting stock, might guarantee a printer that if his company defaulted in paying the bill for desperately needed catalogs, he would personally pay the bill. If his main purpose in giving the guarantee was to get the catalogues printed in order to stave off bankruptcy, and thus to preserve his own interest in the company, he would be bound by an oral agreement.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same principle can be used to bind other creditors to oral agreements, as the bank discovered in </w:t>
      </w:r>
      <w:r>
        <w:rPr>
          <w:rFonts w:ascii="Georgia" w:eastAsia="Times New Roman" w:hAnsi="Georgia" w:cs="Calibri"/>
          <w:color w:val="2689C6"/>
          <w:sz w:val="20"/>
          <w:szCs w:val="20"/>
          <w:lang w:val="en"/>
        </w:rPr>
        <w:t>Section 13.4.1 "The Statute of Frauds’ Main Purpose Doctrine"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Wilson Floors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Agreements of Executor or Administrator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the promise by an executor or administrator of an estate to answer personally for the debt or other duty of the deceased is analogous to the surety provision—it must be evidenced by some writing if it is to be enforced over an objection by the would-be obligor. For an agreement to be covered by the statute, there must have been an obligation before the decedent’s death. Thus if the executor arranges for a funeral and guarantees payment should the estate fail to pay the fee, an oral contract is binding, because there was no preexisting obligation. If, however, the decedent has made his own arrangements and signed a note obligating his estate to pay, the executor’s promise to guarantee payment would be binding only if written.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exception:</w:t>
      </w:r>
      <w:r>
        <w:rPr>
          <w:rFonts w:ascii="Georgia" w:eastAsia="Times New Roman" w:hAnsi="Georgia" w:cs="Calibri"/>
          <w:color w:val="333333"/>
          <w:sz w:val="20"/>
          <w:szCs w:val="20"/>
          <w:lang w:val="en"/>
        </w:rPr>
        <w:t> the main purpose exception to the surety provision applies to this section of the Statute of Frauds as well as to the “promises to pay the debts of another” section, noted earlier.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Marriage Provision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if any part of the marriage or the promise to marry consists also of a promise to exchange some consideration, the Statute of Frauds requires that part to be evidenced by some writing.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Mutual promises to marry are not within the rule. John and Sally exchange promises to marry; the promise would not be unenforceable for failure to be evidenced by some writing. (Of course courts are very unlikely to force anybody to keep a promise to marry; the point is, the Statute of Frauds doesn’t apply). But if Sally understands John to say, “If you marry me, I will deed to you my property in the Catskill Mountains,” the part about the property would need to be evidenced by some writing to be enforced over John’s denial. The Statute of Frauds governs such promises regardless of who makes them. Suppose John’s father had said, “If you marry Sally and settle down, I will give you $1 million,” and John agrees and marries Sally. The father’s promise is not enforceable unless written, if he denies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couples—especially rich people like movie stars—execute written property settlement agreements to satisfy the statute, stipulating how their assets will be treated upon marriage or upon divorce or death. If done before marriage, they are called prenuptial (premarital) agreements; if after marriage, postnuptial (after marriage) agreements (“prenupts” and “postnupts” in lawyer lingo).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exception:</w:t>
      </w:r>
      <w:r>
        <w:rPr>
          <w:rFonts w:ascii="Georgia" w:eastAsia="Times New Roman" w:hAnsi="Georgia" w:cs="Calibri"/>
          <w:color w:val="333333"/>
          <w:sz w:val="20"/>
          <w:szCs w:val="20"/>
          <w:lang w:val="en"/>
        </w:rPr>
        <w:t> there is no “named” exception here, but courts are free to make equitable adjustments of property of the marriage to avoid an injustice.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factors to be considered in the division of the marital estate are set forth at [Citation], which states, inter alia [among other things], that the court shall finally and equitably apportion the property of the parties, however and whenever acquired. The statute vests wide discretion in the district court. [Citation]. The court is free to adopt any reasonable valuation of marital property which is supported by the record.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Contracts Affecting an Interest in Real Estate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almost all contracts involving an interest in real estate are subject to the Statute of Frauds. “An interest in land” is a broad description, including the sale, mortgaging, and leasing of real property (including homes and buildings); profits from the land; the creation of easements; and the establishment of other interests through restrictive covenants and agreements concerning use. Short-term leases, usually for a term of one year or less, are exempt from the provision.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exception:</w:t>
      </w:r>
      <w:r>
        <w:rPr>
          <w:rFonts w:ascii="Georgia" w:eastAsia="Times New Roman" w:hAnsi="Georgia" w:cs="Calibri"/>
          <w:color w:val="333333"/>
          <w:sz w:val="20"/>
          <w:szCs w:val="20"/>
          <w:lang w:val="en"/>
        </w:rPr>
        <w:t> the part performance doctrine. The name here is a misnomer, because it is a doctrine of reliance, and the acts taken in reliance on the contract are not necessarily partial performances under it. As in all such cases, the rationale is that it is unjust not to give the promisee specific performance if he or she acted in reasonable reliance on the contract and the promisor has continued to manifest assent to its terms. An oral contract to sell land is not binding simply because the buyer has paid the purchase price; payment is not by itself reliance, and if the seller refuses to transfer title, the buyer may recover the purchase price. However, if the buyer has taken possession and made improvements on the property, courts will usually say the case is out of the statute, and the party claiming an oral contract can attempt to prove the existence of the oral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One-Year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any agreement that cannot be performed within one year from its making must be evidenced by some writing to be enforceable. The purpose of this part is perhaps more obvious than most of the statute’s provisions: memories fade regarding the terms of oral contracts made long ago; people die; disputes are not uncommon. Notice the critical time frame is not how long it will take to perform the contract, but how long from the time it is made until performance is complete. If a contract is made on January 1 for a house to be constructed starting on June 1 and to be completed on February 1 of the next year, the performance will be completed in eight months from the time it was begun, but thirteen months from the time the contract was made. It falls within the statute.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exception:</w:t>
      </w:r>
      <w:r>
        <w:rPr>
          <w:rFonts w:ascii="Georgia" w:eastAsia="Times New Roman" w:hAnsi="Georgia" w:cs="Calibri"/>
          <w:color w:val="333333"/>
          <w:sz w:val="20"/>
          <w:szCs w:val="20"/>
          <w:lang w:val="en"/>
        </w:rPr>
        <w:t> the possibility test. The statute’s one-year rule has been universally interpreted to mean a contract that is impossible to be fully performed within one year; if there is even the slightest chance of carrying out the agreement completely within the year, an oral contract is enforceable. Thus an oral agreement to pay a sum of money on a date thirteen months hence is within the statute and not enforceable, but one calling for payment “within thirteen months” would be enforceable, since it is possible under the latter contract to pay in less than a year. Because in many cases strict application of the statute would dictate harsh results, the courts often strain for an interpretation that finds it possible to perform the agreement within the year. Courts will even hold that because any person may die within the year, a contract without a fixed term may be fully performed in under a year and does not, therefore, fall within the statute.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rule:</w:t>
      </w:r>
      <w:r>
        <w:rPr>
          <w:rFonts w:ascii="Georgia" w:eastAsia="Times New Roman" w:hAnsi="Georgia" w:cs="Calibri"/>
          <w:color w:val="333333"/>
          <w:sz w:val="20"/>
          <w:szCs w:val="20"/>
          <w:lang w:val="en"/>
        </w:rPr>
        <w:t> contracts for the sale of goods in an amount greater than $500 must be evidenced by some writing to be enforceable. Section 2-201 of the UCC requires all contracts for the sale of goods for the price of $500 or more to be in writing, but oral agreements for the sale of goods valued at less than $500 are fully enforceable without exception.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Writing Requirements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these requirements, the UCC provides that agreements for the sale of securities (e.g., most stocks and bonds) usually need to be evidenced by a writing, and agreements for property not included in the sales or securities articles of the UCC that exceed $5,000 in value need to be so evidenced.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Included here would be intangible property such as rights to royalties and to mortgage payments, and other rights created by contract. And in many states, other statutes require a writing for several different kinds of contracts. These include agreements to pay commissions to real estate brokers, to make a will, to pay debts already discharged in bankruptcy, to arbitrate rather than litigate, to make loans, and to make installment contracts.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Exceptions 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four exceptions to the UCC’s Statute of Frauds requirement that are relevant here.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Ten-Day-Reply Doctrine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provides that, as between merchants, if an oral agreement is reached and one party sends the other a written statement confirming it, the other party has ten days to object in writing or the agreement is enforceable.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“Specially Manufactured Goods”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exception provides that a seller who has manufactured goods to the buyer’s specifications or who has made “either a substantial beginning of their manufacture or commitments for their procurement” will not be stuck if the buyer repudiates, assuming that the goods are unsuitable for sale to others.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“Admission” Exception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exception arises—reasonably enough—when the party against whom enforcement is sought admits in testimony or legal papers that a contract was in fact made.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However, the admission will not permit enforcement of all claimed terms of the contract; enforcement is limited to the quantity of goods admitted.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“Payment or Delivery and Acceptance” Exception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provides that an oral contract for goods in excess of $500 will be upheld if payment has already been made and accepted, or if the goods have been received and accepted.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Sufficiency of the Required Writing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At Common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been careful not to say “the contract needs to be in writing.” We have said, “a contractual intention must be evidenced by some writing, signed by the party to be bound.” A signed contract is not required. What is required in most states, following the wording of the original statute, is that there be at least some memorandum or note concerning the agreement—a logical consequence of the statute’s purpose to evidence the making of the contract. The words need not appear in a formal document; they are sufficient in any form in a will, or on a check or receipt, or in longhand on the back of an envelope—so long as the document is signed by the party to be charged (i.e., the party being sued on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writing need not contain every term, it must recite the subject matter of the contract. It need not do so, however, in terms comprehensible to those who were not party to the negotiations; it is enough if it is understandable in context. A written agreement to buy a parcel of land is usually sufficiently definitive if it refers to the parcel in such a way that it could be mistaken for no other—for example, “seller’s land in Tuscaloosa,” assuming that the seller owned only one parcel there. Beyond the subject matter, the essential terms of promises to be performed must be written out; all details need not be. If an essential term is missing, it cannot be enforced, unless it can be inferred or imposed by rule of law. A written contract for the sale of land containing every term but the time for payment, which the parties orally agreed would be upon delivery of the deed, is sufficient. (A contract that omitted the selling price would not be.)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parties must be named in the writing in a manner sufficient to identify them. Their whole names need not be given if initials or some other reference makes it inescapable that the writing does concern the actual parties. Reference to the agent of a party identifies the party. Possession of the writing may even be sufficient: if a seller gives a memorandum of an oral agreement for the sale of his land, stating all the terms, to the buyer, the latter may seek specific performance even though the writing omits to name or describe him or his agent.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few states, consideration for the promise must be stated in writing, even if the consideration has already been given. Consequently, written contracts frequently contain such language as “for value received.” But in most states, failure to refer to consideration already given is unnecessary: “the prevailing view is that error or omission in the recital of past events does not affect the sufficiency of a memorandum.”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bookmarkStart w:id="23" w:name="fn-12"/>
      <w:bookmarkEnd w:id="23"/>
      <w:r>
        <w:rPr>
          <w:rFonts w:ascii="Georgia" w:eastAsia="Times New Roman" w:hAnsi="Georgia" w:cs="Calibri"/>
          <w:color w:val="333333"/>
          <w:sz w:val="20"/>
          <w:szCs w:val="20"/>
          <w:lang w:val="en"/>
        </w:rPr>
        <w:t> The situation is different, however, when the consideration is a return promise yet to be performed. Usually the return promise is an essential term of the agreement, and failure to state it will vitiate the writing.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contracts for the sale of goods, the writing must be signed by the party to be charged, and the parties must be sufficiently identified.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bookmarkStart w:id="24" w:name="fn-13"/>
      <w:bookmarkEnd w:id="24"/>
      <w:r>
        <w:rPr>
          <w:rFonts w:ascii="Georgia" w:eastAsia="Times New Roman" w:hAnsi="Georgia" w:cs="Calibri"/>
          <w:color w:val="333333"/>
          <w:sz w:val="20"/>
          <w:szCs w:val="20"/>
          <w:lang w:val="en"/>
        </w:rPr>
        <w:t> But consideration, including the selling price, need not be set forth for the memorandum to meet the requirements of the UCC (“a writing is not insufficient because it omits or incorrectly states a term agreed upon”), though obviously it makes sense to do so whenever possible. By contrast, UCC Sections 1-206 and 3-319 concerning intangible personal property and investment securities require “a defined or stated price.”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Electronic Communications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primary purposes of the Electronic Signatures in Global and National Commerce Act, S. 761, popularly referred to as ESign, is to repeal state law requirements for written instruments as they apply to electronic agreements and to make almost anything reasonably indicative of a signature good enough electronically.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bookmarkStart w:id="25" w:name="fn-14"/>
      <w:bookmarkEnd w:id="25"/>
      <w:r>
        <w:rPr>
          <w:rFonts w:ascii="Georgia" w:eastAsia="Times New Roman" w:hAnsi="Georgia" w:cs="Calibri"/>
          <w:color w:val="333333"/>
          <w:sz w:val="20"/>
          <w:szCs w:val="20"/>
          <w:lang w:val="en"/>
        </w:rPr>
        <w:t> It provides the following: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Notwithstanding any statute, regulation, or other rule of law [other than subsequent parts of this same statute], with respect to any transactions in or affecting interstate or foreign commerce—</w:t>
      </w:r>
    </w:p>
    <w:p w:rsidR="00A86150" w:rsidRDefault="00F714D4">
      <w:pPr>
        <w:pStyle w:val="ListParagraph"/>
        <w:numPr>
          <w:ilvl w:val="0"/>
          <w:numId w:val="3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signature, contract, or other record relating to such transaction may not be denied legal effect, validity or enforceability solely because it is in electronic form; and</w:t>
      </w:r>
    </w:p>
    <w:p w:rsidR="00A86150" w:rsidRDefault="00F714D4">
      <w:pPr>
        <w:pStyle w:val="ListParagraph"/>
        <w:numPr>
          <w:ilvl w:val="0"/>
          <w:numId w:val="3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relating to such transaction may not be denied legal effect, validity or enforceability solely because an electronic signature or electronic record was used in its 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“transaction” means an action or set of actions relating to the conduct of a business, consumer or commercial affairs between two or more persons, including any of the following types of conduct—</w:t>
      </w:r>
    </w:p>
    <w:p w:rsidR="00A86150" w:rsidRDefault="00F714D4">
      <w:pPr>
        <w:pStyle w:val="ListParagraph"/>
        <w:numPr>
          <w:ilvl w:val="0"/>
          <w:numId w:val="31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sale, lease, exchange, or other disposition of [personal property and intangibles]</w:t>
      </w:r>
    </w:p>
    <w:p w:rsidR="00A86150" w:rsidRDefault="00F714D4">
      <w:pPr>
        <w:pStyle w:val="ListParagraph"/>
        <w:numPr>
          <w:ilvl w:val="0"/>
          <w:numId w:val="31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sale, lease, exchange or other disposition of any interest in real property, or any combination thereof.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“electronic signature” means an electronic sound, symbol, or process, attached to or logically associated with a contract or other record and executed or adopted by a person with the intent to sign the record.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Effect of Noncompliance and Exceptions; Oral Rescission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basic rule is that contracts governed by the Statute of Frauds are unenforceable if they are not sufficiently written down. If the agreement contains several promises, the unenforceability of one will generally render the others unenforceable also.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Statute of Frauds can work injustices. In addition to the exceptions already noted, there are some general exceptions.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Full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certainly, if the contract has been performed fully by both sides, its unenforceability under the statute is moot. Having fulfilled its function (neither side having repudiated the contract), the agreement cannot be rescinded on the ground that it should have been, but was not, reduced to writing.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Detrimental Reliance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some relief may be granted to one who has relied on an oral contract to her detriment (similar to the part performance doctrine mentioned already). For a partially performed contract unenforceable under the Statute of Frauds, restitution may be available. Suppose George agrees orally to landscape Arthur’s fifteen acres, in return for which George is to receive title to one acre at the far end of the lot. George is not entitled to the acre if Arthur defaults, but he may recover for the reasonable value of the services he has performed up to the time of repudiation. Somewhat related, if one side has reasonably and foreseeably relied upon a promise in such a way that injustice can only be avoided by enforcing it, some courts will use promissory estoppel to preclude the necessity of a writing, but the connection between the alleged oral contract and the detrimental reliance must be convincing.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Oral Rescission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most contracts required to be in writing may be rescinded orally. The new agreement is treated in effect as a modification of the old one, and since a complete rescission will not usually trigger any action the statute requires to be in writing, the rescission becomes effective in the absence of any signed memorandum.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agreements, however, may not be rescinded orally. Those that by their terms preclude oral rescission are an obvious class. Under the UCC, certain agreements for the sale of goods may not be orally rescinded, depending on the circumstances. For instance, if title has already passed to the buyer under a written agreement that satisfies the statute, the contract can be rescinded only by a writing. Contracts for the sale of land are another class of agreements that generally may not be orally rescinded. If title has already been transferred, or if there has been a material change of position in reliance on the contract, oral agreements to rescind are unenforceable. But a contract that remains wholly executory, even though enforceable because in writing, may be rescinded orally in most states.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 Modification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Fourth, contracts governed by the Statute of Frauds may be modified orally if the resulting contract, taken as a whole, falls outside the statute. The same rule applies under the UCC.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bookmarkStart w:id="26" w:name="fn-15"/>
      <w:bookmarkEnd w:id="26"/>
      <w:r>
        <w:rPr>
          <w:rFonts w:ascii="Georgia" w:eastAsia="Times New Roman" w:hAnsi="Georgia" w:cs="Calibri"/>
          <w:color w:val="333333"/>
          <w:sz w:val="20"/>
          <w:szCs w:val="20"/>
          <w:lang w:val="en"/>
        </w:rPr>
        <w:t> Thus a written contract for the sale of a new bicycle worth $1,200 may be orally modified by substituting the sale of a used bicycle worth $450, but not by substituting the sale of a used bike worth $600. The modified contract effectively rescinds the original contract.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Statute of Frauds, an ancient legislative intrusion into common-law contracts, requires that certain contracts be evidenced by some writing, signed by the party to be bound, to be enforceable. Among those affected by the statute are contracts for an interest in real estate, contracts that by their terms cannot be performed within one year, contracts whereby one person agrees to pay the debt of another, contracts involving the exchange of consideration upon promise to marry (except mutual promises to marry), and, under the UCC, contracts in an amount greater than $500. For each contract affected by the statute, there are various exceptions intended to prevent the statute from being used to avoid oral contracts when it is very likely such were in fact made.</w:t>
      </w:r>
    </w:p>
    <w:p w:rsidR="00A86150" w:rsidRDefault="00F714D4">
      <w:pPr>
        <w:shd w:val="clear" w:color="auto" w:fill="ECF9EA"/>
        <w:spacing w:before="150"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writing need not be a contract; anything in writing, signed by the person to be bound, showing adequate contractual intention will take the matter out of the statute and allow a party to attempt to show the existence of the oral contract.</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may be relief under restitution or promissory estoppel. Contracts affected by the statute can usually be orally rescinded. Any contract can be modified or rescinded; if the new oral contract as modified does not fall within the statute, the statute does not apply.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purpose of the Statute of Frauds?</w:t>
      </w:r>
    </w:p>
    <w:p w:rsidR="00A86150" w:rsidRDefault="00F714D4">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common-law contracts are affected by it, and what are the exceptions?</w:t>
      </w:r>
    </w:p>
    <w:p w:rsidR="00A86150" w:rsidRDefault="00F714D4">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UCC deal with the Statute of Frauds?</w:t>
      </w:r>
    </w:p>
    <w:p w:rsidR="00A86150" w:rsidRDefault="00F714D4">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the requirement of the statute satisfied?</w:t>
      </w:r>
    </w:p>
    <w:p w:rsidR="00A86150" w:rsidRDefault="00F714D4">
      <w:pPr>
        <w:numPr>
          <w:ilvl w:val="0"/>
          <w:numId w:val="31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can always be modified. How does the Statute of Frauds play with contract modification?</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Chapter 5, statutory note.</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Of course, if Jessica really </w:t>
      </w:r>
      <w:r>
        <w:rPr>
          <w:rFonts w:ascii="Calibri" w:eastAsia="Times New Roman" w:hAnsi="Calibri" w:cs="Calibri"/>
          <w:i/>
          <w:iCs/>
          <w:color w:val="333333"/>
          <w:sz w:val="20"/>
          <w:szCs w:val="20"/>
        </w:rPr>
        <w:t>did</w:t>
      </w:r>
      <w:r>
        <w:rPr>
          <w:rFonts w:ascii="Calibri" w:eastAsia="Times New Roman" w:hAnsi="Calibri" w:cs="Calibri"/>
          <w:color w:val="333333"/>
          <w:sz w:val="20"/>
          <w:szCs w:val="20"/>
        </w:rPr>
        <w:t> orally promise Miss Juliette’s to pay in case Lydia didn’t, it would be bad faith to lie about it. The proper course for Jessica is not to say, “Ha, ha, I promised, but it was only oral, so I’m not bound.” Jessica should say, “I raise the Statute of Frauds as a defense.”</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Stuart Studio, Inc. v. National School of Heavy Equipment, Inc.</w:t>
      </w:r>
      <w:r>
        <w:rPr>
          <w:rFonts w:ascii="Calibri" w:eastAsia="Times New Roman" w:hAnsi="Calibri" w:cs="Calibri"/>
          <w:color w:val="333333"/>
          <w:sz w:val="20"/>
          <w:szCs w:val="20"/>
        </w:rPr>
        <w:t>, 214 S.E.2d 192 (N.C. 1975).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125.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Marriage of Rada</w:t>
      </w:r>
      <w:r>
        <w:rPr>
          <w:rFonts w:ascii="Calibri" w:eastAsia="Times New Roman" w:hAnsi="Calibri" w:cs="Calibri"/>
          <w:color w:val="333333"/>
          <w:sz w:val="20"/>
          <w:szCs w:val="20"/>
        </w:rPr>
        <w:t>, 402, 869 P.2d 254 (Mont. 1994).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Uniform Commercial Code, Sections 8-319 and 1-206.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Uniform Commercial Code, Section 2-201(2).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Uniform Commercial Code, Section 2-201(3)(a).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Uniform Commercial Code, Section 2-201(3)(b).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Uniform Commercial Code, Section 2-20l(3)(c).</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Restatement (Second) of Contracts, Section 207(f).</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bookmarkStart w:id="27" w:name="ftn.fn-12"/>
      <w:bookmarkEnd w:id="27"/>
      <w:r>
        <w:rPr>
          <w:rFonts w:ascii="Calibri" w:eastAsia="Times New Roman" w:hAnsi="Calibri" w:cs="Calibri"/>
          <w:color w:val="333333"/>
          <w:sz w:val="20"/>
          <w:szCs w:val="20"/>
        </w:rPr>
        <w:t> Restatement (Second) of Contracts, Section 207(h).</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bookmarkStart w:id="28" w:name="ftn.fn-13"/>
      <w:bookmarkEnd w:id="28"/>
      <w:r>
        <w:rPr>
          <w:rFonts w:ascii="Calibri" w:eastAsia="Times New Roman" w:hAnsi="Calibri" w:cs="Calibri"/>
          <w:color w:val="333333"/>
          <w:sz w:val="20"/>
          <w:szCs w:val="20"/>
        </w:rPr>
        <w:t> Uniform Commercial Code, Section 2-210(1).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bookmarkStart w:id="29" w:name="ftn.fn-14"/>
      <w:bookmarkEnd w:id="29"/>
      <w:r>
        <w:rPr>
          <w:rFonts w:ascii="Calibri" w:eastAsia="Times New Roman" w:hAnsi="Calibri" w:cs="Calibri"/>
          <w:color w:val="333333"/>
          <w:sz w:val="20"/>
          <w:szCs w:val="20"/>
        </w:rPr>
        <w:t> Electronic Signatures in Global and National Commerce Act, 15 U.S.C. § 96, 106th Congress (2000).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bookmarkStart w:id="30" w:name="ftn.fn-15"/>
      <w:bookmarkEnd w:id="30"/>
      <w:r>
        <w:rPr>
          <w:rFonts w:ascii="Calibri" w:eastAsia="Times New Roman" w:hAnsi="Calibri" w:cs="Calibri"/>
          <w:color w:val="333333"/>
          <w:sz w:val="20"/>
          <w:szCs w:val="20"/>
        </w:rPr>
        <w:t> Uniform Commercial Code, Section 2-209(3).</w:t>
      </w:r>
    </w:p>
    <w:p w:rsidR="00A86150" w:rsidRDefault="00A86150">
      <w:pPr>
        <w:rPr>
          <w:rFonts w:ascii="Calibri" w:eastAsia="Times New Roman" w:hAnsi="Calibri" w:cs="Calibri"/>
          <w:color w:val="333333"/>
          <w:sz w:val="20"/>
          <w:szCs w:val="20"/>
        </w:rPr>
      </w:pP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13.2 The Parol Evidence Rule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17"/>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purpose and operation of the parol evidence rule, including when it applies and when it does not.</w:t>
      </w:r>
    </w:p>
    <w:p w:rsidR="00A86150" w:rsidRDefault="00F714D4">
      <w:pPr>
        <w:numPr>
          <w:ilvl w:val="0"/>
          <w:numId w:val="317"/>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the Uniform Commercial Code (UCC) deals with evidence to show a contract’s meaning.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the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Minerva sprung forth whole from the brow of Zeus in Greek mythology, contracts do not appear at a stroke memorialized on paper. Almost invariably, negotiations of some sort precede the concluding of a deal. People write letters, talk by telephone, meet face-to-face, send e-mails, and exchange thoughts and views about what they want and how they will reciprocate. They may even lie and cajole in duplicitous ways, making promises they know they cannot or will not keep in order not to kill the contract talks. In the course of these discussions, they may reach tentative agreements, some of which will ultimately be reflected in the final contract, some of which will be discarded along the way, and some of which perhaps will not be included in the final agreement but will nevertheless not be contradicted by it. Whether any weight should be given to these prior agreements is a problem that frequently arises.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Parol Evidence at Common-Law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 at common law is this: a written contract intended to be the parties’ complete understanding discharges all prior or contemporaneous promises, statements, or agreements that add to, vary, or conflict with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parol evidence rule (</w:t>
      </w:r>
      <w:r>
        <w:rPr>
          <w:rFonts w:ascii="Georgia" w:eastAsia="Times New Roman" w:hAnsi="Georgia" w:cs="Calibri"/>
          <w:i/>
          <w:iCs/>
          <w:color w:val="333333"/>
          <w:sz w:val="20"/>
          <w:szCs w:val="20"/>
          <w:lang w:val="en"/>
        </w:rPr>
        <w:t>parol</w:t>
      </w:r>
      <w:r>
        <w:rPr>
          <w:rFonts w:ascii="Georgia" w:eastAsia="Times New Roman" w:hAnsi="Georgia" w:cs="Calibri"/>
          <w:color w:val="333333"/>
          <w:sz w:val="20"/>
          <w:szCs w:val="20"/>
          <w:lang w:val="en"/>
        </w:rPr>
        <w:t> means oral; it is related to </w:t>
      </w:r>
      <w:r>
        <w:rPr>
          <w:rFonts w:ascii="Georgia" w:eastAsia="Times New Roman" w:hAnsi="Georgia" w:cs="Calibri"/>
          <w:i/>
          <w:iCs/>
          <w:color w:val="333333"/>
          <w:sz w:val="20"/>
          <w:szCs w:val="20"/>
          <w:lang w:val="en"/>
        </w:rPr>
        <w:t>parliament</w:t>
      </w:r>
      <w:r>
        <w:rPr>
          <w:rFonts w:ascii="Georgia" w:eastAsia="Times New Roman" w:hAnsi="Georgia" w:cs="Calibri"/>
          <w:color w:val="333333"/>
          <w:sz w:val="20"/>
          <w:szCs w:val="20"/>
          <w:lang w:val="en"/>
        </w:rPr>
        <w:t> and</w:t>
      </w:r>
      <w:r>
        <w:rPr>
          <w:rFonts w:ascii="Georgia" w:eastAsia="Times New Roman" w:hAnsi="Georgia" w:cs="Calibri"/>
          <w:i/>
          <w:iCs/>
          <w:color w:val="333333"/>
          <w:sz w:val="20"/>
          <w:szCs w:val="20"/>
          <w:lang w:val="en"/>
        </w:rPr>
        <w:t>parly</w:t>
      </w:r>
      <w:r>
        <w:rPr>
          <w:rFonts w:ascii="Georgia" w:eastAsia="Times New Roman" w:hAnsi="Georgia" w:cs="Calibri"/>
          <w:color w:val="333333"/>
          <w:sz w:val="20"/>
          <w:szCs w:val="20"/>
          <w:lang w:val="en"/>
        </w:rPr>
        <w:t>—talking) is a substantive rule of law that operates to bar the introduction of evidence intended to show that the parties had agreed to something different from what they finally arrived at and wrote down. It applies to prior written as well as oral discussions that don’t make it into the final written agreement. Though its many apparent exceptions make the rule seem difficult to apply, its purposes are simple: to give freedom to the parties to negotiate without fear of being held to the consequences of asserting preliminary positions, and to give finality to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 applies to all written contracts, whether or not the Statute of Frauds requires them to be in writing. The Statute of Frauds gets to whether there was a contract at all; the parol evidence rule says, granted there was a written contract, does it express the parties’ understanding? But the rule is concerned only with events that transpired before the contract in dispute was signed. It has no bearing on agreements reached subsequently that may alter the terms of an existing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Exemptions and Exceptions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its apparent stringency, the parol evidence rule does not negate all prior agreements or statements, nor preclude their use as evidence. A number of situations fall outside the scope of the rule and hence are not technically exceptions to it, so they are better phrased as exemptions (something not within the scope of a rule).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Not an Integrated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parties never intended the written contract to be their full understanding—if they intended it to be partly oral—then the rule does not apply. If the document is fully integrated, no extrinsic evidence will be permitted to modify the terms of the agreement, even if the modification is in addition to the existing terms, rather than a contradiction of them. If the contract is partially integrated, prior consistent additional terms may be shown. It is the duty of the party who wants to exclude the parol evidence to show the contract was intended to be integrated. That is not always an easy task. To prevent a party later from introducing extrinsic evidence to show that there were prior agreements, the contract itself can recite that there were none. Here, for example, is the final clause in the National Basketball Association Uniform Player Contract: “This agreement contains the entire agreement between the parties and there are no oral or written inducements, promises or agreements except as contained herein.” Such a clause is known as a merger clause.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Void or Voidable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Parol evidence is admissible to show the existence of grounds that would cause the contract to be void. Such grounds include illegality, fraud, duress, mistake, and lack of consideration. And parol evidence is allowed to show evidence of lack of contractual capacity. Evidence of infancy, incompetency, and so on would not change the terms of the contract at all but would show it was voidable or void.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Contracts Subject to a Condition Precedent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parties orally agree that a written contract is contingent on the occurrence of an event or some other condition (a condition precedent), the contract is not integrated and the oral agreement may be introduced. The classic case is that of an inventor who sells in a written contract an interest in his invention. Orally, the inventor and the buyer agree that the contract is to take effect only if the buyer’s engineer approves the invention. (The contract was signed in advance of approval so that the parties would not need to meet again.) The engineer did not approve it, and in a suit for performance, the court permitted the evidence of the oral agreement because it showed “that in fact there never was any agreement at all.”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Note that the oral condition does not contradict a term of the written contract; it negates it. The parol evidence rule will not permit evidence of an oral agreement that is inconsistent with a written term, for as to that term the contract is integrated.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Untrue Recital or Errors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parol evidence rule does not prevent a showing that a fact stated in a contract is untrue. The rule deals with prior agreements; it cannot serve to choke off inquiry into the facts. Thus the parol evidence rule will not bar a showing that one of the parties is a minor, even if the contract recites that each party is over eighteen. Nor will it prevent a showing that a figure in the contract had a typographical error—for example, a recital that the rate charged will be the plumber’s “usual rate of $3 per hour” when both parties understood that the usual rate was in fact $30 per hour. A court would allow reformation(correction) of such errors.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Ambiguity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enforce a contract, its terms must be understood, so parol evidence would be allowed, but a claim of ambiguity cannot be used to alter, vary, or change the contract’s meaning.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Postcontract Modification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an additional consistent oral term may be shown only if the contract was partially integrated. The parol evidence rule bars evidence of such a term if the contract was fully integrated. However, when there is additional consideration for the term orally agreed, it lies outside the scope of the integrated contract and may be introduced. In effect, the law treats each separate consideration as creating a new contract; the integrated written document does not undercut the separate oral agreement, as long as they are consistent. Buyer purchases Seller’s business on a contract; as part of the agreement, Seller agrees to stay on for three weeks to help Buyer “learn the ropes.” Buyer realizes she is not yet prepared to go on her own. She and Seller then agree that Seller will stay on as a salaried employee for five more weeks. Buyer cannot use the parol evidence rule to preclude evidence of the new agreement: it is a postcontract modification supported by new consideration. Similarly, parties could choose to rescind a previously made contract, and the parol evidence rule would not bar evidence of that.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UCC Approach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Section 2-202 of the UCC, a course of dealing, a usage of trade, or a course of performance can be introduced as evidence to explain or supplement any written contract for the sale of goods. A course of dealing is defined as “a sequence of previous conduct between the parties to a particular transaction which is fairly to be regarded as establishing a common basis of understanding for interpreting their expressions and other conduct.” A usage of trade is “any practice or method of dealing having such regularity of observance in a place, vocation or trade as to justify an expectation that it will be observed with respect to the transaction in question.” A course of performance is the conduct of a party in response to a contract that calls for repeated action (e.g., a purchase agreement for a factory’s monthly output, or an undertaking to wash a neighbor’s car weekly).</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parol evidence rule is intended to preserve “the four corners” of the contract: it generally prohibits the introduction of contemporaneous oral or written elements of negotiation that did not get included in the written contract, subject to a number of exemptions.</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UCC allows evidence of course of dealing, course of performance, or usage of trade to give meaning to the contract.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18"/>
        </w:numPr>
        <w:shd w:val="clear" w:color="auto" w:fill="E3EFF7"/>
        <w:tabs>
          <w:tab w:val="clear" w:pos="720"/>
          <w:tab w:val="num" w:pos="19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purpose of the parol evidence rule?</w:t>
      </w:r>
    </w:p>
    <w:p w:rsidR="00A86150" w:rsidRDefault="00F714D4">
      <w:pPr>
        <w:numPr>
          <w:ilvl w:val="0"/>
          <w:numId w:val="318"/>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it operate to crystallize the intention of the contracting parties?</w:t>
      </w:r>
    </w:p>
    <w:p w:rsidR="00A86150" w:rsidRDefault="00F714D4">
      <w:pPr>
        <w:numPr>
          <w:ilvl w:val="0"/>
          <w:numId w:val="318"/>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what kinds of contract issues does the rule not apply?</w:t>
      </w:r>
    </w:p>
    <w:p w:rsidR="00A86150" w:rsidRDefault="00F714D4">
      <w:pPr>
        <w:numPr>
          <w:ilvl w:val="0"/>
          <w:numId w:val="318"/>
        </w:numPr>
        <w:shd w:val="clear" w:color="auto" w:fill="E3EFF7"/>
        <w:tabs>
          <w:tab w:val="clear" w:pos="720"/>
          <w:tab w:val="num" w:pos="16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“help” does the UCC give to fleshing out the parties’ contractual understanding?</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Pym v. Campbell</w:t>
      </w:r>
      <w:r>
        <w:rPr>
          <w:rFonts w:ascii="Calibri" w:eastAsia="Times New Roman" w:hAnsi="Calibri" w:cs="Calibri"/>
          <w:color w:val="333333"/>
          <w:sz w:val="20"/>
          <w:szCs w:val="20"/>
        </w:rPr>
        <w:t>, 119 Eng. Rep. 903 (Q.B. 1856).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13.3 Interpretation of Agreements: Practicalities versus Legalities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19"/>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purpose of contractual interpretation.</w:t>
      </w:r>
    </w:p>
    <w:p w:rsidR="00A86150" w:rsidRDefault="00F714D4">
      <w:pPr>
        <w:numPr>
          <w:ilvl w:val="0"/>
          <w:numId w:val="319"/>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tools courts use to interpret contracts.</w:t>
      </w:r>
    </w:p>
    <w:p w:rsidR="00A86150" w:rsidRDefault="00F714D4">
      <w:pPr>
        <w:numPr>
          <w:ilvl w:val="0"/>
          <w:numId w:val="319"/>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in everyday life, businesspeople tolerate oral contracts or poorly written ones, but a writing remains useful.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General Problem and the Purpose of Contractual Interpretation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General Problem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any reader knows, the meaning of words depends in part on context and in part on the skill and care of the writer. As Justice Oliver Wendell Holmes Jr. once succinctly noted, “A word is not a crystal, transparent and unchanged; it is the skin of a living thought and may vary greatly in color and content according to the circumstances and the time in which it is used.”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Words and phrases can be ambiguous, either when they stand alone or when they take on a different coloration from words and phrases near them. A writer can be careless and contradict himself without intending to; people often read hurriedly and easily miss errors that a more deliberate perusal might catch. Interpretation difficulties can arise for any of a number of reasons: a form contract might contain language that is inconsistent with provisions specifically annexed; the parties might use jargon that is unclear; they might forget to incorporate a necessary term; assumptions about prior usage or performance, unknown to outsiders like judges, might color their understanding of the words they do use. Because ambiguities do arise, courts are frequently called on to give content to the words on paper.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Basic Rule of Interpretation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attempt to give meaning to the parties’ understanding when they wrote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intention of the parties governs, and if their purpose in making the contract is known or can be ascertained from all the circumstances, it will be given great weight in determining the meaning of an obscure, murky, or ambiguous provision or a pattern of conduct. A father tells the college bookstore that in consideration of its supplying his daughter, a freshman, with books for the coming year, he will guarantee payment of up to $350. His daughter purchases books totaling $400 the first semester, and he pays the bill. Midway through the second semester, the bookstore presents him with a bill for an additional $100, and he pays that. At the end of the year, he refuses to pay a third bill for $150. A court could construe his conduct as indicating a purpose to ensure that his daughter had whatever books she needed, regardless of cost, and interpret the contract to hold him liable for the final bill.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Tools of Interpretation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policy of uncovering purpose has led to a number of tools of judicial interpretation:</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 specific terms or conduct are given more weight than general terms or unremarkable conduct. Thus a clause that is separately negotiated and added to a contract will be counted as more significant than a standard term in a form contract.</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writing is interpreted as a whole, without undue attention to one clause.</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words and terms are given common meaning; technical terms are given their technical meaning.</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range of language and conduct that helps in interpretation, the courts prefer the following items in the order listed: express terms, course of performance, course of dealing, and usage of trade.</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an amount is given in words and figures that differ, the words control.</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Writing controls over typing; typing controls over printed forms.</w:t>
      </w:r>
    </w:p>
    <w:p w:rsidR="00A86150" w:rsidRDefault="00F714D4">
      <w:pPr>
        <w:pStyle w:val="ListParagraph"/>
        <w:numPr>
          <w:ilvl w:val="0"/>
          <w:numId w:val="3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Ambiguities are construed against the party that wrote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have considered a set of generally technical legal rules that spell out the consequences of contracts that are wholly or partially oral or that, if written, are ambiguous or do not contain every term agreed upon. These rules fall within three general headings: the Statute of Frauds, the parol evidence rule, and the rules of interpretation. Obviously, the more attention paid to the contract before it is formally agreed to, the fewer the unforeseen consequences. In general, the conclusion is inescapable that a written contract will avoid a host of problems. Writing down an agreement is not always sensible or practical, but it can probably be done more often than it is. Writing almost fifty years ago—and it is still true—a law professor studying business practices noted the following: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Businessmen often prefer to rely on “a man’s word” in a brief letter, a handshake or “common honesty and decency”—even when the transaction involves exposure to serious risks. Seven lawyers from law firms with business practices were interviewed. Five thought that businessmen often entered contracts with only a minimal degree of advanced planning. They complained that businessmen desire to “keep it simple and avoid red tape” even where large amounts of money and significant risks are involved.…Another said that businessmen when bargaining often talk only in pleasant generalities, think they have a contract, but fail to reach agreement on any of the hard, unpleasant questions until forced to do so by a lawyer.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Written contracts do not, to be sure, guarantee escape from disputes and litigation. Sometimes ambiguities are not seen; sometimes they are necessary if the parties are to reach an agreement at all. Rather than back out of the deal, it may be worth the risk to one or both parties deliberately to go along with an ambiguous provision and hope that it never arises to be tested in a dispute that winds up in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Nevertheless, it is generally true that a written contract has at least three benefits over oral ones, even those that by law are not required to be in writing. (1) The written contract usually avoids ambiguity. (2) It can serve both as a communications device and as a device for the allocation of power, especially within large companies. By alerting various divisions to its formal requirements, the contract requires the sales, design, quality-control, and financial departments to work together. By setting forth requirements that the company must meet, it can place the power to take certain actions in the hands of one division or another. (3) Finally, should a dispute later arise, the written contract can immeasurably add to proof both of the fact that a contract was agreed to and of what its terms were.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not uncommon for the meaning of a contract to be less than entirely clear. When called upon to interpret the meaning of a contract, courts try to give it the meaning the parties intended when they made it. Various tools of interpretation are used.</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Businesspeople usually do not like to seem overbearing; they do not wish to appear untrusting; they often dislike unpleasantries. Therefore it is not uncommon for even big deals to be sealed with a handshake. But it’s a trade-off, because a written contract has obvious benefits, too.</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2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courts fairly frequently have to interpret the meaning of contracts?</w:t>
      </w:r>
    </w:p>
    <w:p w:rsidR="00A86150" w:rsidRDefault="00F714D4">
      <w:pPr>
        <w:numPr>
          <w:ilvl w:val="0"/>
          <w:numId w:val="32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purpose of contractual interpretation?</w:t>
      </w:r>
    </w:p>
    <w:p w:rsidR="00A86150" w:rsidRDefault="00F714D4">
      <w:pPr>
        <w:numPr>
          <w:ilvl w:val="0"/>
          <w:numId w:val="32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tools do the courts use in interpreting contracts?</w:t>
      </w:r>
    </w:p>
    <w:p w:rsidR="00A86150" w:rsidRDefault="00F714D4">
      <w:pPr>
        <w:numPr>
          <w:ilvl w:val="0"/>
          <w:numId w:val="32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social “cost” of insisting upon a written contract in a business setting? What are the benefits of the contract?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Towne v. Eisner</w:t>
      </w:r>
      <w:r>
        <w:rPr>
          <w:rFonts w:ascii="Calibri" w:eastAsia="Times New Roman" w:hAnsi="Calibri" w:cs="Calibri"/>
          <w:color w:val="333333"/>
          <w:sz w:val="20"/>
          <w:szCs w:val="20"/>
        </w:rPr>
        <w:t>, 245 US 418, 425 (1917).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Stewart Macaulay, “Non-contractual Relations in Business: A Preliminary Study,”</w:t>
      </w:r>
      <w:r>
        <w:rPr>
          <w:rFonts w:ascii="Calibri" w:eastAsia="Times New Roman" w:hAnsi="Calibri" w:cs="Calibri"/>
          <w:i/>
          <w:iCs/>
          <w:color w:val="333333"/>
          <w:sz w:val="20"/>
          <w:szCs w:val="20"/>
        </w:rPr>
        <w:t>American Sociological Review</w:t>
      </w:r>
      <w:r>
        <w:rPr>
          <w:rFonts w:ascii="Calibri" w:eastAsia="Times New Roman" w:hAnsi="Calibri" w:cs="Calibri"/>
          <w:color w:val="333333"/>
          <w:sz w:val="20"/>
          <w:szCs w:val="20"/>
        </w:rPr>
        <w:t> 28, no. 1 (1963): 58–59.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13.4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Statute of Frauds’ Main Purpose Doctrine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Wilson Floors Co. v. Sciota Park, Ltd., and Unit,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377 N.E.2d 514 (1978)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Sweeny,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of 1971, Wilson Floors Company (hereinafter “Wilson”) entered into a contract with Unit, Inc. (hereinafter “Unit”), a Texas corporation to furnish and install flooring materials for “The Cliffs” project, a development consisting of new apartments and an office building to be located in Columbus, Ohio. Unit…was the general manager for the project. The Pittsburgh National Bank (hereinafter the bank), as the construction lender for the project, held mortgages on The Cliffs property security for construction loans which the bank had made to Unit.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work progressed on the project Unit fell behind in making payments to Wilson for its completed work in the spring of 1973. At that time, the project was approximately two-thirds completed, the first mortgage money of seven million dollars having been fully dispersed by the bank to Unit. Appellant [Wilson] thereupon stopped work in May of 1973 and informed Unit that it would not continue until payments were forthcoming. On May 15, 1973, the bank conducted a meeting with the subcontractors in The Cliffs project, including Wilson.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meeting, the bank sought to determine whether it would be beneficial at that stage of the project to lend more money to Unit, foreclose on the mortgage and hire a new contractor to complete the work, or do nothing. Subcontractors were requested to furnish the bank an itemized account of what Unit owed them, and a cost estimate of future services necessary to complete their job contracts. Having reviewed the alternatives, the bank determined that it would be in its best interest to provide additional financing for the project. The bank reasoned that to foreclose on the mortgage and hire a new contractor at this stage of construction would result in higher costs.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conflicting testimony in regard to whether the bank made assurances to Wilson at this meeting that it would be paid for all work to be rendered on the project. However, after the May meeting, Wilson, along with the other subcontractors, did return to work.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Payments from Unit again were not forthcoming, resulting in a second work stoppage. The bank then arranged another meeting to be conducted on June 28, 1973.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this second meeting, there is conflicting testimony concerning the import of the statements made by the bank representative to the subcontractors. The bank representative who spoke at the meeting testified at trial that he had merely advised the subcontractors that adequate funds would be available to complete the job. However, two representatives of Wilson, also in attendance at the meeting, testified that the bank representative had assured Wilson that if it returned to work, it would be paid.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meeting, Wilson returned to work and continued to submit its progress billings to Unit for payment. Upon completion of its portion of The Cliffs project, Wilson submitted its final invoice of $15,584.50 to Unit. This amount was adjusted downward to $15,443.06 upon agreement of Unit and Wilson. However, Wilson was not paid this amount.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result of nonpayment, Wilson filed suit…against Unit and the bank to recover the $15,443.06 [about $60,700 in 2010 dollars]. On September 26, 1975, Wilson and Unit stipulated that judgment for the sum of $15,365.84, plus interest, be entered against Unit. When Unit failed to satisfy the judgment, appellant proceeded with its action against the bank. [The trial court decided in favor of Wilson, but the intermediate appellate court reversed the trial court decision.]…[The Ohio statute of frauds provides]: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action shall be brought whereby to charge the defendant, upon a special promise, to answer for the debt, default, or miscarriage of another person…unless the agreement…or some memorandum thereof, is in writing and signed by the party to be charged.…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paragraph one of </w:t>
      </w:r>
      <w:r>
        <w:rPr>
          <w:rFonts w:ascii="Georgia" w:eastAsia="Times New Roman" w:hAnsi="Georgia" w:cs="Calibri"/>
          <w:i/>
          <w:iCs/>
          <w:color w:val="333333"/>
          <w:sz w:val="20"/>
          <w:szCs w:val="20"/>
          <w:lang w:val="en"/>
        </w:rPr>
        <w:t>Crawford v. Edison</w:t>
      </w:r>
      <w:r>
        <w:rPr>
          <w:rFonts w:ascii="Georgia" w:eastAsia="Times New Roman" w:hAnsi="Georgia" w:cs="Calibri"/>
          <w:color w:val="333333"/>
          <w:sz w:val="20"/>
          <w:szCs w:val="20"/>
          <w:lang w:val="en"/>
        </w:rPr>
        <w:t> [an 1887 Ohio case], however, this court stated: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leading object of the promisor is, not to answer for another, but to subserve some pecuniary or business purpose of his own, involving a benefit to himself…his promise is not within the statute of frauds, although it may be in form a promise to pay the debt of another and its performance may incidentally have the effect of extinguishing that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long as the promisor undertakes to pay the subcontractor whatever his services are worth irrespective of what he may owe the general contractor and so long as the main purpose of the promisor is to further his own business or pecuniary interest, the promise is enforceable.…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facts in the instant case reflect that the bank made its guarantee to Wilson to subserve its own business interest of reducing costs to complete the project. Clearly, the bank induced Wilson to remain on the job and rely on its credit for future payments. To apply the statute of frauds and hold that the bank had no contractual duty to Wilson despite its oral guarantees would not prevent the wrong which the statute’s enactment was to prevent, but would in reality effectuate a wrong.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Therefore, this court affirms the finding of the Court of Common Pleas that the verbal agreement made by the bank is enforceable by Wilson, and reverses the judgment of the Court of Appeals.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2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exception to the Statute of Frauds in issue here is the main purpose doctrine. How does this doctrine relate to the concept of promissory estoppel?</w:t>
      </w:r>
    </w:p>
    <w:p w:rsidR="00A86150" w:rsidRDefault="00F714D4">
      <w:pPr>
        <w:numPr>
          <w:ilvl w:val="0"/>
          <w:numId w:val="32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was the main purpose behind the bank’s purported promise?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Statute of Frauds’ One-Year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Iacono v. Lyons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16 S.W.3d 92 (Texas Ct. App. 2000)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O’Connor,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Mary Iacono, the plaintiff below and appellant here, appeals from a take-nothing summary judgment rendered in favor of Carolyn Lyons, the defendant below and appellee here. We reverse and remand.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[Iacono] and defendant [Lyons] had been friends for almost 35 years. In late 1996, the defendant invited the plaintiff to join her on a trip to Las Vegas, Nevada. There is no dispute that the defendant paid all the expenses for the trip, including providing money for gambling.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contended she was invited to Las Vegas by the defendant because the defendant thought the plaintiff was lucky. Sometime before the trip, the plaintiff had a dream about winning on a Las Vegas slot machine. The plaintiff’s dream convinced her to go to Las Vegas, and she accepted the defendant’s offer to split “50-50” any gambling winnings.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February 1997, the plaintiff and defendant went to Las Vegas. They started playing the slot machines at Caesar’s Palace. The plaintiff contends that, after losing $47, the defendant wanted to leave to see a show. The plaintiff begged the defendant to stay, and the defendant agreed on the condition that she (the defendant) put the coins into the machines because doing so took the plaintiff too long. (The plaintiff, who suffers from advanced rheumatoid arthritis, was in a wheelchair.) The plaintiff agreed, and took the defendant to a dollar slot machine that looked like the machine in her dream. The machine did not pay on the first try. The plaintiff then said, “Just one more time,” and the defendant looked at the plaintiff and said, “This one’s for you, Puddin.”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slot machine paid $1,908,064. The defendant refused to share the winnings with the plaintiff, and denied they had an agreement to split any winnings. The defendant told Caesar’s Palace she was the sole winner and to pay her all the winnings.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sued the defendant for breach of contract. The defendant moved for summary judgment on the grounds that any oral agreement was unenforceable under the statute of frauds or was voidable for lack of consideration. The trial court rendered summary judgment in favor of the defendant.…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[Regarding the “consideration” argument:] The defendant asserted the agreement, if any, was voidable because there was no consideration. The defendant contended the plaintiff’s only contribution was the plaintiff’s dream of success in Las Vegas and her “luck.” The plaintiff asserted the defendant bargained with her to go to Las Vegas in return for intangibles that the defendant thought the plaintiff offered (good luck and the realization of the dream). The plaintiff said she gave up her right to remain in Houston in return for the agreement to split any winnings. The plaintiff also asserted the agreement was an exchange of promises.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alleged she promised to share one-half of her winnings with the defendant in exchange for the defendant’s promise to share one-half of her winnings with the plaintiff. These promises, if made, represent the respective benefits and detriments, or the bargained for exchange, necessary to satisfy the consideration requirement. </w:t>
      </w:r>
      <w:r>
        <w:rPr>
          <w:rFonts w:ascii="Georgia" w:eastAsia="Times New Roman" w:hAnsi="Georgia" w:cs="Calibri"/>
          <w:i/>
          <w:iCs/>
          <w:color w:val="333333"/>
          <w:sz w:val="20"/>
          <w:szCs w:val="20"/>
          <w:lang w:val="en"/>
        </w:rPr>
        <w:t>See</w:t>
      </w:r>
      <w:r>
        <w:rPr>
          <w:rFonts w:ascii="Georgia" w:eastAsia="Times New Roman" w:hAnsi="Georgia" w:cs="Calibri"/>
          <w:color w:val="333333"/>
          <w:sz w:val="20"/>
          <w:szCs w:val="20"/>
          <w:lang w:val="en"/>
        </w:rPr>
        <w:t> [Citation] (when no other consideration is shown, mutual obligations by the parties to the agreement will furnish sufficient consideration to constitute a binding contract).…[Regarding the Statute of Frauds argument:] The defendant asserted the agreement, if any, was unenforceable under the statute of frauds because it could not be performed within one year. There is no dispute that the winnings were to be paid over a period of 20 years.…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statute] does not apply if the contract, from its terms, could possibly be performed within a year—however improbable performance within one year may be. [Citations] [It bars] only oral contracts that cannot be completed within one year. [Citation] (If the agreement, either by its terms or by the nature of the required acts, cannot be performed within one year, it falls within the statute of frauds and must be in writing).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determine the applicability of the statute of frauds with indefinite contracts, this Court may use any reasonably clear method of ascertaining the intended length of performance. [Citation] The method is used to determine the parties’ intentions at the time of contracting. The fact that the entire performance within one year is not required, or expected, will not bring an agreement within the statute. </w:t>
      </w:r>
      <w:r>
        <w:rPr>
          <w:rFonts w:ascii="Georgia" w:eastAsia="Times New Roman" w:hAnsi="Georgia" w:cs="Calibri"/>
          <w:i/>
          <w:iCs/>
          <w:color w:val="333333"/>
          <w:sz w:val="20"/>
          <w:szCs w:val="20"/>
          <w:lang w:val="en"/>
        </w:rPr>
        <w:t>See</w:t>
      </w:r>
      <w:r>
        <w:rPr>
          <w:rFonts w:ascii="Georgia" w:eastAsia="Times New Roman" w:hAnsi="Georgia" w:cs="Calibri"/>
          <w:color w:val="333333"/>
          <w:sz w:val="20"/>
          <w:szCs w:val="20"/>
          <w:lang w:val="en"/>
        </w:rPr>
        <w:t>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without deciding that the parties agreed to share their gambling winnings, such an agreement possibly could have been performed within one year. For example, if the plaintiff and defendant had won $200, they probably would have received all the money in one pay-out and could have split the winnings immediately. Therefore, the defendant was not entitled to summary judgment based on her affirmative defense of the statute of frauds.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reverse the trial court’s judgment and remand for further proceedings.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defendant contended there was no consideration to support her alleged promise to split the winnings fifty-fifty. What consideration did the court find here?</w:t>
      </w:r>
    </w:p>
    <w:p w:rsidR="00A86150" w:rsidRDefault="00F714D4">
      <w:pPr>
        <w:numPr>
          <w:ilvl w:val="0"/>
          <w:numId w:val="3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defendant contended that the Statute of Frauds’ one-year rule prohibited the plaintiff from attempting to prove the existence of the alleged oral contract to split the winnings. What reasoning did the court give here as to why the statute did not apply?</w:t>
      </w:r>
    </w:p>
    <w:p w:rsidR="00A86150" w:rsidRDefault="00F714D4">
      <w:pPr>
        <w:numPr>
          <w:ilvl w:val="0"/>
          <w:numId w:val="32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this case, the court remanded the matter to the lower court. What has to happen there before plaintiff gets her money?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Parol Evidence Rule: Postcontract Modification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Hampden Real Estate, Inc. v. Metropolitan Management Group,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142 Fed. Appx. 600 (Fed. Ct. App. Pa. 2005)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Cowen,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has jurisdiction based on diversity of citizenship.]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Hampden Real Estate sold Metropolitan Management a residential property pursuant to an Agreement of Sale (the “Sale Agreement”). The Sale Agreement provided that the property would be sold for $3.7 million, that Metropolitan would assume Hampden’s mortgage on the building, and that Hampden would receive a credit in the amount of $120,549.78—the amount being held in escrow pursuant to the mortgage (the “Escrow Account Credit”).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 the execution of the Sale Agreement and the closing, the parties negotiated certain adjustments to the purchase price to compensate for required repairs. During these negotiations, the parties reviewed a draft and final Settlement Statement (the “Settlement Statement”), prepared by the closing agent, which did not list the Escrow Account Credit among the various debits and credits. A few weeks after the closing, Hampden demanded payment of the Escrow Account Credit.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Metropolitan’s refusal to pay the Escrow Account Credit, Hampden filed a complaint claiming breach of contract, unjust enrichment, and conversion. Metropolitan brought counterclaims for breach of contract, unjust enrichment, and fraudulent or negligent misrepresentation. Hampden brought a partial motion for summary judgment as to the breach of contract claim, which was granted and its unjust enrichment and conversion claims were dismissed as moot.…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correctly determined that the threshold issue is the role of the Settlement Statement, “based on both the intent of the parties and the custom and usage of the document.” However, the Court refused to consider extrinsic or parol evidence to determine the intent of the parties, reasoning that the parol evidence rule precluded such consideration absent ambiguity in the written contract. We find that the District Court misapplied the rule. The parol evidence rule seeks to preserve the integrity of written agreements by precluding the introduction of contemporaneous or prior declarations to alter the meaning of written agreements. [Citation] The rule does not apply, however, where a party seeks to introduce evidence of subsequent oral modifications. </w:t>
      </w:r>
      <w:r>
        <w:rPr>
          <w:rFonts w:ascii="Georgia" w:eastAsia="Times New Roman" w:hAnsi="Georgia" w:cs="Calibri"/>
          <w:i/>
          <w:iCs/>
          <w:color w:val="333333"/>
          <w:sz w:val="20"/>
          <w:szCs w:val="20"/>
          <w:lang w:val="en"/>
        </w:rPr>
        <w:t>See</w:t>
      </w:r>
      <w:r>
        <w:rPr>
          <w:rFonts w:ascii="Georgia" w:eastAsia="Times New Roman" w:hAnsi="Georgia" w:cs="Calibri"/>
          <w:color w:val="333333"/>
          <w:sz w:val="20"/>
          <w:szCs w:val="20"/>
          <w:lang w:val="en"/>
        </w:rPr>
        <w:t> [Citation:] a “written agreement may be modified by a subsequent written or oral agreement and this modification may be shown by writings or by words or by conduct or by all three. In such a situation the parol evidence rule is inapplicable.” Here, the parol evidence rule does not preclude testimony regarding the parties’ intention to alter the final purchase price by executing a Settlement Statement, after the execution of the Sale Agreement, which omitted the Escrow Account Credit.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cases cited by Hampden are not to the contrary as each involved the admissibility of prior negotiations to demonstrate misrepresentations made in the inducement of the contract. As example, the court in [Citation], held that “[i]f a party contends that a writing is not an accurate expression of the agreement between the parties, and that certain provisions were omitted therefrom, the parol evidence rule does not apply.” (Permitting the introduction of parol evidence to establish that the contract omitted provisions which appellees represented would be included in the writing).…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further held that the integration clause contained in the written contract supports the conclusion that the Settlement Statement, which mentioned neither the Escrow Account Credit nor that it was amending the Sale Agreement, is not a modification of the Sale Agreement. The Court explained that the outcome might be different if the Settlement Statement mentioned “the escrow credit but provided different details, but as the [Settlement Statement] in this case simply ignored the escrow credit, and both parties agree that there were no oral discussions regarding the escrow credit, the [Settlement Statement] cannot be said to modify the escrow credit provision in the Agreement of Sale.” We disagree.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well-settled law in Pennsylvania that a “written contract which is not for the sale of goods may be modified orally, even when the contract provides that modifications may only be made in writing.” [Citition] “The modification may be accomplished either by words or conduct,” [Citation] demonstrating that the parties intended to waive the requirement that amendments be made in writing. [Citation] An oral modification of a written contract must be proven by “clear, precise and convincing evidence.” [Citation] Viewing the evidence in the light most favorable to Metropolitan, we find that the District Court erred in concluding that there was insufficient evidence in the record to raise a genuine issue of material fact as to whether the parties intended to orally modify the Sale Agreement. Metropolitan introduced a Settlement Statement which omitted the Escrow Account Credit, while listing all other debits and credits and submitted an affidavit from its President who “reviewed the Draft Settlement Statement and understood that the Escrow Account Credit had been omitted as part of the ongoing negotiations between the parties concerning the amount of the credit to which Metropolitan was entitled” due to the poor condition of the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Accordingly, the District Court erred in granting summary judgment in favor of Hampden. At a minimum, there was a triable issue of fact concerning whether the Settlement Statement was intended to modify the prior written Sale Agreement and serve as the final and binding manifestation of the purchase price. Specifically, whether the parties intended to exclude the Escrow Account Credit from the purchase price as part of the negotiations to address Hampden’s failure to maintain the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2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contract had an integration clause. Why didn’t that bar admission of the subsequent oral modification to the contract?</w:t>
      </w:r>
    </w:p>
    <w:p w:rsidR="00A86150" w:rsidRDefault="00F714D4">
      <w:pPr>
        <w:numPr>
          <w:ilvl w:val="0"/>
          <w:numId w:val="32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rule of law was the plaintiff relying on in support of its contention that the original agreement should stand?</w:t>
      </w:r>
    </w:p>
    <w:p w:rsidR="00A86150" w:rsidRDefault="00F714D4">
      <w:pPr>
        <w:numPr>
          <w:ilvl w:val="0"/>
          <w:numId w:val="32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rule of law was the defendant relying on in support of its contention that the original agreement had been modified?</w:t>
      </w:r>
    </w:p>
    <w:p w:rsidR="00A86150" w:rsidRDefault="00F714D4">
      <w:pPr>
        <w:numPr>
          <w:ilvl w:val="0"/>
          <w:numId w:val="32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According to the defendant, how had the original agreement been modified, and why?</w:t>
      </w:r>
    </w:p>
    <w:p w:rsidR="00A86150" w:rsidRDefault="00F71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economic system mostly governed by contract, parties may not only make the kinds of deals they wish but may make them in any form they wish—with some significant exceptions. The most significant issue of form in contract law is whether the contract must be written or may be oral and still be enforceable. The question can be answered by paying close attention to the Statute of Frauds and court decisions interpreting it. In general, as we have seen, the following types of contracts must be in writing: interests in real property, promises to pay the debt of another, certain agreements of executors and administrators, performances that cannot be completed within one year, sale of goods for $500 or more, and sale of securities. There are exceptions to all these rules.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significant rule that permeates contract law is the parol evidence rule: prior statements, agreements, or promises, whether oral or written, made during the negotiation process are often discharged by a subsequent written agreement. No matter what you were promised before you signed on the dotted line, you are stuck if you sign an integrated agreement without the promise. Again, of course, exceptions lie in wait for the unwary: Is the agreement only partially integrated? Are there grounds to invalidate the entire agreement? Is the contract subject to an oral condition? Is a fact recited in the contract untrue?</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are not always clear and straightforward. Often they are murky and ambiguous. Interpreting them when the parties disagree is for the courts. To aid them in the task, the courts over the years have developed a series of guidelines such as these: Does the agreement have a plain meaning on its face? If there is an ambiguity, against whom should it be construed? Are there usages of trade or courses of dealing or performance that would help explain the terms?</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Plaintiff’s and Defendant’s cars crashed. Plaintiff hired an attorney, who negotiated with Defendant’s insurance adjuster. Plaintiff’s attorney claimed he and the adjuster reached an oral settlement, but the insurance company refused to honor it and filed for summary judgment, raising the Statute of Frauds’ suretyship provision as a defense: a promise by one person (the insurance company here) to pay the debts of another (the insured) must be evidenced by some writing, and there was no writing. Is the defense good? Explain.</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325"/>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Carlson purchased a parcel of real estate that was landlocked. Carlson called his neighbor, Peterson, and asked if he could use an abandoned drive on Peterson’s property to travel to his (Carlson’s) property from the highway. Peterson said, “Sure, anytime.” Later the two became engaged in a dispute, and Peterson blocked the drive. May Carlson enforce Peterson’s promise that he could use the drive “anytime”? Why?</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Silverman, who was elderly and somewhat disabled, lived alone on a farm. Silverman called Burch and said, “Burch, if you will move in with me and help me take care of the farm, it will be yours when I die.” Burch did as Silverman requested and on Silverman’s death two years later, claimed the farm on the basis of their oral agreement, but the estate resisted. Is Burch entitled to the farm? Why?</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February 12, Sally was hired to manage a company for a period of one year. She reported for work on February 26 but was fired two weeks later. She sued the owner of the company for breach of their one-year oral contract. May she recover? Why?</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Baker entered into an oral contract to sell her car to Clyde for $8,600. She delivered the car to Clyde; Clyde inspected it, found no problems, kept it for three days, but then refused to pay and now wants to return the car. Is the contract enforceable? Why?</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Wayne, a building contractor, built a new house and offered it for sale. A young couple accepted the offer, and the parties entered into an oral agreement covering all the terms of sale. The couple later tried to back out of the agreement. Wayne filed suit, and during the trial, the couple admitted making the contract. Is the contract enforceable? Why?</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leased commercial space from Defendant for a florist shop. After the lease was signed, Plaintiff learned that the county code allowed only one freestanding sign on the property, and one was already up, advertising Defendant’s business. Plaintiff claimed Defendant breached the lease by not providing them space for a sign; Defendant pointed to the lease, paragraph 16 of which provided that “Tenant shall not erect or install any sign…without written consent of the Landlord.” But Plaintiff claimed Defendant said during negotiations he could have a sign, evidence Defendant objected to based on the parol evidence rule. Defendant admitted that during negotiations he told Plaintiff that despite paragraph 16, he could have a sign (but not freestanding); that despite language in the lease requiring renovation plans to be in writing, they did not have to be. Defendant also testified that the written form lease he used was not drafted specifically for this property, and that although the lease required attachments of exhibits, there were no attachments. Is Plaintiff barred by the parol evidence rule from showing that Defendant said he could have a freestanding sign?</w:t>
      </w:r>
    </w:p>
    <w:p w:rsidR="00A86150" w:rsidRDefault="00F714D4">
      <w:pPr>
        <w:numPr>
          <w:ilvl w:val="0"/>
          <w:numId w:val="32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March 1, 2010, Milton talked to Harriet and, as Harriet claimed, said, “I will hire you as sales manager for one year at a salary of $57,000. You start next Monday, March 8.” Harriet agreed. Four months later Milton discharged Harriet and she sued, claiming breach of employment contract. Is the alleged contract enforceable?</w:t>
      </w:r>
    </w:p>
    <w:p w:rsidR="00A86150" w:rsidRDefault="00F714D4">
      <w:pPr>
        <w:numPr>
          <w:ilvl w:val="0"/>
          <w:numId w:val="32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 Booth’s Inc. sued Boyd-Scarp (a contractor) and James Rathmann for nonpayment following delivery of various appliances to Rathmann’s new home being built by Boyd-Scarp. Booth’s was aware that Boyd-Scarp was having financial problems and allegedly contacted Rathmann prior to delivery, asking him to guarantee payment. Evidence was adduced that Rathmann orally promised to pay in the event the builder did not and that the goods were then delivered. Rathmann denied any such promise, raising the Statute of Frauds, and Al Booth’s sued. Will Al Booth’s prevail?</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326"/>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a general rule</w:t>
      </w:r>
    </w:p>
    <w:p w:rsidR="00A86150" w:rsidRDefault="00F714D4">
      <w:pPr>
        <w:numPr>
          <w:ilvl w:val="1"/>
          <w:numId w:val="327"/>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do not have to be in writing to be enforceable</w:t>
      </w:r>
    </w:p>
    <w:p w:rsidR="00A86150" w:rsidRDefault="00F714D4">
      <w:pPr>
        <w:numPr>
          <w:ilvl w:val="1"/>
          <w:numId w:val="327"/>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that can be performed in one year must be in writing</w:t>
      </w:r>
    </w:p>
    <w:p w:rsidR="00A86150" w:rsidRDefault="00F714D4">
      <w:pPr>
        <w:numPr>
          <w:ilvl w:val="1"/>
          <w:numId w:val="327"/>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oral contracts are unenforceable</w:t>
      </w:r>
    </w:p>
    <w:p w:rsidR="00A86150" w:rsidRDefault="00F714D4">
      <w:pPr>
        <w:numPr>
          <w:ilvl w:val="1"/>
          <w:numId w:val="327"/>
        </w:numPr>
        <w:shd w:val="clear" w:color="auto" w:fill="E3EFF7"/>
        <w:spacing w:after="0" w:line="439" w:lineRule="atLeast"/>
        <w:ind w:left="90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suretyship agreement need not be in writing to be enforceable</w:t>
      </w:r>
    </w:p>
    <w:p w:rsidR="00A86150" w:rsidRDefault="00F714D4">
      <w:pPr>
        <w:numPr>
          <w:ilvl w:val="0"/>
          <w:numId w:val="327"/>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exception to the UCC Statute of Frauds provision is</w:t>
      </w:r>
    </w:p>
    <w:p w:rsidR="00A86150" w:rsidRDefault="00F714D4">
      <w:pPr>
        <w:pStyle w:val="ListParagraph"/>
        <w:numPr>
          <w:ilvl w:val="0"/>
          <w:numId w:val="32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one-year rule</w:t>
      </w:r>
    </w:p>
    <w:p w:rsidR="00A86150" w:rsidRDefault="00F714D4">
      <w:pPr>
        <w:pStyle w:val="ListParagraph"/>
        <w:numPr>
          <w:ilvl w:val="0"/>
          <w:numId w:val="32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reply doctrine</w:t>
      </w:r>
    </w:p>
    <w:p w:rsidR="00A86150" w:rsidRDefault="00F714D4">
      <w:pPr>
        <w:pStyle w:val="ListParagraph"/>
        <w:numPr>
          <w:ilvl w:val="0"/>
          <w:numId w:val="32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executor agreements</w:t>
      </w:r>
    </w:p>
    <w:p w:rsidR="00A86150" w:rsidRDefault="00F714D4">
      <w:pPr>
        <w:pStyle w:val="ListParagraph"/>
        <w:numPr>
          <w:ilvl w:val="0"/>
          <w:numId w:val="32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numPr>
          <w:ilvl w:val="0"/>
          <w:numId w:val="329"/>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Rules that require certain contracts to be in writing are found in</w:t>
      </w:r>
    </w:p>
    <w:p w:rsidR="00A86150" w:rsidRDefault="00F714D4">
      <w:pPr>
        <w:pStyle w:val="ListParagraph"/>
        <w:numPr>
          <w:ilvl w:val="0"/>
          <w:numId w:val="33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 statutory law</w:t>
      </w:r>
    </w:p>
    <w:p w:rsidR="00A86150" w:rsidRDefault="00F714D4">
      <w:pPr>
        <w:pStyle w:val="ListParagraph"/>
        <w:numPr>
          <w:ilvl w:val="0"/>
          <w:numId w:val="33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UCC</w:t>
      </w:r>
    </w:p>
    <w:p w:rsidR="00A86150" w:rsidRDefault="00F714D4">
      <w:pPr>
        <w:pStyle w:val="ListParagraph"/>
        <w:numPr>
          <w:ilvl w:val="0"/>
          <w:numId w:val="33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Statute of Frauds</w:t>
      </w:r>
    </w:p>
    <w:p w:rsidR="00A86150" w:rsidRDefault="00F714D4">
      <w:pPr>
        <w:pStyle w:val="ListParagraph"/>
        <w:numPr>
          <w:ilvl w:val="0"/>
          <w:numId w:val="33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numPr>
          <w:ilvl w:val="0"/>
          <w:numId w:val="331"/>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parol evidence rule</w:t>
      </w:r>
    </w:p>
    <w:p w:rsidR="00A86150" w:rsidRDefault="00F714D4">
      <w:pPr>
        <w:pStyle w:val="ListParagraph"/>
        <w:numPr>
          <w:ilvl w:val="0"/>
          <w:numId w:val="33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applies only when contracts must be in writing</w:t>
      </w:r>
    </w:p>
    <w:p w:rsidR="00A86150" w:rsidRDefault="00F714D4">
      <w:pPr>
        <w:pStyle w:val="ListParagraph"/>
        <w:numPr>
          <w:ilvl w:val="0"/>
          <w:numId w:val="33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not apply to real estate contracts</w:t>
      </w:r>
    </w:p>
    <w:p w:rsidR="00A86150" w:rsidRDefault="00F714D4">
      <w:pPr>
        <w:pStyle w:val="ListParagraph"/>
        <w:numPr>
          <w:ilvl w:val="0"/>
          <w:numId w:val="33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states that a written contract discharges all prior or contemporaneous promises that add to, vary, or conflict with it</w:t>
      </w:r>
    </w:p>
    <w:p w:rsidR="00A86150" w:rsidRDefault="00F714D4">
      <w:pPr>
        <w:pStyle w:val="ListParagraph"/>
        <w:numPr>
          <w:ilvl w:val="0"/>
          <w:numId w:val="33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designed to hold parties to promises they made during negotiations</w:t>
      </w:r>
    </w:p>
    <w:p w:rsidR="00A86150" w:rsidRDefault="00F714D4">
      <w:pPr>
        <w:numPr>
          <w:ilvl w:val="0"/>
          <w:numId w:val="333"/>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merger clause</w:t>
      </w:r>
    </w:p>
    <w:p w:rsidR="00A86150" w:rsidRDefault="00F714D4">
      <w:pPr>
        <w:pStyle w:val="ListParagraph"/>
        <w:numPr>
          <w:ilvl w:val="0"/>
          <w:numId w:val="33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required when goods are sold for $500 or more</w:t>
      </w:r>
    </w:p>
    <w:p w:rsidR="00A86150" w:rsidRDefault="00F714D4">
      <w:pPr>
        <w:pStyle w:val="ListParagraph"/>
        <w:numPr>
          <w:ilvl w:val="0"/>
          <w:numId w:val="33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used when two parcels of real estate are sold in the same contract</w:t>
      </w:r>
    </w:p>
    <w:p w:rsidR="00A86150" w:rsidRDefault="00F714D4">
      <w:pPr>
        <w:pStyle w:val="ListParagraph"/>
        <w:numPr>
          <w:ilvl w:val="0"/>
          <w:numId w:val="33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invalidates a contract for the sale of securities</w:t>
      </w:r>
    </w:p>
    <w:p w:rsidR="00A86150" w:rsidRDefault="00F714D4">
      <w:pPr>
        <w:pStyle w:val="ListParagraph"/>
        <w:numPr>
          <w:ilvl w:val="0"/>
          <w:numId w:val="334"/>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evidences an intention that the written contract is the parties’ full understanding</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33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3"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Kozlowski v. Kozlowski</w:t>
      </w:r>
      <w:r>
        <w:rPr>
          <w:rFonts w:ascii="Calibri" w:eastAsia="Times New Roman" w:hAnsi="Calibri" w:cs="Calibri"/>
          <w:color w:val="333333"/>
          <w:sz w:val="20"/>
          <w:szCs w:val="20"/>
        </w:rPr>
        <w:t>, 395 A.2d 913 (N.J. 1978).</w: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14</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4"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Third-Party Rights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336"/>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assignment of contract rights is made and how it operates</w:t>
      </w:r>
    </w:p>
    <w:p w:rsidR="00A86150" w:rsidRDefault="00F714D4">
      <w:pPr>
        <w:numPr>
          <w:ilvl w:val="0"/>
          <w:numId w:val="336"/>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delegation of duties is and how it operates</w:t>
      </w:r>
    </w:p>
    <w:p w:rsidR="00A86150" w:rsidRDefault="00F714D4">
      <w:pPr>
        <w:numPr>
          <w:ilvl w:val="0"/>
          <w:numId w:val="336"/>
        </w:numPr>
        <w:shd w:val="clear" w:color="auto" w:fill="EAE9DC"/>
        <w:tabs>
          <w:tab w:val="clear" w:pos="720"/>
          <w:tab w:val="num" w:pos="144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a person not a party to a contract can enforce it</w:t>
      </w:r>
    </w:p>
    <w:p w:rsidR="00A86150" w:rsidRDefault="00F714D4">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this point, we have focused on the rights and duties of the two parties to the contract. In this chapter, we turn our attention to contracts in which outsiders acquire rights or duties or both. Three types of outsiders merit examination:</w:t>
      </w:r>
    </w:p>
    <w:p w:rsidR="00A86150" w:rsidRDefault="00F714D4">
      <w:pPr>
        <w:pStyle w:val="ListParagraph"/>
        <w:numPr>
          <w:ilvl w:val="0"/>
          <w:numId w:val="33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Assignees (outsiders who acquire rights after the contract is made)</w:t>
      </w:r>
    </w:p>
    <w:p w:rsidR="00A86150" w:rsidRDefault="00F714D4">
      <w:pPr>
        <w:pStyle w:val="ListParagraph"/>
        <w:numPr>
          <w:ilvl w:val="0"/>
          <w:numId w:val="33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Delegatees (outsiders who acquire duties after the contract is made)</w:t>
      </w:r>
    </w:p>
    <w:p w:rsidR="00A86150" w:rsidRDefault="00F714D4">
      <w:pPr>
        <w:pStyle w:val="ListParagraph"/>
        <w:numPr>
          <w:ilvl w:val="0"/>
          <w:numId w:val="33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Third-party beneficiaries (outsiders who acquire rights when the original contract is made)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14.1 Assignment of Contract Rights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38"/>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an assignment is and how it is made.</w:t>
      </w:r>
    </w:p>
    <w:p w:rsidR="00A86150" w:rsidRDefault="00F714D4">
      <w:pPr>
        <w:numPr>
          <w:ilvl w:val="0"/>
          <w:numId w:val="338"/>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effect of the assignment.</w:t>
      </w:r>
    </w:p>
    <w:p w:rsidR="00A86150" w:rsidRDefault="00F714D4">
      <w:pPr>
        <w:numPr>
          <w:ilvl w:val="0"/>
          <w:numId w:val="338"/>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when assignments are not allowed.</w:t>
      </w:r>
    </w:p>
    <w:p w:rsidR="00A86150" w:rsidRDefault="00F714D4">
      <w:pPr>
        <w:numPr>
          <w:ilvl w:val="0"/>
          <w:numId w:val="338"/>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concept of assignor’s warranties.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Concept of a Contract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create rights and duties. By an assignment, an obligee (one who has the right to receive a contract benefit) transfers a right to receive a contract benefit owed by the obligor (the one who has a duty to perform) to a third person (assignee); the obligee then becomes an assignor (one who makes an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(Second) of Contracts defines an assignment of a right as “a manifestation of the assignor’s intention to transfer it by virtue of which the assignor’s right to performance by the obligor is extinguished in whole or in part and the assignee acquires the right to such performance.”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one who makes the assignment is both an obligee and a transferor. The assignee acquires the right to receive the contractual obligations of the promisor, who is referred to as the obligor (see </w:t>
      </w:r>
      <w:r>
        <w:rPr>
          <w:rFonts w:ascii="Georgia" w:eastAsia="Times New Roman" w:hAnsi="Georgia" w:cs="Calibri"/>
          <w:color w:val="2689C6"/>
          <w:sz w:val="20"/>
          <w:szCs w:val="20"/>
          <w:lang w:val="en"/>
        </w:rPr>
        <w:t>Figure 14.1 "Assignment of Rights"</w:t>
      </w:r>
      <w:r>
        <w:rPr>
          <w:rFonts w:ascii="Georgia" w:eastAsia="Times New Roman" w:hAnsi="Georgia" w:cs="Calibri"/>
          <w:color w:val="333333"/>
          <w:sz w:val="20"/>
          <w:szCs w:val="20"/>
          <w:lang w:val="en"/>
        </w:rPr>
        <w:t>). The assignor may assign any right unless (1) doing so would materially change the obligation of the obligor, materially burden him, increase his risk, or otherwise diminish the value to him of the original contract; (2) statute or public policy forbids the assignment; or (3) the contract itself precludes assignment. The common law of contracts and Articles 2 and 9 of the Uniform Commercial Code (UCC) govern assignments. Assignments are an important part of business financing, such as factoring. Afactor is one who purchases the right to receive income from another.</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14.1</w:t>
      </w:r>
      <w:r>
        <w:rPr>
          <w:rFonts w:ascii="Georgia" w:eastAsia="Times New Roman" w:hAnsi="Georgia" w:cs="Calibri"/>
          <w:i/>
          <w:iCs/>
          <w:color w:val="BB9966"/>
          <w:sz w:val="21"/>
          <w:szCs w:val="21"/>
          <w:lang w:val="en"/>
        </w:rPr>
        <w:t> Assignment of Rights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581275"/>
            <wp:effectExtent l="0" t="0" r="0" b="9525"/>
            <wp:docPr id="69" name="Picture 13" descr="http://images.flatworldknowledge.com/mayerlawentrep/mayerlawentrep-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lawentrep/mayerlawentrep-fig14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Method of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Manifesting Assent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effect an assignment, the assignor must make known his intention to transfer the rights to the third person. The assignor’s intention must be that the assignment is effective without need of any further action or any further manifestation of intention to make the assignment. In other words, the assignor must intend and understand himself to be making the assignment then and there; he is not promising to make the assignment sometime in the future.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UCC, any assignments of rights in excess of $5,000 must be in writing, but otherwise, assignments can be oral and consideration is not required: the assignor could assign the right to the assignee for nothing (not likely in commercial transactions, of course). Mrs. Franklin has the right to receive $750 a month from the sale of a house she formerly owned; she assigns the right to receive the money to her son Jason, as a gift. The assignment is good, though such a gratuitous assignment is usually revocable, which is not the case where consideration has been paid for an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Acceptance and Revocation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assignment to become effective, the assignee must manifest his acceptance under most circumstances. This is done automatically when, as is usually the case, the assignee has given consideration for the assignment (i.e., there is a contract between the assignor and the assignee in which the assignment is the assignor’s consideration), and then the assignment is not revocable without the assignee’s consent. Problems of acceptance normally arise only when the assignor intends the assignment as a gift. Then, for the assignment to be irrevocable, either the assignee must manifest his acceptance or the assignor must notify the assignee in writing of the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to the obligor is not required, but an obligor who renders performance to the assignor without notice of the assignment (that performance of the contract is to be rendered now to the assignee) is discharged. Obviously, the assignor cannot then keep the consideration he has received; he owes it to the assignee. But if notice is given to the obligor and she performs to the assignor anyway, the assignee can recover from either the obligor or the assignee, so the obligor could have to perform twice, as in Exercise 2 at the chapter’s end, </w:t>
      </w:r>
      <w:r>
        <w:rPr>
          <w:rFonts w:ascii="Georgia" w:eastAsia="Times New Roman" w:hAnsi="Georgia" w:cs="Calibri"/>
          <w:i/>
          <w:iCs/>
          <w:color w:val="333333"/>
          <w:sz w:val="20"/>
          <w:szCs w:val="20"/>
          <w:lang w:val="en"/>
        </w:rPr>
        <w:t>Aldana v. Colonial Palms Plaza</w:t>
      </w:r>
      <w:r>
        <w:rPr>
          <w:rFonts w:ascii="Georgia" w:eastAsia="Times New Roman" w:hAnsi="Georgia" w:cs="Calibri"/>
          <w:color w:val="333333"/>
          <w:sz w:val="20"/>
          <w:szCs w:val="20"/>
          <w:lang w:val="en"/>
        </w:rPr>
        <w:t>. Of course, an obligor who receives notice of the assignment from the assignee will want to be sure the assignment has really occurred. After all, anybody could waltz up to the obligor and say, “I’m the assignee of your contract with the bank. From now on, pay me the $500 a month, not the bank.” The obligor is entitled to verification of the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Effect of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assignment of rights effectively makes the assignee stand in the shoes of the assignor. He gains all the rights against the obligor that the assignor had, but no more. An obligor who could avoid the assignor’s attempt to enforce the rights could avoid a similar attempt by the assignee. Likewise, under UCC Section 9-318(1), the assignee of an account is subject to all terms of the contract between the debtor and the creditor-assignor. Suppose Dealer sells a car to Buyer on a contract where Buyer is to pay $300 per month and the car is warranted for 50,000 miles. If the car goes on the fritz before then and Dealer won’t fix it, Buyer could fix it for, say, $250 and deduct that $250 from the amount owed Dealer on the next installment (called a setoff). Now, if Dealer assigns the contract to Assignee, Assignee stands in Dealer’s shoes, and Buyer could likewise deduct the $250 from payment to Assignee.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Exceptions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“shoe rule” does not apply to two types of assignments. First, it is inapplicable to the sale of a negotiable instrument to a holder in due course. Second, the rule may be waived: under the UCC and at common law, the obligor may agree in the original contract not to raise defenses against the assignee that could have been raised against the assignor.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While a waiver of defenses makes the assignment more marketable from the assignee’s point of view, it is a situation fraught with peril to an obligor, who may sign a contract without understanding the full import of the waiver. Under the waiver rule, for example, a farmer who buys a tractor on credit and discovers later that it does not work would still be required to pay a credit company that purchased the contract; his defense that the merchandise was shoddy would be unavailing (he would, as used to be said, be “having to pay on a dead horse”).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that reason, there are various rules that limit both the holder in due course and the waiver rule. Certain defenses, the so-called real defenses (infancy, duress, and fraud in the execution, among others), may always be asserted. Also, the waiver clause in the contract must have been presented in good faith, and if the assignee has actual notice of a defense that the buyer or lessee could raise, then the waiver is ineffective. Moreover, in consumer transactions, the UCC’s rule is subject to state laws that protect consumers (people buying things used primarily for personal, family, or household purposes), and many states, by statute or court decision, have made waivers of defenses ineffective in suchconsumer transactions. Federal Trade Commission regulations also affect the ability of many sellers to pass on rights to assignees free of defenses that buyers could raise against them. Because of these various limitations on the holder in due course and on waivers, the “shoe rule” will not govern in consumer transactions and, if there are real defenses or the assignee does not act in good faith, in business transactions as well.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When Assignments Are Not Allowed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rule—as previously noted—is that most contract rights are assignable. But there are exceptions. Five of them are noted here.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Material Change in Duties of the Obligor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an assignment has the effect of materially changing the duties that the obligor must perform, it is ineffective. Changing the party to whom the obligor must make a payment is not a material change of duty that will defeat an assignment, since that, of course, is the purpose behind most assignments. Nor will a minor change in the duties the obligor must perform defeat the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Several residents in the town of Centerville sign up on an annual basis with the Centerville </w:t>
      </w:r>
      <w:r>
        <w:rPr>
          <w:rFonts w:ascii="Georgia" w:eastAsia="Times New Roman" w:hAnsi="Georgia" w:cs="Calibri"/>
          <w:i/>
          <w:iCs/>
          <w:color w:val="333333"/>
          <w:sz w:val="20"/>
          <w:szCs w:val="20"/>
          <w:lang w:val="en"/>
        </w:rPr>
        <w:t>Times</w:t>
      </w:r>
      <w:r>
        <w:rPr>
          <w:rFonts w:ascii="Georgia" w:eastAsia="Times New Roman" w:hAnsi="Georgia" w:cs="Calibri"/>
          <w:color w:val="333333"/>
          <w:sz w:val="20"/>
          <w:szCs w:val="20"/>
          <w:lang w:val="en"/>
        </w:rPr>
        <w:t> to receive their morning paper. A customer who is moving out of town may assign his right to receive the paper to someone else within the delivery route. As long as the assignee pays for the paper, the assignment is effective; the only relationship the obligor has to the assignee is a routine delivery in exchange for payment. Obligors can consent in the original contract, however, to a subsequent assignment of duties. Here is a clause from the World Team Tennis League contract: “It is mutually agreed that the Club shall have the right to sell, assign, trade and transfer this contract to another Club in the League, and the Player agrees to accept and be bound by such sale, exchange, assignment or transfer and to faithfully perform and carry out his or her obligations under this contract as if it had been entered into by the Player and such other Club.” Consent is not necessary when the contract does not involve a personal relationship.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Assignment of Personal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it matters to the obligor who receives the benefit of his duty to perform under the contract, then the receipt of the benefit is a personal right that cannot be assigned. For example, a student seeking to earn pocket money during the school year signs up to do research work for a professor she admires and with whom she is friendly. The professor assigns the contract to one of his colleagues with whom the student does not get along. The assignment is ineffective because it matters to the student (the obligor) who the person of the assignee is. An insurance company provides auto insurance covering Mohammed Kareem, a sixty-five-year-old man who drives very carefully. Kareem cannot assign the contract to his seventeen-year-old grandson because it matters to the insurance company who the person of its insured is. Tenants usually cannot assign (sublet) their tenancies without the landlord’s permission because it matters to the landlord who the person of their tenant is. </w:t>
      </w:r>
      <w:r>
        <w:rPr>
          <w:rFonts w:ascii="Georgia" w:eastAsia="Times New Roman" w:hAnsi="Georgia" w:cs="Calibri"/>
          <w:color w:val="2689C6"/>
          <w:sz w:val="20"/>
          <w:szCs w:val="20"/>
          <w:lang w:val="en"/>
        </w:rPr>
        <w:t>Section 14.4.1 "Nonassignable Rights"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Nassau Hotel Co. v. Barnett &amp; Barse Corp.</w:t>
      </w:r>
      <w:r>
        <w:rPr>
          <w:rFonts w:ascii="Georgia" w:eastAsia="Times New Roman" w:hAnsi="Georgia" w:cs="Calibri"/>
          <w:color w:val="333333"/>
          <w:sz w:val="20"/>
          <w:szCs w:val="20"/>
          <w:lang w:val="en"/>
        </w:rPr>
        <w:t>, is an example of the nonassignability of a personal right.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Assignment Forbidden by Statute or Public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Various federal and state laws prohibit or regulate some contract assignment. The assignment of future wages is regulated by state and federal law to protect people from improvidently denying themselves future income because of immediate present financial difficulties. And even in the absence of statute, public policy might prohibit some assignments.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Contracts That Prohibit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Assignability of contract rights is useful, and prohibitions against it are not generally favored. Many contracts contain general language that prohibits assignment of rights or of “the contract.” Both the Restatement and UCC Section 2-210(3) declare that in the absence of any contrary circumstances, a provision in the agreement that prohibits assigning “the contract” bars “only the delegation to the assignee of the assignor’s performance.”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In other words, unless the contract specifically prohibits assignment of any of its terms, a party is free to assign anything except his or her own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a contractual provision explicitly prohibits it, a right to damages for breach of the whole contract is assignable under UCC Section 2-210(2) in contracts for goods. Likewise, UCC Section 9-318(4) invalidates any contract provision that prohibits assigning sums already due or to become due. Indeed, in some states, at common law, a clause specifically prohibiting assignment will fail. For example, the buyer and the seller agree to the sale of land and to a provision barring assignment of the rights under the contract. The buyer pays the full price, but the seller refuses to convey. The buyer then assigns to her friend the right to obtain title to the land from the seller. The latter’s objection that the contract precludes such an assignment will fall on deaf ears in some states; the assignment is effective, and the friend may sue for the title.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Future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distinguishes between assigning future rights under an existing contract and assigning rights that will arise from a future contract. Rights contingent on a future event can be assigned in exactly the same manner as existing rights, as long as the contingent rights are already incorporated in a contract. Ben has a long-standing deal with his neighbor, Mrs. Robinson, to keep the latter’s walk clear of snow at twenty dollars a snowfall. Ben is saving his money for a new printer, but when he is eighty dollars shy of the purchase price, he becomes impatient and cajoles a friend into loaning him the balance. In return, Ben assigns his friend the earnings from the next four snowfalls. The assignment is effective. However, a right that will arise from a future contract cannot be the subject of a present assignment.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Partial Assignments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assignor may assign part of a contractual right, but only if the obligor can perform that part of his contractual obligation separately from the remainder of his obligation. Assignment of part of a payment due is always enforceable. However, if the obligor objects, neither the assignor nor the assignee may sue him unless both are party to the suit. Mrs. Robinson owes Ben one hundred dollars. Ben assigns fifty dollars of that sum to his friend. Mrs. Robinson is perplexed by this assignment and refuses to pay until the situation is explained to her satisfaction. The friend brings suit against Mrs. Robinson. The court cannot hear the case unless Ben is also a party to the suit. This ensures all parties to the dispute are present at once and avoids multiple lawsuits.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Successive Assignments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happen that an assignor assigns the same interest twice (see </w:t>
      </w:r>
      <w:r>
        <w:rPr>
          <w:rFonts w:ascii="Georgia" w:eastAsia="Times New Roman" w:hAnsi="Georgia" w:cs="Calibri"/>
          <w:color w:val="2689C6"/>
          <w:sz w:val="20"/>
          <w:szCs w:val="20"/>
          <w:lang w:val="en"/>
        </w:rPr>
        <w:t>Figure 14.2 "Successive Assignments"</w:t>
      </w:r>
      <w:r>
        <w:rPr>
          <w:rFonts w:ascii="Georgia" w:eastAsia="Times New Roman" w:hAnsi="Georgia" w:cs="Calibri"/>
          <w:color w:val="333333"/>
          <w:sz w:val="20"/>
          <w:szCs w:val="20"/>
          <w:lang w:val="en"/>
        </w:rPr>
        <w:t>). With certain exceptions, the first assignee takes precedence over any subsequent assignee. One obvious exception is when the first assignment is ineffective or revocable. A subsequent assignment has the effect of revoking a prior assignment that is ineffective or revocable. Another exception: if in good faith the subsequent assignee gives consideration for the assignment and has no knowledge of the prior assignment, he takes precedence whenever he obtains payment from, performance from, or a judgment against the obligor, or whenever he receives some tangible evidence from the assignor that the right has been assigned (e.g., a bank deposit book or an insurance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states follow the different English rule: the first assignee to give notice to the obligor has priority, regardless of the order in which the assignments were made. Furthermore, if the assignment falls within the filing requirements of UCC Article 9 (see </w:t>
      </w:r>
      <w:r>
        <w:rPr>
          <w:rFonts w:ascii="Georgia" w:eastAsia="Times New Roman" w:hAnsi="Georgia" w:cs="Calibri"/>
          <w:color w:val="2689C6"/>
          <w:sz w:val="20"/>
          <w:szCs w:val="20"/>
          <w:lang w:val="en"/>
        </w:rPr>
        <w:t>Chapter 33 "Secured Transactions and Suretyship"</w:t>
      </w:r>
      <w:r>
        <w:rPr>
          <w:rFonts w:ascii="Georgia" w:eastAsia="Times New Roman" w:hAnsi="Georgia" w:cs="Calibri"/>
          <w:color w:val="333333"/>
          <w:sz w:val="20"/>
          <w:szCs w:val="20"/>
          <w:lang w:val="en"/>
        </w:rPr>
        <w:t>), the first assignee to file will prevail.</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14.2</w:t>
      </w:r>
      <w:r>
        <w:rPr>
          <w:rFonts w:ascii="Georgia" w:eastAsia="Times New Roman" w:hAnsi="Georgia" w:cs="Calibri"/>
          <w:i/>
          <w:iCs/>
          <w:color w:val="BB9966"/>
          <w:sz w:val="21"/>
          <w:szCs w:val="21"/>
          <w:lang w:val="en"/>
        </w:rPr>
        <w:t> Successive Assignments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885950"/>
            <wp:effectExtent l="0" t="0" r="0" b="0"/>
            <wp:docPr id="70" name="Picture 14" descr="http://images.flatworldknowledge.com/mayerlawentrep/mayerlawentrep-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mayerlawentrep/mayerlawentrep-fig14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885950"/>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Assignor’s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assignor has legal responsibilities in making assignments. He cannot blithely assign the same interests pell-mell and escape liability. Unless the contract explicitly states to the contrary, a person who assigns a right for value makes certain assignor’s warranties to the assignee: that he will not upset the assignment, that he has the right to make it, and that there are no defenses that will defeat it. However, the assignor does not guarantee payment; assignment does not by itself amount to a warranty that the obligor is solvent or will perform as agreed in the original contract. Mrs. Robinson owes Ben fifty dollars. Ben assigns this sum to his friend. Before the friend collects, Ben releases Mrs. Robinson from her obligation. The friend may sue Ben for the fifty dollars. Or again, if Ben represents to his friend that Mrs. Robinson owes him (Ben) fifty dollars and assigns his friend that amount, but in fact Mrs. Robinson does not owe Ben that much, then Ben has breached his assignor’s warranty. The assignor’s warranties may be express or implied.</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Generally, it is OK for an obligee to assign the right to receive contractual performance from the obligor to a third party. The effect of the assignment is to make the assignee stand in the shoes of the assignor, taking all the latter’s rights and all the defenses against nonperformance that the obligor might raise against the assignor. But the obligor may agree in advance to waive defenses against the assignee, unless such waiver is prohibited by law.</w:t>
      </w:r>
    </w:p>
    <w:p w:rsidR="00A86150" w:rsidRDefault="00F714D4">
      <w:pPr>
        <w:shd w:val="clear" w:color="auto" w:fill="ECF9EA"/>
        <w:spacing w:before="150"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some exceptions to the rule that contract rights are assignable. Some, such as personal rights, are not circumstances where the obligor’s duties would materially change, cases where assignability is forbidden by statute or public policy, or, with some limits, cases where the contract itself prohibits assignment. Partial assignments and successive assignments can happen, and rules govern the resolution of problems arising from them.</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the assignor makes the assignment, that person makes certain warranties, express or implied, to the assignee, basically to the effect that the assignment is good and the assignor knows of no reason why the assignee will not get performance from the obligor.</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3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Able makes a valid assignment to Baker of his contract to receive monthly rental payments from Tenant, how is Baker’s right different from what Able’s was?</w:t>
      </w:r>
    </w:p>
    <w:p w:rsidR="00A86150" w:rsidRDefault="00F714D4">
      <w:pPr>
        <w:numPr>
          <w:ilvl w:val="0"/>
          <w:numId w:val="339"/>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Able made a valid assignment to Baker of his contract to receive monthly purchase payments from Carr, who bought an automobile from Able. The car had a 180-day warranty, but the car malfunctioned within that time. Able had quit the auto business entirely. May Carr withhold payments from Baker to offset the cost of needed repairs?</w:t>
      </w:r>
    </w:p>
    <w:p w:rsidR="00A86150" w:rsidRDefault="00F714D4">
      <w:pPr>
        <w:numPr>
          <w:ilvl w:val="0"/>
          <w:numId w:val="33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in the case in Exercise 2 that Baker knew Able was selling defective cars just before his (Able’s) withdrawal from the auto business. How, if at all, does that change Baker’s rights?</w:t>
      </w:r>
    </w:p>
    <w:p w:rsidR="00A86150" w:rsidRDefault="00F714D4">
      <w:pPr>
        <w:numPr>
          <w:ilvl w:val="0"/>
          <w:numId w:val="33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leases generally not assignable? Why are insurance contracts not assignable?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317(1).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9-206.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322.</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14.2</w:t>
      </w:r>
      <w:r>
        <w:rPr>
          <w:rFonts w:ascii="Calibri" w:eastAsia="Times New Roman" w:hAnsi="Calibri" w:cs="Calibri"/>
          <w:b/>
          <w:bCs/>
          <w:color w:val="333333"/>
          <w:sz w:val="36"/>
          <w:szCs w:val="36"/>
        </w:rPr>
        <w:t> Delegation of Duties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340"/>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a delegation of duty is.</w:t>
      </w:r>
    </w:p>
    <w:p w:rsidR="00A86150" w:rsidRDefault="00F714D4">
      <w:pPr>
        <w:numPr>
          <w:ilvl w:val="0"/>
          <w:numId w:val="340"/>
        </w:numPr>
        <w:shd w:val="clear" w:color="auto" w:fill="EAE9DC"/>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how liability remains on the delegator following a delegation.</w:t>
      </w:r>
    </w:p>
    <w:p w:rsidR="00A86150" w:rsidRDefault="00F714D4">
      <w:pPr>
        <w:numPr>
          <w:ilvl w:val="0"/>
          <w:numId w:val="340"/>
        </w:numPr>
        <w:shd w:val="clear" w:color="auto" w:fill="EAE9DC"/>
        <w:tabs>
          <w:tab w:val="clear" w:pos="720"/>
          <w:tab w:val="num" w:pos="10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duties may not be delegated.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Basic Rules Regarding Delegation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General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this point, we have been considering the assignment of the assignor’s rights (usually, though not solely, to money payments). But in every contract, a right connotes a corresponding duty, and these may be delegated. A delegation is the transfer to a third party of the duty to perform under a contract. The one who delegates is the delegator. Because most obligees are also obligors, most assignments of rights will simultaneously carry with them the delegation of duties. Unless public policy or the contract itself bars the delegation, it is legally enforceable.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most states, at common law, duties must be expressly delegated. Under Uniform Commercial Code (UCC) Section 2-210(4) and in a minority of states at common law (as illustrated in </w:t>
      </w:r>
      <w:r>
        <w:rPr>
          <w:rFonts w:ascii="Georgia" w:eastAsia="Times New Roman" w:hAnsi="Georgia" w:cs="Calibri"/>
          <w:color w:val="2689C6"/>
          <w:sz w:val="20"/>
          <w:szCs w:val="20"/>
        </w:rPr>
        <w:t>Section 14.4.2 "Assignment Includes Delegation"</w:t>
      </w:r>
      <w:r>
        <w:rPr>
          <w:rFonts w:ascii="Georgia" w:eastAsia="Times New Roman" w:hAnsi="Georgia" w:cs="Calibri"/>
          <w:color w:val="333333"/>
          <w:sz w:val="20"/>
          <w:szCs w:val="20"/>
        </w:rPr>
        <w:t>,</w:t>
      </w:r>
      <w:r>
        <w:rPr>
          <w:rFonts w:ascii="Georgia" w:eastAsia="Times New Roman" w:hAnsi="Georgia" w:cs="Calibri"/>
          <w:i/>
          <w:iCs/>
          <w:color w:val="333333"/>
          <w:sz w:val="20"/>
          <w:szCs w:val="20"/>
        </w:rPr>
        <w:t>Rose v. Vulcan Materials Co.</w:t>
      </w:r>
      <w:r>
        <w:rPr>
          <w:rFonts w:ascii="Georgia" w:eastAsia="Times New Roman" w:hAnsi="Georgia" w:cs="Calibri"/>
          <w:color w:val="333333"/>
          <w:sz w:val="20"/>
          <w:szCs w:val="20"/>
        </w:rPr>
        <w:t>), an assignment of “the contract” or of “all my rights under the contract” is not only an assignment of rights but also a delegation of duties to be performed; by accepting the assignment, thedelegatee (one to whom the delegation is made) implies a promise to perform the duties. (See </w:t>
      </w:r>
      <w:r>
        <w:rPr>
          <w:rFonts w:ascii="Georgia" w:eastAsia="Times New Roman" w:hAnsi="Georgia" w:cs="Calibri"/>
          <w:color w:val="2689C6"/>
          <w:sz w:val="20"/>
          <w:szCs w:val="20"/>
        </w:rPr>
        <w:t>Figure 14.3 "Delegation of Duties"</w:t>
      </w:r>
      <w:r>
        <w:rPr>
          <w:rFonts w:ascii="Georgia" w:eastAsia="Times New Roman" w:hAnsi="Georgia" w:cs="Calibri"/>
          <w:color w:val="333333"/>
          <w:sz w:val="20"/>
          <w:szCs w:val="20"/>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14.3</w:t>
      </w:r>
      <w:r>
        <w:rPr>
          <w:rFonts w:ascii="Georgia" w:eastAsia="Times New Roman" w:hAnsi="Georgia" w:cs="Calibri"/>
          <w:i/>
          <w:iCs/>
          <w:color w:val="BB9966"/>
          <w:sz w:val="21"/>
          <w:szCs w:val="21"/>
        </w:rPr>
        <w:t> Delegation of Duties</w:t>
      </w:r>
    </w:p>
    <w:p w:rsidR="00A86150" w:rsidRDefault="00F714D4">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2143125"/>
            <wp:effectExtent l="0" t="0" r="0" b="9525"/>
            <wp:docPr id="72" name="Picture 15" descr="http://images.flatworldknowledge.com/mayerlawentrep/mayerlawentrep-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lawentrep/mayerlawentrep-fig14_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1431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Effect on Obligor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obligor who delegates a duty (and becomes a delegator) does not thereby escape liability for performing the duty himself. The obligee of the duty may continue to look to the obligor for performance unless the original contract specifically provides for substitution by delegation. This is a big difference between assignment of contract rights and delegation of contract duties: in the former, the assignor is discharged (absent breach of assignor’s warranties); in the latter, the delegator remains liable. The obligee (again, the one to whom the duty to perform flows) may also, in many cases, look to the delegatee, because the obligee becomes an intended beneficiary of the contract between the obligor and the delegatee, as discussed in </w:t>
      </w:r>
      <w:r>
        <w:rPr>
          <w:rFonts w:ascii="Georgia" w:eastAsia="Times New Roman" w:hAnsi="Georgia" w:cs="Calibri"/>
          <w:color w:val="2689C6"/>
          <w:sz w:val="20"/>
          <w:szCs w:val="20"/>
        </w:rPr>
        <w:t>Section 14.3 "Third-Party Beneficiaries"</w:t>
      </w:r>
      <w:r>
        <w:rPr>
          <w:rFonts w:ascii="Georgia" w:eastAsia="Times New Roman" w:hAnsi="Georgia" w:cs="Calibri"/>
          <w:color w:val="333333"/>
          <w:sz w:val="20"/>
          <w:szCs w:val="20"/>
        </w:rPr>
        <w:t>. Of course, the obligee may subsequently agree to accept the delegatee and discharge the obligor from any further responsibility for performing the duty. A contract among three persons having this effect is called a novation; it is a new contract. Fred sells his house to Lisa, who assumes his mortgage. Fred, in other words, has delegated the duty to pay the bank to Lisa. If Lisa defaults, Fred continues to be liable to the bank, unless in the original mortgage agreement a provision specifically permitted any purchaser to be substituted without recourse to Fred, or unless the bank subsequently accepts Lisa and discharges Fred.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Nondelegable Duties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Personal Services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Personal services are not delegable. If the contract is such that the promisee expects the obligor personally to perform the duty, the obligor may not delegate it. Suppose the Catskill Civic Opera Association hires a famous singer to sing in its production of </w:t>
      </w:r>
      <w:r>
        <w:rPr>
          <w:rFonts w:ascii="Georgia" w:eastAsia="Times New Roman" w:hAnsi="Georgia" w:cs="Calibri"/>
          <w:i/>
          <w:iCs/>
          <w:color w:val="333333"/>
          <w:sz w:val="20"/>
          <w:szCs w:val="20"/>
        </w:rPr>
        <w:t>Carmen</w:t>
      </w:r>
      <w:r>
        <w:rPr>
          <w:rFonts w:ascii="Georgia" w:eastAsia="Times New Roman" w:hAnsi="Georgia" w:cs="Calibri"/>
          <w:color w:val="333333"/>
          <w:sz w:val="20"/>
          <w:szCs w:val="20"/>
        </w:rPr>
        <w:t> and the singer delegates the job to her understudy. The delegation is ineffective, and performance by the understudy does not absolve the famous singer of liability for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duties may be delegated, however. Indeed, if they could not be delegated, much of the world’s work would not get done. If you hire a construction company and an architect to design and build your house to certain specifications, the contractor may in turn hire individual craftspeople—plumbers, electricians, and the like—to do these specialized jobs, and as long as they are performed to specification, the contract terms will have been met. If you hired an architecture firm, though, you might not be contracting for the specific services of a particular individual in that firm.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Public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Public policy may prohibit certain kinds of delegations. A public official, for example, may not delegate the duties of her office to private citizens, although various statutes generally permit the delegation of duties to her assistants and subordinates.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Delegations Barred by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already noted, the contract itself may bar assignment. The law generally disfavors restricting the right to assign a benefit, but it will uphold a contract provision that prohibits delegation of a duty. Thus, as we have seen, UCC Section 2-210(3) states that in a contract for sale of goods, a provision against assigning “the contract” is to be construed only as a prohibition against delegating the duties.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duty to perform a contractual obligation may usually be delegated to a third party. Such delegation, however, does not discharge the delegator, who remains liable on the contract absent a novation.</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duties may not be delegated: personal services cannot be, and public policy or the contract itself may bar delegation.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34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an assignment and a delegation?</w:t>
      </w:r>
    </w:p>
    <w:p w:rsidR="00A86150" w:rsidRDefault="00F714D4">
      <w:pPr>
        <w:numPr>
          <w:ilvl w:val="0"/>
          <w:numId w:val="34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is the delegator discharged from liability on the contract?</w:t>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14.3 Third-Party Beneficiaries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42"/>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a third-party beneficiary is, and what the types of such beneficiaries are.</w:t>
      </w:r>
    </w:p>
    <w:p w:rsidR="00A86150" w:rsidRDefault="00F714D4">
      <w:pPr>
        <w:numPr>
          <w:ilvl w:val="0"/>
          <w:numId w:val="342"/>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rights obtained by third-party beneficiaries.</w:t>
      </w:r>
    </w:p>
    <w:p w:rsidR="00A86150" w:rsidRDefault="00F714D4">
      <w:pPr>
        <w:numPr>
          <w:ilvl w:val="0"/>
          <w:numId w:val="342"/>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when the public might be a third-party beneficiary of government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fundamental issue with third-party beneficiaries gets to this: can a person who is not a party to a contract sue to enforce its terms?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General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this: persons not a party to a contract cannot enforce its terms; they are said to lack privity, a private, face-to-face relationship with the contracting parties. But if the persons are intended to benefit from the performance of a contract between others, then they can enforce it: they are intended beneficiaries.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Two Types of Third-Party Beneficiaries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vocabulary of the Restatement, a third person whom the parties to the contract intend to benefit is an intended beneficiary—that is, one who is entitled under the law of contracts to assert a right arising from a contract to which he or she is not a party. There are two types of intended beneficiaries.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Creditor Beneficiary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creditor beneficiary is one to whom the promisor agrees to pay a debt of the promisee. For example, a father is bound by law to support his child. If the child’s uncle (the promisor) contracts with the father (the promisee) to furnish support for the child, the child is a creditor beneficiary and could sue the uncle. Or again, suppose Customer pays Ace Dealer for a new car, and Ace delegates the duty of delivery to Beta Dealer. Ace is now a debtor: he owes Customer something: a car. Customer is a creditor; she is owed something: a car. When Beta performs under his delegated contract with Ace, Beta is discharging the debt Ace owes to Customer. Customer is a creditor beneficiary of Dealers’ contract and could sue either one for nondelivery. She could sue Ace because she made a contract with him, and she could sue Beta because—again—she was intended to benefit from the performance of Dealers’ agreement.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Donee Beneficiary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type of intended beneficiary is a donee beneficiary. When the promisee is not indebted to the third person but intends for him or her to have the benefit of the promisor’s performance, the third person is a donee beneficiary (and the promise is sometimes called a gift promise). For example, an insurance company (the promisor) promises to its policyholder (the promisee), in return for a premium, to pay $100,000 to his wife on his death; this makes the wife a donee beneficiary (see </w:t>
      </w:r>
      <w:r>
        <w:rPr>
          <w:rFonts w:ascii="Georgia" w:eastAsia="Times New Roman" w:hAnsi="Georgia" w:cs="Calibri"/>
          <w:color w:val="2689C6"/>
          <w:sz w:val="20"/>
          <w:szCs w:val="20"/>
          <w:lang w:val="en"/>
        </w:rPr>
        <w:t>Figure 14.1 "Assignment of Rights"</w:t>
      </w:r>
      <w:r>
        <w:rPr>
          <w:rFonts w:ascii="Georgia" w:eastAsia="Times New Roman" w:hAnsi="Georgia" w:cs="Calibri"/>
          <w:color w:val="333333"/>
          <w:sz w:val="20"/>
          <w:szCs w:val="20"/>
          <w:lang w:val="en"/>
        </w:rPr>
        <w:t>). The wife could sue to enforce the contract although she was not a party to it. Or if Able makes a contract with Woodsman for the latter to cut the trees in Able’s backyard as a Christmas gift to Able’s uphill Neighbor (so that Neighbor will have a view), Neighbor could sue Woodsman for breach of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person is not an intended beneficiary—not a creditor or donee beneficiary—then he or she is said to be only an incidental beneficiary, and that person has no rights. So if Able makes the contract with Woodsman not to benefit Neighbor but for Able’s own benefit, the fact that the tree removal would benefit Neighbor does not make Neighbor an intended beneficiary.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beneficiary’s rights are always limited by the terms of the contract. A failure by the promisee to perform his part of the bargain will terminate the beneficiary’s rights if the promisee’s lapse terminates his own rights, absent language in the contract to the contrary. If Able makes the contract as a gift to Neighbor but doesn’t make the required down payment to Woodsman, Neighbor’s claim fails. In a suit by the beneficiary, the promisor may avail himself of any defense he could have asserted against the promisee. Woodsman may defend himself against Neighbor’s claim that Woodsman did not do the whole job by showing that Able didn’t make full payment for the work.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Modification of the Beneficiary’s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Conferring rights on an intended beneficiary is relatively simple. Whether his rights can be modified or extinguished by subsequent agreement of the promisor and promisee is a more troublesome issue. The general rule is that the beneficiary’s rights may be altered as long as there has been novesting of rights (the rights have not taken effect). The time at which the beneficiary’s rights vest differs among jurisdictions: some say immediately, some say when the beneficiary assents to the receipt of the contract right, some say the beneficiary’s rights don’t vest until she has detrimentally relied on the right. The Restatement says that unless the contract provides that its terms cannot be changed without the beneficiary’s consent, the parties may change or rescind the benefit unless the beneficiary has sued on the promise, has detrimentally relied, or has assented to the promise at the request of one of the parties.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Some contracts provide that the benefit never vests; for example, standard insurance policies today reserve to the insured the right to substitute beneficiaries, to borrow against the policy, to assign it, and to surrender it for cash.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Government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that members of the public are only incidental beneficiaries of contracts made by the government with a contractor to do public works. It is not illogical to see a contract between the government and a company pledged to perform a service on behalf of the public as one creating rights in particular members of the public, but the consequences of such a view could be extremely costly because everyone has some interest in public works and government services.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restaurant chain, hearing that the county was planning to build a bridge that would reroute commuter traffic, might decide to open a restaurant on one side of the bridge; if it let contracts for construction only to discover that the bridge was to be delayed or canceled, could it sue the county’s contractor? In general, the answer is that it cannot. A promisor under contract to the government is not liable for the consequential damages to a member of the public arising from its failure to perform (or from a faulty performance) unless the agreement specifically calls for such liability or unless the promisee (the government) would itself be liable and a suit directly against the promisor would be consistent with the contract terms and public policy. When the government retains control over litigation or settlement of claims, or when it is easy for the public to insure itself against loss, or when the number and amount of claims would be excessive, the courts are less likely to declare individuals to be intended beneficiaries. But the service to be provided can be so tailored to the needs of particular persons that it makes sense to view them as intended beneficiaries—in the case, for example, of a service station licensed to perform emergency road repairs, as in </w:t>
      </w:r>
      <w:r>
        <w:rPr>
          <w:rFonts w:ascii="Georgia" w:eastAsia="Times New Roman" w:hAnsi="Georgia" w:cs="Calibri"/>
          <w:color w:val="2689C6"/>
          <w:sz w:val="20"/>
          <w:szCs w:val="20"/>
          <w:lang w:val="en"/>
        </w:rPr>
        <w:t>Section 14.4.3 "Third party Beneficiaries and Foreseeable Damages"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Kornblut v. Chevron Oil Co</w:t>
      </w:r>
      <w:r>
        <w:rPr>
          <w:rFonts w:ascii="Georgia" w:eastAsia="Times New Roman" w:hAnsi="Georgia" w:cs="Calibri"/>
          <w:color w:val="333333"/>
          <w:sz w:val="20"/>
          <w:szCs w:val="20"/>
          <w:lang w:val="en"/>
        </w:rPr>
        <w: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Generally, a person who is not a party to a contract cannot sue to enforce its terms. The exception is if the person is an intended beneficiary, either a creditor beneficiary or a donee beneficiary. Such third parties can enforce the contract made by others but only get such rights as the contract provides, and beneficiaries are subject to defenses that could be made against their benefactor.</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general rule is that members of the public are not intended beneficiaries of contracts made by the government, but only incidental beneficiaries.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two types of intended beneficiaries?</w:t>
      </w:r>
    </w:p>
    <w:p w:rsidR="00A86150" w:rsidRDefault="00F714D4">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Smith contracted to deliver a truck on behalf of Truck Sales to Byers, who had purchased it from Truck Sales. Smith was entitled to payment by Byers for the delivery. The truck was defective. May Byers withhold payment from Smith to offset the repair costs?</w:t>
      </w:r>
    </w:p>
    <w:p w:rsidR="00A86150" w:rsidRDefault="00F714D4">
      <w:pPr>
        <w:numPr>
          <w:ilvl w:val="0"/>
          <w:numId w:val="34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the public not usually considered an intended beneficiary of contracts made by the government?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311.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14.4</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Nonassignable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Nassau Hotel Co. v. Barnett &amp; Barse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147 N.Y.S. 283 (1914)</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McLaughlin,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owns a hotel at Long Beach, L. I., and on the 21st of November, 1912, it entered into a written agreement with the individual defendants Barnett and Barse to conduct the same for a period of years.…Shortly after this agreement was signed, Barnett and Barse organized the Barnett &amp; Barse Corporation with a capital stock of $10,000, and then assigned the agreement to it. Immediately following the assignment, the corporation went into possession and assumed to carry out its terms. The plaintiff thereupon brought this action to cancel the agreement and to recover possession of the hotel and furniture therein, on the ground that the agreement was not assignable. [Summary judgment in favor of the plaintiff, defendant corporation appeals.]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only question presented is whether the agreement was assignable. It provided, according to the allegations of the complaint, that the plaintiff leased the property to Barnett and Barse with all its equipment and furniture for a period of three years, with a privilege of five successive renewals of three years each. It expressly provided: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said lessees…become responsible for the operation of the said hotel and for the upkeep and maintenance thereof and of all its furniture and equipment in accordance with the terms of this agreement and the said lessees shall have the exclusive possession, control and management thereof. * * * The said lessees hereby covenant and agree that they will operate the said hotel at all times in a first-class business-like manner, keep the same open for at least six (6) months of each year, * * *’ and ‘in lieu of rental the lessor and lessees hereby covenant and agree that the gross receipts of such operation shall be, as received, divided between the parties hereto as follows: (a) Nineteen per cent. (19%) to the lessor. * * * In the event of the failure of the lessees well and truly to perform the covenants and agreements herein contained,’ they should be liable in the sum of $50,000 as liquidated damages. That ‘in consideration and upon condition that the said lessees shall well and faithfully perform all the covenants and agreements by them to be performed without evasion or delay the said lessor for itself and its successors, covenants and agrees that the said lessees, their legal representatives and assigns may at all times during said term and the renewals thereof peaceably have and enjoy the said demised premises.’ And that ‘this agreement shall inure to the benefit of and bind the respective parties hereto, their personal representatives, successors and assigns.’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complaint further alleges that the agreement was entered into by plaintiff in reliance upon the financial responsibility of Barnett and Barse, their personal character, and especially the experience of Barnett in conducting hotels; that, though he at first held a controlling interest in the Barnett &amp; Barse Corporation, he has since sold all his stock to the defendant Barse, and has no interest in the corporation and no longer devotes any time or attention to the management or operation of the hotel.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…[C]learly…the agreement in question was personal to Barnett and Barse and could not be assigned by them without the plaintiff’s consent. By its terms the plaintiff not only entrusted them with the care and management of the hotel and its furnishings—valued, according to the allegations of the complaint, at more than $1,000,000—but agreed to accept as rental or compensation a percentage of the gross receipts. Obviously, the receipts depended to a large extent upon the management, and the care of the property upon the personal character and responsibility of the persons in possession. When the whole agreement is read, it is apparent that the plaintiff relied, in making it, upon the personal covenants of Barnett and Barse. They were financially responsible. As already said, Barnett had had a long and successful experience in managing hotels, which was undoubtedly an inducing cause for plaintiff’s making the agreement in question and for personally obligating them to carry out its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suggested that because there is a clause in the agreement to the effect that it should ‘inure to the benefit of and bind the respective parties hereto, their personal representatives and assigns,’ that Barnett and Barse had a right to assign it to the corporation. But the intention of the parties is to be gathered, not from one clause, but from the entire instrument [Citation] and when it is thus read it clearly appears that Barnett and Barse were to personally carry out the terms of the agreement and did not have a right to assign it. This follows from the language used, which shows that a personal trust or confidence was reposed by the plaintiff in Barnett and Barse when the agreement was made.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[Citation] it was said: “Rights arising out of contract cannot be transferred if they…involve a relation of personal confidence such that the party whose agreement conferred those rights must have intended them to be exercised only by him in whom he actually confided.”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rule was applied in [Citation] the court holding that the plaintiff—the assignee—was not only technically, but substantially, a different entity from its predecessor, and that the defendant was not obliged to entrust its money collected on the sale of the presses to the responsibility of an entirely different corporation from that with which it had contracted, and that the contract could not be assigned to the plaintiff without the assent of the other party to it.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reason which underlies the basis of the rule is that a party has the right to the benefit contemplated from the character, credit, and substance of him with whom he contracts, and in such case he is not bound to recognize…an assignment of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order appealed from, therefore,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4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corporation created to operate the hotel was apparently owned and operated by the same two men the plaintiff leased the hotel to in the first place. What objection would the plaintiff have to the corporate entity—actually, of course, a legal fiction—owning and operating the hotel?</w:t>
      </w:r>
    </w:p>
    <w:p w:rsidR="00A86150" w:rsidRDefault="00F714D4">
      <w:pPr>
        <w:numPr>
          <w:ilvl w:val="0"/>
          <w:numId w:val="34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defendants pointed to the clause about the contract inuring to the benefit of the parties “and assigns.” So the defendants assigned the contract. How could that not be allowed by the contract’s own terms?</w:t>
      </w:r>
    </w:p>
    <w:p w:rsidR="00A86150" w:rsidRDefault="00F714D4">
      <w:pPr>
        <w:numPr>
          <w:ilvl w:val="0"/>
          <w:numId w:val="344"/>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upon which the outcome here depends?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Assignment Includes Delegation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Rose v. Vulcan Materials Co.</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194 S.E.2d 521 (N.C. 1973)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Huskins,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[Rose], after leasing his quarry to J. E. Dooley and Son, Inc., promised not to engage in the rock-crushing business within an eight-mile radius of [the city of] Elkin for a period of ten years. In return for this promise, J. E. Dooley and Son, Inc., promised, among other things, to furnish plaintiff stone f.o.b. the quarry site at Cycle, North Carolina, at stipulated prices for ten years.…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a contract effective 23 April 1960, Vulcan Materials Company, a corporation…, purchased the stone quarry operations and the assets and obligations of J. E. Dooley and Son, Inc.…[Vulcan sent Rose a letter, part of which read:]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Dooley brought to us this morning the contracts between you and his companies, copies of which are attached. This is to advise that Vulcan Materials Company assumes all phases of these contracts and intends to carry out the conditions of these contracts as they are stated.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early 1961 Vulcan notified plaintiff that it would no longer sell stone to him at the prices set out in [the agreement between Rose and Dooley] and would thereafter charge plaintiff the same prices charged all of its other customers for stone. Commencing 11 May 1961, Vulcan raised stone prices to the plaintiff to a level in excess of the prices specified in [the Rose-Dooley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Vulcan increased the prices of stone to amounts in excess of those specified in [the Rose-Dooley contract], plaintiff was engaged in his ready-mix cement business, using large quantities of stone, and had no other practical source of supply. Advising Vulcan that he intended to sue for breach of contract, he continued to purchase stone from Vulcan under protest.…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total of these amounts over and above the prices specified in [the Rose-Dooley contract] is $25,231.57, [about $152,000 in 2010 dollars] and plaintiff seeks to recover said amount in this 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[Rose-Dooley] agreement was an executory bilateral contract under which plaintiff’s promise not to compete for ten years gained him a ten-year option to buy stone at specified prices. In most states, the assignee of an executory bilateral contract is not liable to anyone for the nonperformance of the assignor’s duties thereunder unless he expressly promises his assignor or the other contracting party to perform, or ‘assume,’ such duties.…These states refuse to imply a promise to perform the duties, but if the assignee expressly promises his assignor to perform, he is liable to the other contracting party on a third-party beneficiary theory. And, if the assignee makes such a promise directly to the other contracting party upon a consideration, of course he is liable to him thereon.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minority of states holds that the assignee of an executory bilateral contract under a general assignment becomes not only assignee of the rights of the assignor but also delegatee of his duties; and that, absent a showing of contrary intent, the assignee impliedly promises the assignor that he will perform the duties so delegated. This rule is expressed in Restatement, Contracts, s 164 (1932)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Where a party under a bilateral contract which is at the time wholly or partially executory on both sides purports to assign the whole contract, his action is interpreted, in the absence of circumstances showing a contrary intention, as an assignment of the assignor’s rights under the contract and a delegation of the performance of the assignor’s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Acceptance by the assignee of such an assignment is interpreted, in the absence of circumstances showing a contrary intention, as both an assent to become an assignee of the assignor’s rights and as </w:t>
      </w:r>
      <w:r>
        <w:rPr>
          <w:rFonts w:ascii="Georgia" w:eastAsia="Times New Roman" w:hAnsi="Georgia" w:cs="Calibri"/>
          <w:b/>
          <w:bCs/>
          <w:color w:val="333333"/>
          <w:sz w:val="20"/>
          <w:szCs w:val="20"/>
        </w:rPr>
        <w:t>a promise to the assignor to assume the performance of the assignor’s duties</w:t>
      </w:r>
      <w:r>
        <w:rPr>
          <w:rFonts w:ascii="Georgia" w:eastAsia="Times New Roman" w:hAnsi="Georgia" w:cs="Calibri"/>
          <w:color w:val="333333"/>
          <w:sz w:val="20"/>
          <w:szCs w:val="20"/>
        </w:rPr>
        <w:t>.’ (emphasis added)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We…adopt the Restatement rule and expressly hold that the assignee under a general assignment of an executory bilateral contract, in the absence of circumstances showing a contrary intention, becomes the delegatee of his assignor’s duties and impliedly promises his assignor that he will perform such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rule we adopt and reaffirm here is regarded as the more reasonable view by legal scholars and textwriters. Professor Grismore says: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submitted that the acceptance of an assignment in this form does presumptively import a tacit promise on the part of the assignee to assume the burdens of the contract, and that this presumption should prevail in the absence of the clear showing of a contrary intention. The presumption seems reasonable in view of the evident expectation of the parties. The assignment on its face indicates an intent to do more than simply to transfer the benefits assured by the contract. It purports to transfer the contract as a whole, and since the contract is made up of both benefits and burdens both must be intended to be included.…Grismore, Is the Assignee of a Contract Liable for the Nonperformance of Delegated Duties? 18 Mich.L.Rev. 284 (1920).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with respect to transactions governed by the Uniform Commercial Code, an assignment of a contract in general terms is a delegation of performance of the duties of the assignor, and its acceptance by the assignee constitutes a promise by him to perform those duties. Our holding in this case maintains a desirable uniformity in the field of contract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further hold that the other party to the original contract may sue the assignee as a third-party beneficiary of his promise of performance which he impliedly makes to his assignor, under the rule above laid down, by accepting the general assignment. </w:t>
      </w:r>
      <w:r>
        <w:rPr>
          <w:rFonts w:ascii="Georgia" w:eastAsia="Times New Roman" w:hAnsi="Georgia" w:cs="Calibri"/>
          <w:i/>
          <w:iCs/>
          <w:color w:val="333333"/>
          <w:sz w:val="20"/>
          <w:szCs w:val="20"/>
        </w:rPr>
        <w:t>Younce v. Lumber Co</w:t>
      </w:r>
      <w:r>
        <w:rPr>
          <w:rFonts w:ascii="Georgia" w:eastAsia="Times New Roman" w:hAnsi="Georgia" w:cs="Calibri"/>
          <w:color w:val="333333"/>
          <w:sz w:val="20"/>
          <w:szCs w:val="20"/>
        </w:rPr>
        <w:t>., [Citation] (1908), holds that where the assignee makes an express promise of performance to his assignor, the other contracting party may sue him for breach thereof. We see no reason why the same result should not obtain where the assignee breaches his promise of performance implied under the rule of Restatement s 164. ‘That the assignee is liable at the suit of the third party where he expressly assumes and promises to perform delegated duties has already been decided in a few cases (citing Younce). If an express promise will support such an action it is difficult to see why a tacit promise should not have the same effect.’ Grismore, supra. Parenthetically, we note that such is the rule under the Uniform Commercial Code, [2-210].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now apply the foregoing principles to the case at hand. The contract of 23 April 1960, between defendant and J. E. Dooley and Son, Inc., under which, as stipulated by the parties, ‘the defendant purchased the assets and obligations of J. E. Dooley and Son, Inc.,’ was a general assignment of all the assets and obligations of J. E. Dooley and Son, Inc., including those under [the Rose-Dooley contract]. When defendant accepted such assignment it thereby became delegatee of its assignor’s duties under it and impliedly promised to perform such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defendant later failed to perform such duties by refusing to continue sales of stone to plaintiff at the prices specified in [the Rose-Dooley contract], it breached its implied promise of performance and plaintiff was entitled to bring suit thereon as a third-party beneficiary.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decision…is reversed with directions that the case be certified to the Superior Court of Forsyth County for reinstatement of the judgment of the trial court in accordance with this opinion.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Rose need the crushed rock from the quarry he originally leased to Dooley?</w:t>
      </w:r>
    </w:p>
    <w:p w:rsidR="00A86150" w:rsidRDefault="00F714D4">
      <w:pPr>
        <w:numPr>
          <w:ilvl w:val="0"/>
          <w:numId w:val="3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argument did Vulcan make as to why it should not be liable to sell crushed rock to Rose at the price set out in the Rose-Dooley contract?</w:t>
      </w:r>
    </w:p>
    <w:p w:rsidR="00A86150" w:rsidRDefault="00F714D4">
      <w:pPr>
        <w:numPr>
          <w:ilvl w:val="0"/>
          <w:numId w:val="345"/>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rule did the court here announce in deciding that Vulcan was required to sell rock at the price set out in the Rose-Dooley contract? That is, what is the controlling rule of law in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Third party Beneficiaries and Foreseeable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Kornblut v. Chevron Oil Co.</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62 A.D.2d 831 (N.Y. 1978)</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Hopkins,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plaintiff-respondent has recovered a judgment after a jury trial in the sum of $519,855.98 [about $1.9 million in 2010 dollars] including interest, costs and disbursements, against Chevron Oil Company (Chevron) and Lawrence Ettinger, Inc. (Ettinger) (hereafter collectively referred to as defendants) for damages arising from the death and injuries suffered by Fred Kornblut, her husband. The case went to the jury on the theory that the decedent was the third-party beneficiary of a contract between Chevron and the New York State Thruway Authority and a contract between Chevron and Ettinger.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afternoon of an extremely warm day in early August, 1970 the decedent was driving northward on the New York State Thruway. Near Sloatsburg, New York, at about 3:00 p.m., his automobile sustained a flat tire. At the time the decedent was accompanied by his wife and 12-year-old son. The decedent waited for assistance in the 92 degree temperature.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about an hour a State Trooper, finding the disabled car, stopped and talked to the decedent. The trooper radioed Ettinger, which had the exclusive right to render service on the Thruway under an assignment of a contract between Chevron and the Thruway Authority. Thereafter, other State Troopers reported the disabled car and the decedent was told in each instance that he would receive assistance within 20 minutes.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Having not received any assistance by 6:00 p.m., the decedent attempted to change the tire himself. He finally succeeded, although he experienced difficulty and complained of chest pains to the point that his wife and son were compelled to lift the flat tire into the trunk of the automobile. The decedent drove the car to the next service area, where he was taken by ambulance to a hospital; his condition was later diagnosed as a myocardial infarction. He died 28 days later.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sued, </w:t>
      </w:r>
      <w:r>
        <w:rPr>
          <w:rFonts w:ascii="Georgia" w:eastAsia="Times New Roman" w:hAnsi="Georgia" w:cs="Calibri"/>
          <w:i/>
          <w:iCs/>
          <w:color w:val="333333"/>
          <w:sz w:val="20"/>
          <w:szCs w:val="20"/>
        </w:rPr>
        <w:t>inter alia</w:t>
      </w:r>
      <w:r>
        <w:rPr>
          <w:rFonts w:ascii="Georgia" w:eastAsia="Times New Roman" w:hAnsi="Georgia" w:cs="Calibri"/>
          <w:color w:val="333333"/>
          <w:sz w:val="20"/>
          <w:szCs w:val="20"/>
        </w:rPr>
        <w:t>, Chevron and Ettinger alleging in her complaint causes of action sounding in negligence and breach of contract. We need not consider the issue of negligence, since the Trial Judge instructed the jury only on the theory of breach of contract, and the plaintiff has recovered damages for wrongful death and the pain and suffering only on that theory.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must look, then, to the terms of the contract sought to be enforced. Chevron agreed to provide “rapid and efficient roadside automotive service on a 24-hour basis from each gasoline service station facility for the areas…when informed by the authority or its police personnel of a disabled vehicle on the Thruway”. Chevron’s vehicles are required “to be used and operated in such a manner as will produce adequate service to the public, as determined in the authority’s sole judgment and discretion”. Chevron specifically covenanted that it would have “sufficient roadside automotive service vehicles, equipment and personnel to provide roadside automotive service to disabled vehicles within a maximum of thirty (30) minutes from the time a call is assigned to a service vehicle, subject to unavoidable delays due to extremely adverse weather conditions or traffic conditions.”…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interpreting the contract, we must bear in mind the circumstances under which the parties bargained. The New York Thruway is a limited access toll highway, designed to move traffic at the highest legal speed, with the north and south lanes separated by green strips. Any disabled vehicle on the road impeding the flow of traffic may be a hazard and inconvenience to the other users. The income realized from tolls is generated from the expectation of the user that he will be able to travel swiftly and smoothly along the Thruway. Consequently, it is in the interest of the authority that disabled vehicles will be repaired or removed quickly to the end that any hazard and inconvenience will be minimized. Moreover, the design and purpose of the highway make difficult, if not impossible, the summoning of aid from garages not located on the Thruway. The movement of a large number of vehicles at high speed creates a risk to the operator of a vehicle who attempts to make his own repairs, as well as to the other users. These considerations clearly prompted the making of contracts with service organizations which would be located at points near in distance and time on the Thruway for the relief of distressed vehicles.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it is obvious that, although the authority had an interest in making provision for roadside calls through a contract, there was also a personal interest of the user served by the contract. Indeed, the contract provisions regulating the charges for calls and commanding refunds be paid directly to the user for overcharges, evince a protection and benefit extended to the user only. Hence, in the event of an overcharge, the user would be enabled to sue on the contract to obtain a recovery.…Here the contract contemplates an individual benefit for the breach running to the user.…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choosing the theory of recovery based on contract, it became incumbent on the plaintiff to show that the injury was one which the defendants had reason to foresee as a probable result of the breach, under the ancient doctrine of Hadley v Baxendale [Citation], and the cases following it…in distinction to the requirement of proximate cause in tort actions.…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death of the decedent on account of his exertion in the unusual heat of the midsummer day in changing the tire cannot be said to have been within the contemplation of the contracting parties as a reasonably foreseeable result of the failure of Chevron or its assignee to comply with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 comes down to this, then, in our view: though the decedent was the intended beneficiary to sue under certain provisions of the contract—such as the rate specified for services to be rendered—he was not the intended beneficiary to sue for consequential damages arising from personal injury because of a failure to render service promptly. Under these circumstances, the judgment must be reversed and the complaint dismissed, without costs or disbursements.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[Martuscello, J., concurred in the result but opined that the travelling public was not an intended beneficiary of the contract.]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4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Chevron made two arguments as to why it should not be liable for Mr. Kornblut’s death. What were they?</w:t>
      </w:r>
    </w:p>
    <w:p w:rsidR="00A86150" w:rsidRDefault="00F714D4">
      <w:pPr>
        <w:numPr>
          <w:ilvl w:val="0"/>
          <w:numId w:val="34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Obviously, when Chevron made the contract with the New York State Thruway Authority, it did not know Mr. Kornblut was going to be using the highway. How could he, then, be an intended beneficiary of the contract?</w:t>
      </w:r>
    </w:p>
    <w:p w:rsidR="00A86150" w:rsidRDefault="00F714D4">
      <w:pPr>
        <w:numPr>
          <w:ilvl w:val="0"/>
          <w:numId w:val="346"/>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was Chevron not found liable for Mr. Kornblut’s death when, clearly, had it performed the contract properly, he would not have died?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14.5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that the promisee may assign any right has some exceptions—for example, when the promisor’s obligation would be materially changed. Of course the contract itself may prohibit assignment, and sometimes statutes preclude it. Knowing how to make the assignment effective and what the consequences of the assignment are on others is worth mastering. When, for example, does the assignee not stand in the assignor’s shoes? When may a future right be assigned?</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Duties, as well as rights, may be transferred to third parties. Most rights (promises) contained in contracts have corresponding duties (also expressed as promises). Often when an entire contract is assigned, the duties go with it; the transferee is known, with respect to the duties, as the delegatee. The transferor himself does not necessarily escape the duty, however. Moreover, some duties are nondelegable, such as personal promises and those that public policy require to be carried out by a particular official. Without the ability to assign rights and duties, much of the modern economy would grind to a halt.</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parties to a contract are not necessarily the only people who acquire rights or duties under it. One major category of persons acquiring rights is third-party beneficiaries. Only intended beneficiaries acquire rights under the contract, and these are of two types: creditor and donee beneficiaries. The rules for determining whether rights have been conferred are rather straightforward; determining whether rights can subsequently be modified or extinguished is more troublesome. Generally, as long as the contract does not prohibit change and as long as the beneficiary has not relied on the promise, the change may be made.</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Dayton Country Club offered its members various social activities. Some members were entitled, for additional payment, to use the golf course, a coveted amenity. Golfing memberships could not be transferred except upon death or divorce, and there was a long waiting list in this special category; if a person at the top of the list declined, the next in line was eligible. Golfing membership rules were drawn up by a membership committee. Magness and Redman were golfing members. They declared bankruptcy, and the bankruptcy trustee sought, in order to increase the value of their debtors’ estates, to assume and sell the golfing memberships to members on the waiting list, other club members, or the general public, provided the persons joined the club. The club asserted that under relevant state law, it was “excused from rendering performance to an entity other than the debtor”—that is, it could not be forced to accept strangers as members. Can these memberships be assigned?</w:t>
      </w:r>
    </w:p>
    <w:p w:rsidR="00A86150" w:rsidRDefault="00F714D4">
      <w:pPr>
        <w:numPr>
          <w:ilvl w:val="0"/>
          <w:numId w:val="347"/>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Tenant leased premises in Landlord’s shopping center, agreeing in the lease “not to assign, mortgage, pledge, or encumber this lease in whole or in part.” Under the lease, Tenant was entitled to a construction allowance of up to $11,000 after Tenant made improvements for its uses. Prior to the completion of the improvements, Tenant assigned its right to receive the first $8,000 of the construction allowance to Assignee, who, in turn, provided Tenant $8,000 to finance the construction. Assignee notified Landlord of the assignment, but when the construction was complete, Landlord paid Tenant anyway; when Assignee complained, Landlord pointed to the nonassignment clause. Assignee sued Landlord. Who wins?</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Marian contracted to sell her restaurant to Billings for $400,000. The contract provided that Billings would pay $100,000 and sign a note for the remainder. Billings sold the restaurant to Alice, who agreed to assume responsibility for the balance due on the note held by Marian. But Alice had difficulties and declared bankruptcy. Is Billings still liable on the note to Marian?</w:t>
      </w:r>
    </w:p>
    <w:p w:rsidR="00A86150" w:rsidRDefault="00F714D4">
      <w:pPr>
        <w:numPr>
          <w:ilvl w:val="0"/>
          <w:numId w:val="347"/>
        </w:numPr>
        <w:shd w:val="clear" w:color="auto" w:fill="E3EFF7"/>
        <w:spacing w:after="0" w:line="439" w:lineRule="atLeast"/>
        <w:ind w:left="36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Yellow Cab contracted with the Birmingham Board of Education to transport physically handicapped students. The contract provided, “Yellow Cab will transport the physically handicapped students of the School System…and furnish all necessary vehicles and personnel and will perform all maintenance and make all repairs to the equipment to keep it in a safe and efficient operating condition at all times.”</w:t>
      </w:r>
    </w:p>
    <w:p w:rsidR="00A86150" w:rsidRDefault="00F714D4">
      <w:p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Yellow Cab subcontracted with Metro Limousine to provide transportation in connection with its contract with the board. Thereafter, Metro purchased two buses from Yellow Cab to use in transporting the students. DuPont, a Metro employee, was injured when the brakes on the bus that he was driving failed, causing the bus to collide with a tree. DuPont sued Yellow Cab, alleging that under its contract with the board, Yellow Cab had a nondelegable duty to properly maintain the bus so as to keep it in a safe operating condition; that that duty flowed to him as an intended third-party beneficiary of the contract; and that Yellow Cab had breached the contract by failing to properly maintain the bus. Who wins?</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Joan hired Groom to attend to her herd of four horses at her summer place in the high desert. The job was too much for Groom, so he told Tony that he (Groom) would pay Tony, who claimed expertise in caring for horses, to take over the job. Tony neglected the horses in hot weather, and one of them needed veterinarian care for dehydration. Is Groom liable?</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Rensselaer Water Company contracted with the city to provide water for business, domestic, and fire-hydrant purposes. While the contract was in effect, a building caught on fire; the fire spread to Plaintiff’s (Moch Co.’s) warehouse, destroying it and its contents. The company knew of the fire but was unable to supply adequate water pressure to put it out. Is the owner of the warehouse able to maintain a claim against the company for the loss?</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Rusty told Alice that he’d do the necessary overhaul on her classic car for $5,000 during the month of May, and that when the job was done, she should send the money to his son, Jim, as a graduation present. He confirmed the agreement in writing and sent a copy to Jim. Subsequently, Rusty changed his mind. What right has Jim?</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Fox Brothers agreed to convey to Clayton Canfield Lot 23 together with a one-year option to purchase Lot 24 in a subdivision known as Fox Estates. The agreement contained no prohibitions, restrictions, or limitations against assignments. Canfield paid the $20,000 and took title to Lot 23 and the option to Lot 24. Canfield thereafter assigned his option rights in Lot 24 to the Scotts. When the Scotts wanted to exercise the option, Fox Brothers refused to convey the property to them. The Scotts then brought suit for specific performance. Who wins?</w:t>
      </w:r>
    </w:p>
    <w:p w:rsidR="00A86150" w:rsidRDefault="00F714D4">
      <w:pPr>
        <w:numPr>
          <w:ilvl w:val="0"/>
          <w:numId w:val="34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Rollins sold Byers, a businessperson, a flatbed truck on a contract; Rollins assigned the contract to Frost, and informed Byers of the assignment. Rollins knew the truck had problems, which he did not reveal to Byers. When the truck needed $3,200 worth of repairs and Rollins couldn’t be found, Byers wanted to deduct that amount from payments owed to Frost, but Frost insisted he had a right to payment. Upon investigation, Byers discovered that four other people in the state had experienced similar situations with Rollins and with Frost as Rollins’s assignee. What recourse has Byers?</w:t>
      </w:r>
    </w:p>
    <w:p w:rsidR="00A86150" w:rsidRDefault="00F714D4">
      <w:pPr>
        <w:numPr>
          <w:ilvl w:val="0"/>
          <w:numId w:val="34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Merchants and resort owners in the San Juan Islands in Washington State stocked extra supplies, some perishable, in anticipation of the flood of tourists over Labor Day. They suffered inconvenience and monetary damage due to the union’s Labor Day strike of the state ferry system, in violation of its collective bargaining agreement with the state and of a temporary restraining order. The owners sued the union for damages for lost profits, attorney fees, and costs, claiming the union should be liable for intentional interference with contractual relations (the owners’ relations with their would-be customers). Do the owners have a cause of action?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348"/>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creditor beneficiary is</w:t>
      </w:r>
    </w:p>
    <w:p w:rsidR="00A86150" w:rsidRDefault="00F714D4">
      <w:pPr>
        <w:pStyle w:val="ListParagraph"/>
        <w:numPr>
          <w:ilvl w:val="0"/>
          <w:numId w:val="34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same as a donee beneficiary</w:t>
      </w:r>
    </w:p>
    <w:p w:rsidR="00A86150" w:rsidRDefault="00F714D4">
      <w:pPr>
        <w:pStyle w:val="ListParagraph"/>
        <w:numPr>
          <w:ilvl w:val="0"/>
          <w:numId w:val="34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third-party beneficiary</w:t>
      </w:r>
    </w:p>
    <w:p w:rsidR="00A86150" w:rsidRDefault="00F714D4">
      <w:pPr>
        <w:pStyle w:val="ListParagraph"/>
        <w:numPr>
          <w:ilvl w:val="0"/>
          <w:numId w:val="34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incidental beneficiary</w:t>
      </w:r>
    </w:p>
    <w:p w:rsidR="00A86150" w:rsidRDefault="00F714D4">
      <w:pPr>
        <w:pStyle w:val="ListParagraph"/>
        <w:numPr>
          <w:ilvl w:val="0"/>
          <w:numId w:val="349"/>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350"/>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Assignments are not allowed</w:t>
      </w:r>
    </w:p>
    <w:p w:rsidR="00A86150" w:rsidRDefault="00F714D4">
      <w:pPr>
        <w:pStyle w:val="ListParagraph"/>
        <w:numPr>
          <w:ilvl w:val="0"/>
          <w:numId w:val="35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rights that will arise from a future contract</w:t>
      </w:r>
    </w:p>
    <w:p w:rsidR="00A86150" w:rsidRDefault="00F714D4">
      <w:pPr>
        <w:pStyle w:val="ListParagraph"/>
        <w:numPr>
          <w:ilvl w:val="0"/>
          <w:numId w:val="35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they will materially change the duties that the obligor must perform</w:t>
      </w:r>
    </w:p>
    <w:p w:rsidR="00A86150" w:rsidRDefault="00F714D4">
      <w:pPr>
        <w:pStyle w:val="ListParagraph"/>
        <w:numPr>
          <w:ilvl w:val="0"/>
          <w:numId w:val="35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where they are forbidden by public policy</w:t>
      </w:r>
    </w:p>
    <w:p w:rsidR="00A86150" w:rsidRDefault="00F714D4">
      <w:pPr>
        <w:pStyle w:val="ListParagraph"/>
        <w:numPr>
          <w:ilvl w:val="0"/>
          <w:numId w:val="351"/>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any of the above</w:t>
      </w:r>
    </w:p>
    <w:p w:rsidR="00A86150" w:rsidRDefault="00F714D4">
      <w:pPr>
        <w:numPr>
          <w:ilvl w:val="0"/>
          <w:numId w:val="352"/>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an assignor assigns the same interest twice,</w:t>
      </w:r>
    </w:p>
    <w:p w:rsidR="00A86150" w:rsidRDefault="00F714D4">
      <w:pPr>
        <w:pStyle w:val="ListParagraph"/>
        <w:numPr>
          <w:ilvl w:val="0"/>
          <w:numId w:val="35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subsequent assignee generally takes precedence</w:t>
      </w:r>
    </w:p>
    <w:p w:rsidR="00A86150" w:rsidRDefault="00F714D4">
      <w:pPr>
        <w:pStyle w:val="ListParagraph"/>
        <w:numPr>
          <w:ilvl w:val="0"/>
          <w:numId w:val="35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first assignee generally takes precedence</w:t>
      </w:r>
    </w:p>
    <w:p w:rsidR="00A86150" w:rsidRDefault="00F714D4">
      <w:pPr>
        <w:pStyle w:val="ListParagraph"/>
        <w:numPr>
          <w:ilvl w:val="0"/>
          <w:numId w:val="35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first assignee always takes precedence</w:t>
      </w:r>
    </w:p>
    <w:p w:rsidR="00A86150" w:rsidRDefault="00F714D4">
      <w:pPr>
        <w:pStyle w:val="ListParagraph"/>
        <w:numPr>
          <w:ilvl w:val="0"/>
          <w:numId w:val="353"/>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assignment violates public policy</w:t>
      </w:r>
    </w:p>
    <w:p w:rsidR="00A86150" w:rsidRDefault="00F714D4">
      <w:pPr>
        <w:numPr>
          <w:ilvl w:val="0"/>
          <w:numId w:val="354"/>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Factoring</w:t>
      </w:r>
    </w:p>
    <w:p w:rsidR="00A86150" w:rsidRDefault="00F714D4">
      <w:pPr>
        <w:pStyle w:val="ListParagraph"/>
        <w:numPr>
          <w:ilvl w:val="0"/>
          <w:numId w:val="35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an example of delegation of duties</w:t>
      </w:r>
    </w:p>
    <w:p w:rsidR="00A86150" w:rsidRDefault="00F714D4">
      <w:pPr>
        <w:pStyle w:val="ListParagraph"/>
        <w:numPr>
          <w:ilvl w:val="0"/>
          <w:numId w:val="35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involves using an account receivable as collateral for a loan</w:t>
      </w:r>
    </w:p>
    <w:p w:rsidR="00A86150" w:rsidRDefault="00F714D4">
      <w:pPr>
        <w:pStyle w:val="ListParagraph"/>
        <w:numPr>
          <w:ilvl w:val="0"/>
          <w:numId w:val="35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involves the purchase of a right to receive income from another</w:t>
      </w:r>
    </w:p>
    <w:p w:rsidR="00A86150" w:rsidRDefault="00F714D4">
      <w:pPr>
        <w:pStyle w:val="ListParagraph"/>
        <w:numPr>
          <w:ilvl w:val="0"/>
          <w:numId w:val="355"/>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all of the above</w:t>
      </w:r>
    </w:p>
    <w:p w:rsidR="00A86150" w:rsidRDefault="00F714D4">
      <w:pPr>
        <w:numPr>
          <w:ilvl w:val="0"/>
          <w:numId w:val="356"/>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Personal promises</w:t>
      </w:r>
    </w:p>
    <w:p w:rsidR="00A86150" w:rsidRDefault="00F714D4">
      <w:pPr>
        <w:pStyle w:val="ListParagraph"/>
        <w:numPr>
          <w:ilvl w:val="0"/>
          <w:numId w:val="35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always delegable</w:t>
      </w:r>
    </w:p>
    <w:p w:rsidR="00A86150" w:rsidRDefault="00F714D4">
      <w:pPr>
        <w:pStyle w:val="ListParagraph"/>
        <w:numPr>
          <w:ilvl w:val="0"/>
          <w:numId w:val="35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generally not delegable</w:t>
      </w:r>
    </w:p>
    <w:p w:rsidR="00A86150" w:rsidRDefault="00F714D4">
      <w:pPr>
        <w:pStyle w:val="ListParagraph"/>
        <w:numPr>
          <w:ilvl w:val="0"/>
          <w:numId w:val="357"/>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delegable if not prohibited by public policy</w:t>
      </w:r>
    </w:p>
    <w:p w:rsidR="00A86150" w:rsidRDefault="00F714D4">
      <w:pPr>
        <w:pStyle w:val="ListParagraph"/>
        <w:numPr>
          <w:ilvl w:val="0"/>
          <w:numId w:val="357"/>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delegable if not barred by the contract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35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5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35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5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35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Aldana v. Colonial Palms Plaza, Inc.</w:t>
      </w:r>
      <w:r>
        <w:rPr>
          <w:rFonts w:ascii="Calibri" w:eastAsia="Times New Roman" w:hAnsi="Calibri" w:cs="Calibri"/>
          <w:color w:val="333333"/>
          <w:sz w:val="20"/>
          <w:szCs w:val="20"/>
        </w:rPr>
        <w:t>, 591 So.2d 953 (Fla. Ct. App., 1991).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DuPont v. Yellow Cab Co. of Birmingham, Inc.</w:t>
      </w:r>
      <w:r>
        <w:rPr>
          <w:rFonts w:ascii="Calibri" w:eastAsia="Times New Roman" w:hAnsi="Calibri" w:cs="Calibri"/>
          <w:color w:val="333333"/>
          <w:sz w:val="20"/>
          <w:szCs w:val="20"/>
        </w:rPr>
        <w:t>, 565 So.2d 190 (Ala. 1990).</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15</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8"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Discharge of Obligations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359"/>
        </w:numPr>
        <w:shd w:val="clear" w:color="auto" w:fill="EAE9DC"/>
        <w:tabs>
          <w:tab w:val="clear" w:pos="720"/>
          <w:tab w:val="num" w:pos="1440"/>
        </w:tabs>
        <w:spacing w:after="0" w:line="439" w:lineRule="atLeast"/>
        <w:ind w:left="10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discharge of contract obligations</w:t>
      </w:r>
    </w:p>
    <w:p w:rsidR="00A86150" w:rsidRDefault="00F714D4">
      <w:pPr>
        <w:numPr>
          <w:ilvl w:val="0"/>
          <w:numId w:val="359"/>
        </w:numPr>
        <w:shd w:val="clear" w:color="auto" w:fill="EAE9DC"/>
        <w:spacing w:line="439" w:lineRule="atLeast"/>
        <w:ind w:left="10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 obligations are discharged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15.1 Discharge of Contract Duties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60"/>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performance, partial performance, or no performance may discharge contractual obligations.</w:t>
      </w:r>
    </w:p>
    <w:p w:rsidR="00A86150" w:rsidRDefault="00F714D4">
      <w:pPr>
        <w:numPr>
          <w:ilvl w:val="0"/>
          <w:numId w:val="360"/>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what rights accrue to the nonbreaching party when the other side announces, before the time for performance, that performance will not be forthcoming—anticipatory breach.</w:t>
      </w:r>
    </w:p>
    <w:p w:rsidR="00A86150" w:rsidRDefault="00F714D4">
      <w:pPr>
        <w:numPr>
          <w:ilvl w:val="0"/>
          <w:numId w:val="360"/>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concept of the right to adequate assurances, and the consequences if no such assurances are forthcoming.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is liable to perform agreed-to contract duties until or unless he or she is discharged. If the person fails to perform without being discharged, liability for damages arises. Here we deal with the second-to-the-last of the four broad themes of contract law: how contract duties are discharged.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Discharge by Performance (or Nonperformance) of the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can be discharged by complete performance or material nonperformance of the contractual duty. Note, in passing, that the modern trend at common law (and explicit under the Uniform Commercial Code [UCC], Section 1-203) is that the parties have a good-faith duty to perform to each other. There is in every contract “an implied covenant of good faith” (honesty in fact in the transaction) that the parties will deal fairly, keep their promises, and not frustrate the other party’s reasonable expectations of what was given and what received.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Full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Full performance of the contractual obligation discharges the duty. If Ralph does a fine job of plumbing Betty’s new bathroom, she pays him. Both are discharged.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Nonperformance, Material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Ralph doesn’t do any work at all on Betty’s bathroom, or almost none, then Betty owes him nothing. She—the nonbreaching party—is discharged, and Ralph is liable for breach of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UCC Section 2-106(4), a party that ends a contract breached by the other party is said to have effected a cancellation. The cancelling party retains the right to seek a remedy for breach of the whole contract or any unperformed obligation. The UCC distinguishes cancellation from termination, which occurs when either party exercises a lawful right to end the contract other than for breach. When a contract is terminated, all executory duties are discharged on both sides, but if there has been a partial breach, the right to seek a remedy survives.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Substantial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Logically, anything less than full performance, even a slight deviation from what is owed, is sufficient to prevent the duty from being discharged and can amount to a breach of contract. So if Ralph does all the plumbing for Betty’s new bathroom </w:t>
      </w:r>
      <w:r>
        <w:rPr>
          <w:rFonts w:ascii="Georgia" w:eastAsia="Times New Roman" w:hAnsi="Georgia" w:cs="Calibri"/>
          <w:i/>
          <w:iCs/>
          <w:color w:val="333333"/>
          <w:sz w:val="20"/>
          <w:szCs w:val="20"/>
          <w:lang w:val="en"/>
        </w:rPr>
        <w:t>except</w:t>
      </w:r>
      <w:r>
        <w:rPr>
          <w:rFonts w:ascii="Georgia" w:eastAsia="Times New Roman" w:hAnsi="Georgia" w:cs="Calibri"/>
          <w:color w:val="333333"/>
          <w:sz w:val="20"/>
          <w:szCs w:val="20"/>
          <w:lang w:val="en"/>
        </w:rPr>
        <w:t> hook up the toilet feed, he has not really “plumbed the new bathroom.” He has only plumbed part of it. At classic common law, that was it: either you did the thing you promised completely or you had materially breached. But under modern theories, an ameliorative doctrine has developed, called substantial performance: if one side has substantially, but not completely, performed, so that the other side has received a benefit, the nonbreaching party owes something for the value received. The Restatement (Second) of Contracts puts it this way: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Substantial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important category of disputes over failure of performance, one party asserts the right to payment on the ground that he has completed his performance, while the other party refuses to pay on the ground that there is an uncured material failure of performance.…In such cases it is common to state the issue…in terms of whether there has been substantial performance.…If there has been substantial although not full performance, the building contractor has a claim for the unpaid balance and the owner has a claim only for damages. If there has not been substantial performance, the building contractor has no claim for the unpaid balance, although he may have a claim in restitution.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contest here is between the one who claims discharge by the other’s material breach and the one who asserts there has been substantial performance. What constitutes substantial performance is a question of fact, as illustrated in </w:t>
      </w:r>
      <w:r>
        <w:rPr>
          <w:rFonts w:ascii="Georgia" w:eastAsia="Times New Roman" w:hAnsi="Georgia" w:cs="Calibri"/>
          <w:color w:val="2689C6"/>
          <w:sz w:val="20"/>
          <w:szCs w:val="20"/>
          <w:lang w:val="en"/>
        </w:rPr>
        <w:t>Section 15.2.1 "Substantial Performance; Conditions Precedent"</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TA Operating Corp. v. Solar Applications Engineering, Inc.</w:t>
      </w:r>
      <w:r>
        <w:rPr>
          <w:rFonts w:ascii="Georgia" w:eastAsia="Times New Roman" w:hAnsi="Georgia" w:cs="Calibri"/>
          <w:color w:val="333333"/>
          <w:sz w:val="20"/>
          <w:szCs w:val="20"/>
          <w:lang w:val="en"/>
        </w:rPr>
        <w:t> The doctrine has no applicability where the breaching party willfully failed to follow the contract, as where a plumber substitutes a different faucet for the one ordered; installation of the incorrect faucet is a breach, even if it is of equal or greater value than the one ordered.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UCC, there is no such thing as substantial performance. Section 2-601 requires that the goods delivered according to the contract be the exact things ordered—that there be a perfect tender (unless the parties agree otherwise).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Anticipatory Breach and Demand for Reasonable Assurances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promisor announces before the time his performance is due that he will not perform, he is said to have committed ananticipatory breach (or repudiation). Of course a person cannot fail to perform a duty before performance is due, but the law allows the promisee to treat the situation as a material breach that gives rise to a claim for damages and discharges the obligee from performing duties required of him under the contract. The common-law rule was first recognized in the well-known 1853 British case </w:t>
      </w:r>
      <w:r>
        <w:rPr>
          <w:rFonts w:ascii="Georgia" w:eastAsia="Times New Roman" w:hAnsi="Georgia" w:cs="Calibri"/>
          <w:i/>
          <w:iCs/>
          <w:color w:val="333333"/>
          <w:sz w:val="20"/>
          <w:szCs w:val="20"/>
          <w:lang w:val="en"/>
        </w:rPr>
        <w:t>Hochster v. De La Tour</w:t>
      </w:r>
      <w:r>
        <w:rPr>
          <w:rFonts w:ascii="Georgia" w:eastAsia="Times New Roman" w:hAnsi="Georgia" w:cs="Calibri"/>
          <w:color w:val="333333"/>
          <w:sz w:val="20"/>
          <w:szCs w:val="20"/>
          <w:lang w:val="en"/>
        </w:rPr>
        <w:t>. In April, De La Tour hired Hochster as his courier, the job to commence in June. In May, De La Tour changed his mind and told Hochster not to bother to report for duty. Before June, Hochster secured an appointment as courier to Lord Ashburton, but that job was not to begin until July. Also in May, Hochster sued De La Tour, who argued that he should not have to pay Hochster because Hochster had not stood ready and willing to begin work in June, having already agreed to work for Lord Ashburton. The court ruled for the plaintiff Hochster: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surely much more rational, and more for the benefit of both parties, that, after the renunciation of the agreement by the defendant, the plaintiff should be at liberty to consider himself absolved from any future performance of it, retaining his right to sue for any damage he has suffered from the breach of it. Thus, instead of remaining idle and laying out money in preparations which must be useless, he is at liberty to seek service under another employer, which would go in mitigation of the damages to which he would otherwise be entitled for a breach of the contract. It seems strange that the defendant, after renouncing the contract, and absolutely declaring that he will never act under it, should be permitted to object that faith is given to his assertion, and that an opportunity is not left to him of changing his mind.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type of anticipatory breach consists of any voluntary act by a party that destroys, or seriously impairs, that party’s ability to perform the promise made to the other side. If a seller of land, having agreed to sell a lot to one person at a date certain, sells it instead to a third party before that time, there is an anticipatory breach. If Carpenter announces in May that instead of building Owner’s deck in July, as agreed, he is going on a trip to Europe, there is an anticipatory breach. In the first instance, there would be no point to showing up at the lawyer’s office when the date arrives to await the deed, so the law gives a right to sue when the land is sold to the other person. In the second instance, there would be no point to waiting until July, when indeed Carpenter does not do the job, so the law gives the right to sue when the future nonperformance is announced.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same general rules prevail for contracts for the sale of goods under UCC Section 2-610.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Related to the concept of anticipatory breach is the idea that the obligee has a right to demand reasonable assurances from the obligor that contractual duties will be performed. If the obligee makes such ademand for reasonable assurances and no adequate assurances are forthcoming, the obligee may assume that the obligor will commit an anticipatory breach, and consider it so. That is, after making the contract, the obligee may come upon the disquieting news that the obligor’s ability to perform is shaky. A change in financial condition occurs, an unknown claimant to rights in land appears, a labor strike arises, or any of a number of situations may crop up that will interfere with the carrying out of contractual duties. Under such circumstances, the obligee has the right to a demand for reasonable assurance that the obligor will perform as contractually obligated. The general reason for such a rule is given in UCC Section 2-609(1), which states that a contract “imposes an obligation on each party that the other’s expectation of receiving due performance will not be impaired.” Moreover, an obligee would be foolish not to make alternative arrangements, if possible, when it becomes obvious that his original obligor will be unable to perform. The obligee must have reasonable grounds to believe that the obligor will breach. The fear must be that of a failure of performance that would amount to a total breach; a minor defect that can be cured and that at most would give rise to an offset in price for damages will not generally support a demand for assurances.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UCC Section 2-609(1), the demand must be in writing, but at common law the demand may be oral if it is reasonable in view of the circumstances. If the obligor fails within a reasonable time to give adequate assurance, the obligee may treat the failure to do so as an anticipatory repudiation, or she may wait to see if the obligor might change his mind and perform.</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Contracts can be discharged by performance: complete performance discharges both sides; material breach discharges the breaching party, who has a right to claim damages; substantial performance obligates the promisee to pay something for the benefit conferred but is a breach. A party may demand reasonable assurances of performance, which, if not forthcoming, may be treated as an anticipatory breach (or repudiation).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types of performance discharge a contractual obligation?</w:t>
      </w:r>
    </w:p>
    <w:p w:rsidR="00A86150" w:rsidRDefault="00F714D4">
      <w:pPr>
        <w:numPr>
          <w:ilvl w:val="0"/>
          <w:numId w:val="36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the UCC, what is the difference between cancellation and termination of a contract?</w:t>
      </w:r>
    </w:p>
    <w:p w:rsidR="00A86150" w:rsidRDefault="00F714D4">
      <w:pPr>
        <w:numPr>
          <w:ilvl w:val="0"/>
          <w:numId w:val="36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an anticipatory breach, and under what circumstances can a party claim it?</w:t>
      </w:r>
    </w:p>
    <w:p w:rsidR="00A86150" w:rsidRDefault="00F714D4">
      <w:pPr>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Discharge by Conditions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62"/>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concept of conditions in a contract.</w:t>
      </w:r>
    </w:p>
    <w:p w:rsidR="00A86150" w:rsidRDefault="00F714D4">
      <w:pPr>
        <w:numPr>
          <w:ilvl w:val="0"/>
          <w:numId w:val="362"/>
        </w:numPr>
        <w:shd w:val="clear" w:color="auto" w:fill="EAE9DC"/>
        <w:tabs>
          <w:tab w:val="clear" w:pos="720"/>
          <w:tab w:val="num" w:pos="10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conditions can be classified on the basis of how they are created, their effect on the duty to perform, the essentialness of timely performance, or performance to someone’s satisfaction.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Usually contracts consist of an exchange of promises—a pledge or commitment by each party that somebody will or will not do something. Andy’s promise to cut Anne’s lawn “over the weekend” in return for Anne’s promise to pay twenty-five dollars is a commitment to have the lawn mowed by Sunday night or Monday morning. Andy’s promise “not to tell anyone what I saw you doing Saturday night” in return for Anne’s promise to pay one hundred dollars is a commitment that an event (the revealing of a secret) will not occur. These promises are known as independent or absolute or unconditional, because their performance does not depend on any outside event. Such promises, if contractually binding, create a present duty to perform (or a duty to perform at the time stated).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it is common that the obligation to perform a contract is conditioned (or conditional). A condition is an event the happening or nonhappening of which gives rise to a duty to perform (or discharges a duty to perform). Conditions may be express or implied; they may also be precedent, concurrent, subsequent, or to the satisfaction of a party.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Conditions Classified Based on How They Are Created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Express conditions are stated in words in the contract, orally or written. Andy promises to mow Anne’s lawn “provided it doesn’t rain.” “Provided it doesn’t rain” is an express condition. If rain comes, there is no duty to cut the lawn, and Andy’s failure to do so is not a breach of promise. Express conditions are usually introduced by language such as “provided that,” “if,” “when,” “assuming that,” “as soon as,” “after,” and the like. Implied conditions are unexpressed but understood to be part of the contract. If Mr. Olson guarantees Jack’s used car for ninety days, it is implied that his obligation to fix any defects doesn’t arise until Jack lets him know the car is defective. If Ralph is hired to plumb Betty’s new bathroom, it is implied that Betty’s duty to pay is conditioned on Ralph’s completion of the job.</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Conditions Classified Based on Their Effect on Duty to Perform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condition precedent is a term in a contract (express or implied) that requires performance only in the event something else happens first. Jack will buy a car from Mr. Olson if Jack gets financing. “If Jack gets financing” is a condition precedent. A concurrent condition arises when the duty to perform the contract is simultaneous: the promise of a landowner to transfer title to the purchaser and the purchaser to tender payment to the seller. The duty of each to perform is conditioned on the performance by the other. (As a practical matter, of course, somebody has to make the first move, proffering deed or tendering the check.) A condition that terminates an already existing duty of performance is known as a condition subsequent. Ralph agrees to do preventive plumbing maintenance on Deborah Dairy’s milking equipment for as long as David Dairy, Deb’s husband, is stationed overseas. When David returns, Ralph’s obligation to do the maintenance (and Deb’s duty to pay him) terminates.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Condition of Timeliness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as often occurs, it does not matter a great deal whether a contract is performed exactly on time, failure to do so is not a material breach, and the promisee has to accept the performance and deduct any losses caused by the delay. If, though, it makes a difference to the promisee whether the promisor acts on time, then it is said that “time is of the essence.” Time as a condition can be made explicit in a clause reciting that time is of the essence. If there is no express clause, the courts will read it in when the purpose of the contract was clearly to provide for performance at or by a certain time, and the promisee will gain little from late performance. But even express clauses are subject to a rule of reason, and if the promisor would suffer greatly by enforcement of the clause (and the promisee would suffer only slightly or not at all from a refusal to invoke it), the courts will generally excuse the untimely performance, as long as it was completed within a reasonable time. A builder’s failure to finish a house by July 1 will not discharge the buyer’s obligation to pay if the house is finished a week or even a month later, although the builder will be liable to the buyer for expenses incurred because of the lateness (storage charges for furniture, costs for housing during the interim, extra travel, and the like).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Condition That a Party Must Be Satisfied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must be satisfied or your money back” is a common advertisement. A party to a contract can require that he need not pay or otherwise carry out his undertaking unless satisfied by the obligor’s performance, or unless a third party is satisfied by the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Parties may contract to perform to one side’s personal satisfaction. Andy tells Anne, a prospective client, that he will cut her hair better than her regular hairdresser, and that if she is not satisfied, she need not pay him. Andy cuts her hair, but Anne frowns and says, “I don’t like it.” Assume that Andy’s work is excellent. Whether Anne must pay depends on the standard for judging to be employed—a standard of objective or subjective satisfaction. The objective standard is that which would satisfy the reasonable purchaser. Most courts apply this standard when the contract involves the performance of a mechanical job or the sale of a machine whose performance is capable of objective measurement. So even if the obligee requires performance to his “personal satisfaction,” the courts will hold that the obligor has performed if the service performed or the goods produced are in fact satisfactory. By contrast, if the goods or services contracted for involve personal judgment and taste, the duty to pay will be discharged if the obligee states personal (subjective) dissatisfaction. No reason at all need be given, but it must be for a good-faith reason, not just to escape payment.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duty to make a contract payment may be conditioned on the satisfaction of a third party. Building contracts frequently make the purchaser’s duty to pay conditional on the builder’s receipt of an architect’s certificate of compliance with all contractual terms; road construction contracts often require that the work be done “to the satisfaction of the County Engineer.” These conditions can be onerous. The builder has already erected the structure and cannot “return” what he has done. Nevertheless, because the purchaser wants assurance that the building (obviously a major purchase) or road meets his specifications, the courts will hold the contractor to the condition unless it is impossible to provide a certificate (e.g., architect may have died) or the architect has acted in bad faith, or the purchaser has somehow prevented the certificate from issuing. The third party’s refusal to issue a certificate needs to be reasonable.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Parties may, expressly or implicitly, condition the requirement for contractual performance on the happening or nonhappening of an event, or on timeliness. They may condition performance on satisfaction to one of the parties to the contract or to the satisfaction of a third party; in any event, dissatisfaction must be in good faith.</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6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“conditioned” by a condition in a contract?</w:t>
      </w:r>
    </w:p>
    <w:p w:rsidR="00A86150" w:rsidRDefault="00F714D4">
      <w:pPr>
        <w:numPr>
          <w:ilvl w:val="0"/>
          <w:numId w:val="36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conditions are based on how they are made?</w:t>
      </w:r>
    </w:p>
    <w:p w:rsidR="00A86150" w:rsidRDefault="00F714D4">
      <w:pPr>
        <w:numPr>
          <w:ilvl w:val="0"/>
          <w:numId w:val="36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conditions are based on their effect on the duty of performance?</w:t>
      </w:r>
    </w:p>
    <w:p w:rsidR="00A86150" w:rsidRDefault="00F714D4">
      <w:pPr>
        <w:numPr>
          <w:ilvl w:val="0"/>
          <w:numId w:val="36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typical situations involve performance to a party’s satisfaction?</w:t>
      </w:r>
    </w:p>
    <w:p w:rsidR="00A86150" w:rsidRDefault="00F714D4">
      <w:pPr>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Discharge by Agreement of the Parties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364"/>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there are various ways the parties may agree between themselves to terminate mutual obligations under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Parties are free to agree to almost any contract they want, and they are free to agree to end the contract whenever they want. There are several ways this is done.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Mutual Rescission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parties may agree to give up the duties to perform, called mutual rescission. This may be by a formal written release saying the obligor is discharged upon delivery of the writing or upon occurrence of a condition. Or an obligation may be discharged by a contract not to sue about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terms this an agreement of rescission.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An agreement to rescind will be given effect even though partial performance has been made or one or both parties have a claim for partial breach. The agreement need not be in writing or even expressed in words. By their actions, such as failure to take steps to perform or enforce, the parties may signal their mutual intent to rescind. Andy starts to mow Anne’s lawn as they agreed. He begins the job, but it is unbearably hot. She sees how uncomfortable he is and readily agrees with him when he says, “Why don’t we just forget the whole thing?” Andy’s duty to finish mowing is discharged, as is Anne’s duty to pay Andy, either for the whole job or for the part he has done.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Business executives live by contracts, but they do not necessarily die by them. A sociologist who studied business behavior under contract discovered a generation ago—and it is still valid—that in the great majority of cases in which one party wishes to “cancel an order,” the other party permits it without renegotiation, even though the cancellation amounts to a repudiation of a contract. As one lawyer was quoted as saying,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business[people] do not feel they have “a contract”—rather they have an “order.” They speak of “cancelling the order” rather than “breaching our contract.” When I began practice I referred to order cancellations as breaches of contract, but my clients objected since they do not think of cancellation as wrong. Most clients, in heavy industry at least, believe that there is a right to cancel as part of the buyer-seller relationship. There is a widespread attitude that one can back out of any deal within some very vague limits. Lawyers are often surprised by this attitude.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attitude is understandable. People who depend for their economic survival on continuing relationships will be loath to react to every change in plans with a lawsuit. The legal consequences of most of these cancellations are an agreement of rescission. Under UCC Section 2-720, the use of a word like “cancellation” or “rescission” does not by itself amount to a renunciation of the right to sue for breach of a provision that occurred before the rescission. If the parties mean to discharge each other fully from all duties owed, they must say so explicitly. Actions continue to speak more loudly than words, however, and in law, so can inactions. Legal rights under contracts may be lost by both parties if they fail to act; by abandoning their claims, they can affect rescission.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Waiver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means of discharge is by waiver, whereby a party voluntarily gives up a right she has under a contract but doesn’t give up the entire right to performance by the other side. Tenant is supposed to pay rent on the first of the month, but because his employer pays on the tenth, Tenant pays Landlady on that day. If Landlady accepts the late payment without objection, she has waived her right to insist on payment by the first of the month, unless the lease provides that no waiver occurs from the acceptance of any late payments. See</w:t>
      </w:r>
      <w:r>
        <w:rPr>
          <w:rFonts w:ascii="Georgia" w:eastAsia="Times New Roman" w:hAnsi="Georgia" w:cs="Calibri"/>
          <w:color w:val="2689C6"/>
          <w:sz w:val="20"/>
          <w:szCs w:val="20"/>
          <w:lang w:val="en"/>
        </w:rPr>
        <w:t>Section 15.2.2 "Waiver of Contract Rights; Nonwaiver Provisions"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Minor v. Chase Auto Finance Corporation</w:t>
      </w:r>
      <w:r>
        <w:rPr>
          <w:rFonts w:ascii="Georgia" w:eastAsia="Times New Roman" w:hAnsi="Georgia" w:cs="Calibri"/>
          <w:color w:val="333333"/>
          <w:sz w:val="20"/>
          <w:szCs w:val="20"/>
          <w:lang w:val="en"/>
        </w:rPr>
        <w:t>. A “waiver” is permission to deviate from the contract; a “release” means to let go of the whole thing.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Substituted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Discharge by substituted agreement is a third way of mutual rescission. The parties may enter into a novation, either a new contract or one whereby a new person is substituted for the original obligor, and the latter is discharged. If Mr. Olson is obligated to deliver a car to Jack, Jack and Mr. Olson may agree that Dewey Dealer should deliver the car to Jack instead of Mr. Olson; the latter is discharged by this novation. A substituted agreement may also simply replace the original one between the original parties.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Accord and Satisfaction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Discharge by accord and satisfaction is a fourth way of mutual rescission. Here the parties to a contract (usually a disputed one) agree to substitute some performance different from what was originally agreed, and once this new agreement is executed, the original contract (as well as the more recent accord) is satisfied. But before then, the original agreement is only suspended: if the obligor does not satisfy the accord, the other side can sue on the original obligation or on the accord.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Parties to a contract may agree to give it up. This may be by mutual rescission, release, waiver, novation, substituted agreement, or accord and satisfaction.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65"/>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mutual rescission discharge a common-law contract without apparent new consideration?</w:t>
      </w:r>
    </w:p>
    <w:p w:rsidR="00A86150" w:rsidRDefault="00F714D4">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a substituted agreement and a novation?</w:t>
      </w:r>
    </w:p>
    <w:p w:rsidR="00A86150" w:rsidRDefault="00F714D4">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happens if the parties negotiate an accord and satisfaction and one side fails to perform it?</w:t>
      </w:r>
    </w:p>
    <w:p w:rsidR="00A86150" w:rsidRDefault="00F714D4">
      <w:pPr>
        <w:numPr>
          <w:ilvl w:val="0"/>
          <w:numId w:val="365"/>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an obligee accepts performance from the obligor that deviates from the contract, under what circumstances can the obligee nevertheless insist on strict compliance in the future?</w:t>
      </w:r>
    </w:p>
    <w:p w:rsidR="00A86150" w:rsidRDefault="00F714D4">
      <w:pPr>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Discharge When Performance Becomes Impossible or Very Difficult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366"/>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there are several circumstances when performance of the contract becomes variously impossible, very difficult, or useless, and that these may give rise to discharge.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at least five circumstances in which parties may be discharged from contractual obligations because performance is impossible, difficult, or useless.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Every contract contains some element of risk: the buyer may run out of money before he can pay; the seller may run out of goods before he can deliver; the cost of raw materials may skyrocket, throwing off the manufacturer’s fine financial calculations. Should the obligor’s luck run out, he is stuck with the consequences—or, in the legal phrase, his liability is strict: he must either perform or risk paying damages for breach of contract, even if his failure is due to events beyond his control. Of course, an obligor can always limit his liability through the contract itself. Instead of obligating himself to deliver one million units, he can restrict his obligation to “one million units or factory output, whichever is less.” Instead of guaranteeing to finish a job by a certain date, he can agree to use his “best efforts” to do so. Similarly, damages in the event of breach can be limited. A party can even include a clause canceling the contract in the event of an untoward happening. But if these provisions are absent, the obligor is generally held to the terms of his bargain.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Exceptions include the concepts of impossibility, impracticability, and frustration of purpose.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Impossibility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performance is impossible, the duty is discharged. The categories here are death or incapacity of a personal services contractor, destruction of a thing necessary for performance, and performance prohibited by government order.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Death or Incapacity of a Personal Services Contractor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Buyer makes a contract to purchase a car and dies before delivery, Buyer’s estate could be held liable; it is not impossible (for the estate) to perform. The estate of a painter hired to do a portrait cannot be sued for damages because the painter died before she could complete the work.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Destruction or Deterioration of a Thing Necessary for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specific object is necessary for the obligor’s performance, its destruction or deterioration making its use impracticable (or its failure to come into existence) discharges the obligor’s duty. Diane’s Dyers contracts to buy the annual wool output of the Sheepish Ranch, but the sheep die of an epidemic disease before they can be shorn. Since the specific thing for which the contract was made has been destroyed, Sheepish is discharged from its duty to supply Diane’s with wool, and Diane’s has no claim against the Ranch. However, if the contract had called for a quantity of wool, without specifying that it was to be from Sheepish’s flock, the duty would not be discharged; since wool is available on the open market, Sheepish could buy that and resell it to Diane’s.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Performance Prohibited by Government Regulation or Order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government promulgates a rule after a contract is made, and the rule either bars performance or will make it impracticable, the obligor’s duty is discharged. An obligor is not required to break the law and risk the consequences. Financier Bank contracts to sell World Mortgage Company certain collateralized loan instruments. The federal government, in a bank reform measure, prohibits such sales. The contract is discharged. If the Supreme Court later declared the prohibition unconstitutional, World Mortgage’s duty to buy (or Financier Bank’s to sell) would not revive.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Impracticability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Less entirely undoable than impossibility, but still grounds for discharge, are common-law impracticability and its relative, commercial impracticability.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Common-Law Impracticability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Impracticability is said to exist when there is a radical departure from the circumstances that the parties reasonably contemplated would exist at the time they entered into the contract; on such facts, the courts might grant relief. They will do so when extraordinary circumstances (often called “acts of God” or “force majeure”) make it unjust to hold a party liable for performance. Although the justification for judicial relief could be found in an implied condition in all contracts that extraordinary events shall not occur, the Restatement eschews so obvious a bootstrap logic and adopts the language of UCC Section 2-615(a), which states that the crux of the analysis is whether the nonoccurrence of the extraordinary circumstance was “a basic assumption on which the contract was made.”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If it was—if, that is, the parties assumed that the circumstance would not occur—then the duty is discharged if the circumstance later does occur.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one well-known case, </w:t>
      </w:r>
      <w:r>
        <w:rPr>
          <w:rFonts w:ascii="Georgia" w:eastAsia="Times New Roman" w:hAnsi="Georgia" w:cs="Calibri"/>
          <w:i/>
          <w:iCs/>
          <w:color w:val="333333"/>
          <w:sz w:val="20"/>
          <w:szCs w:val="20"/>
          <w:lang w:val="en"/>
        </w:rPr>
        <w:t>Autry v. Republic Productions</w:t>
      </w:r>
      <w:r>
        <w:rPr>
          <w:rFonts w:ascii="Georgia" w:eastAsia="Times New Roman" w:hAnsi="Georgia" w:cs="Calibri"/>
          <w:color w:val="333333"/>
          <w:sz w:val="20"/>
          <w:szCs w:val="20"/>
          <w:lang w:val="en"/>
        </w:rPr>
        <w:t>, the famous cowboy movie star Gene Autry had a contract to perform to the defendant. He was drafted into the army in 1942; it was temporarily, at least, impossible for him to perform his movie contractual obligations incurred prior to his service. When he was discharged in 1945, he sued to be relieved of the prewar obligations. The court took notice that there had been a long interruption in Autry’s career and of “the great decrease in the purchasing power of the dollar”—postwar inflation—and determined that to require him to perform under the old contract’s terms would work a “substantial hardship” on him. A world war is an extraordinary circumstance. The temporary impossibility had transformed into impracticability.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Impracticability refers to the performance, not to the party doing it. Only if the performance is impracticable is the obligor discharged. The distinction is between “the thing cannot be done” and “I cannot do it.” The former refers to that which is objectively impracticable, and the latter to that which is subjectively impracticable. That a duty is subjectively impracticable does not excuse it if the circumstances that made the duty difficult are not extraordinary. A buyer is liable for the purchase price of a house, and his inability to raise the money does not excuse him or allow him to escape from a suit for damages when the seller tenders the deed.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If Andy promises to transport Anne to the football stadium for ten dollars, he cannot wriggle out of his agreement because someone smashed into his car (rendering it inoperable) a half hour before he was due to pick her up. He could rent a car or take her in a taxi, even though that will cost considerably more than the sum she agreed to pay him. But if the agreement was that he would transport her in his car, then the circumstances make his performance </w:t>
      </w:r>
      <w:r>
        <w:rPr>
          <w:rFonts w:ascii="Georgia" w:eastAsia="Times New Roman" w:hAnsi="Georgia" w:cs="Calibri"/>
          <w:b/>
          <w:bCs/>
          <w:color w:val="333333"/>
          <w:sz w:val="20"/>
          <w:szCs w:val="20"/>
          <w:lang w:val="en"/>
        </w:rPr>
        <w:t>objectively impracticable</w:t>
      </w:r>
      <w:r>
        <w:rPr>
          <w:rFonts w:ascii="Georgia" w:eastAsia="Times New Roman" w:hAnsi="Georgia" w:cs="Calibri"/>
          <w:color w:val="333333"/>
          <w:sz w:val="20"/>
          <w:szCs w:val="20"/>
          <w:lang w:val="en"/>
        </w:rPr>
        <w:t>—the equivalent of impossible—and he is excused.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Commercial Impracticability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common-law concept of impracticability has been adopted by the UCC.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When performance cannot be undertaken except with extreme difficulty or at highly unreasonable expense, it might be excused on the theory ofcommercial impracticability. However, “impracticable” (the action is impossible) is not the same as “impractical” (the action would yield an insufficient return or would have little practical value). The courts allow a considerable degree of fluctuation in market prices, inflation, weather, and other economic and natural conditions before holding that an extraordinary circumstance has occurred. A manufacturer that based its selling price on last year’s costs for raw materials could not avoid its contracts by claiming that inflation within the historical range had made it difficult or unprofitable to meet its commitments. Examples of circumstances that could excuse might be severe limitations of supply due to war, embargo, or a natural disaster. Thus a shipowner who contracted with a purchaser to carry goods to a foreign port would be excused if an earthquake destroyed the harbor or if war broke out and the military authorities threatened to sink all vessels that entered the harbor. But if the shipowner had planned to steam through a canal that is subsequently closed when a hostile government seizes it, his duty is not discharged if another route is available, even if the route is longer and consequently more expensive.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Frustration of Purpose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parties made a basic assumption, express or implied, that certain circumstances would not arise, but they do arise, then a party is discharged from performing his duties if his principal purpose in making the contract has been “substantially frustrated.” This is not a rule of objective impossibility. It operates even though the parties easily might be able to carry out their contractual duties. The frustration of purpose doctrine comes into play when circumstances make the value of one party’s performance virtually worthless to the other. This rule does not permit one party to escape a contract simply because he will make less money than he had planned or because one potential benefit of the contract has disappeared. The purpose that is frustrated must be the core of the contract, known and understood by both parties, and the level of frustration must be severe; that is, the value of the contract to the party seeking to be discharged must be destroyed or nearly destroyed.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classic illustration of frustration of purpose is the litigation that gave birth to the rule: the so-called coronation cases. In 1901, when King Edward VII was due to be crowned following the death of Queen Victoria, a parade route was announced for the coronation. Scores of people rented rooms in buildings that lined the streets of the route to watch the grand spectacle. But the king fell ill, and the procession was canceled. Many expectant viewers failed to pay, and the building owners took them to court; many lessees who had paid took the owners to court to seek refunds. The court declared that the lessees were not liable because the purpose of the contract had been frustrated by the king’s illness.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Supervening government regulations (though here different from illegality), floods that destroy buildings in which an event was to take place, and business failures may all contribute to frustration of purpose. But there can be no general rule: the circumstances of each case are determinative. Suppose, for example, that a manufacturer agrees to supply a crucial circuit board to a computer maker who intends to sell his machine and software to the government for use in the international space station’s ventilation systems. After the contract is made but before the circuit boards are delivered, the government decides to scrap that particular space station module. The computer manufacturer writes the circuit board maker, canceling the contract. Whether the manufacturer is discharged depends on the commercial prospects for the computer and the circuit board. If the circuit board can be used only in the particular computer, and it in turn is only of use on the space station, the duty to take the boards is discharged. But if the computer can be sold elsewhere, or the circuit boards can be used in other computers that the manufacturer makes, it is liable for breach of contract, since its principal purpose—selling computers—is not frustrated.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before, the parties can provide in the contract that the duty is absolute and that no supervening event shall give rise to discharge by reason of frustration of purpose.</w:t>
      </w:r>
    </w:p>
    <w:p w:rsidR="00A86150" w:rsidRDefault="00A86150">
      <w:pPr>
        <w:shd w:val="clear" w:color="auto" w:fill="FFFFFF"/>
        <w:spacing w:line="439" w:lineRule="atLeast"/>
        <w:textAlignment w:val="baseline"/>
        <w:rPr>
          <w:rFonts w:ascii="Georgia" w:eastAsia="Times New Roman" w:hAnsi="Georgia" w:cs="Calibri"/>
          <w:color w:val="333333"/>
          <w:sz w:val="20"/>
          <w:szCs w:val="20"/>
          <w:lang w:val="en"/>
        </w:rPr>
      </w:pP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obligations to perform under a contract cannot be dismissed lightly, but a person’s duty to perform a contract duty may be discharged if it becomes impossible or very difficult to do it. This includes impossibility, common-law impracticability, commercial impracticability under the UCC, and frustration of purpose.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67"/>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it is possible to perform a contract, why might a party be excused because of frustration of purpose?</w:t>
      </w:r>
    </w:p>
    <w:p w:rsidR="00A86150" w:rsidRDefault="00F714D4">
      <w:pPr>
        <w:numPr>
          <w:ilvl w:val="0"/>
          <w:numId w:val="36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impractical and impracticable?</w:t>
      </w:r>
    </w:p>
    <w:p w:rsidR="00A86150" w:rsidRDefault="00F714D4">
      <w:pPr>
        <w:numPr>
          <w:ilvl w:val="0"/>
          <w:numId w:val="367"/>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would supervening government regulation be different from supervening illegality?</w:t>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Other Methods of Discharge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68"/>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when alteration, power of avoidance, the statute of limitations, and bankruptcy discharge parties from contracts.</w:t>
      </w:r>
    </w:p>
    <w:p w:rsidR="00A86150" w:rsidRDefault="00F714D4">
      <w:pPr>
        <w:numPr>
          <w:ilvl w:val="0"/>
          <w:numId w:val="368"/>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addition to performance (or lack of it), agreement of the parties, the happening or nonhappening of conditions, and variations on the theme of impossibility, there are several other ways contract duties may be discharged.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Cancellation, Destruction, or Surrender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obligee may unilaterally discharge the obligor’s duty toward him by canceling, destroying, or surrendering the written document embodying the contract or other evidence of the duty. No consideration is necessary; in effect, the obligee is making a gift of the right that he possesses. No particular method of cancellation, destruction, or surrender is necessary, as long as the obligee manifests his intent that the effect of his act is to discharge the duty. The entire document can be handed over to the obligor with the words, “Here, you don’t owe me anything.” The obligee can tear the paper into pieces and tell the obligor that he has done so because he does not want anything more. Or he can mutilate the signatures or cross out the writing.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Power of Avoidance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contractual duty can be discharged if the obligor can avoid the contract. As discussed in </w:t>
      </w:r>
      <w:r>
        <w:rPr>
          <w:rFonts w:ascii="Georgia" w:eastAsia="Times New Roman" w:hAnsi="Georgia" w:cs="Calibri"/>
          <w:color w:val="2689C6"/>
          <w:sz w:val="20"/>
          <w:szCs w:val="20"/>
          <w:lang w:val="en"/>
        </w:rPr>
        <w:t>Chapter 10 "Real Assent"</w:t>
      </w:r>
      <w:r>
        <w:rPr>
          <w:rFonts w:ascii="Georgia" w:eastAsia="Times New Roman" w:hAnsi="Georgia" w:cs="Calibri"/>
          <w:color w:val="333333"/>
          <w:sz w:val="20"/>
          <w:szCs w:val="20"/>
          <w:lang w:val="en"/>
        </w:rPr>
        <w:t>, a contract is either void or can be avoided if one of the parties lacked capacity (infancy, insanity); if there has been duress, undue influence, misrepresentation, or mistake; or the contract is determined to be unconscionable. Where a party has a power of avoidance and exercises it, that party is discharged from further obligation.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 of Limitations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an obligor has breached a contract, the obligee has the right to sue in court for a remedy. But that right does not last forever. Every state has statutes of limitations that establish time periods within which the suit must be brought (different time periods are spelled out for different types of legal wrongs: contract breach, various types of torts, and so on). The time period for contract actions under most statutes of limitations ranges between two and six years. The UCC has a four-year statute of limitations.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The period begins to run from the day on which the suit could have been filed in court—for example, from the moment of contract breach. An obligee who waits until after the statute has run—that is, does not seek legal relief within the period prescribed by the statute of limitations—is barred from going to court thereafter (unless she is under some incapacity like infancy), but the obligor is not thereby discharged. The effect is simply that the obligee has no legal remedy. If the parties have a continuing relationship, the obligee might be able to recoup—for example, by applying a payment for another debt to the one barred by the statute, or by offsetting a debt the obligee owes to the obligor.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Bankruptcy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federal bankruptcy laws as discussed in </w:t>
      </w:r>
      <w:r>
        <w:rPr>
          <w:rFonts w:ascii="Georgia" w:eastAsia="Times New Roman" w:hAnsi="Georgia" w:cs="Calibri"/>
          <w:color w:val="2689C6"/>
          <w:sz w:val="20"/>
          <w:szCs w:val="20"/>
          <w:lang w:val="en"/>
        </w:rPr>
        <w:t>Chapter 35 "Bankruptcy"</w:t>
      </w:r>
      <w:r>
        <w:rPr>
          <w:rFonts w:ascii="Georgia" w:eastAsia="Times New Roman" w:hAnsi="Georgia" w:cs="Calibri"/>
          <w:color w:val="333333"/>
          <w:sz w:val="20"/>
          <w:szCs w:val="20"/>
          <w:lang w:val="en"/>
        </w:rPr>
        <w:t>, certain obligations are discharged once a court declares a debtor to be bankrupt. The law spells out the particular types of debts that are canceled upon bankruptcy.</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duties may be discharged by cancellation, destruction, or surrender of the written contract; by the running of the statute of limitations; or by bankruptcy.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89"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2-106(3).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237(d).</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Hochster v. De La Tour</w:t>
      </w:r>
      <w:r>
        <w:rPr>
          <w:rFonts w:ascii="Calibri" w:eastAsia="Times New Roman" w:hAnsi="Calibri" w:cs="Calibri"/>
          <w:color w:val="333333"/>
          <w:sz w:val="20"/>
          <w:szCs w:val="20"/>
        </w:rPr>
        <w:t>, 2 Ellis &amp; Blackburn 678 (Q.B. 1853).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283.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Stewart Macaulay, “Non-contractual Relations in Business: A Preliminary Study,”</w:t>
      </w:r>
      <w:r>
        <w:rPr>
          <w:rFonts w:ascii="Calibri" w:eastAsia="Times New Roman" w:hAnsi="Calibri" w:cs="Calibri"/>
          <w:i/>
          <w:iCs/>
          <w:color w:val="333333"/>
          <w:sz w:val="20"/>
          <w:szCs w:val="20"/>
        </w:rPr>
        <w:t>American Sociological Review</w:t>
      </w:r>
      <w:r>
        <w:rPr>
          <w:rFonts w:ascii="Calibri" w:eastAsia="Times New Roman" w:hAnsi="Calibri" w:cs="Calibri"/>
          <w:color w:val="333333"/>
          <w:sz w:val="20"/>
          <w:szCs w:val="20"/>
        </w:rPr>
        <w:t> 28, no. 1 (1963): 55, 61.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Restatement (Second) of Contracts, Section 261.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Autry v. Republic Productions</w:t>
      </w:r>
      <w:r>
        <w:rPr>
          <w:rFonts w:ascii="Calibri" w:eastAsia="Times New Roman" w:hAnsi="Calibri" w:cs="Calibri"/>
          <w:color w:val="333333"/>
          <w:sz w:val="20"/>
          <w:szCs w:val="20"/>
        </w:rPr>
        <w:t>, 180 P.2d 144 (Calif. 1947).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Christy v. Pilkinton</w:t>
      </w:r>
      <w:r>
        <w:rPr>
          <w:rFonts w:ascii="Calibri" w:eastAsia="Times New Roman" w:hAnsi="Calibri" w:cs="Calibri"/>
          <w:color w:val="333333"/>
          <w:sz w:val="20"/>
          <w:szCs w:val="20"/>
        </w:rPr>
        <w:t>, 273 S.W.2d 533 (Ark. 1954).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Uniform Commercial Code, Section 2-615.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Uniform Commercial Code, Section 2-725.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15.2</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Substantial Performance; Conditions Precedent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 Operating Corp. v. Solar Applications Engineering,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191 S.W.3d 173 (Tex. Ct. App. 2005)</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 Operating Corporation, a truck stop travel center company, contracted with Solar Applications Engineering, Inc. to construct a prototype multi-use truck stop in San Antonio for a fixed price of $3,543,233.…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project was near] completion, TA sent Solar a “punch list” of items that needed to be finished to complete the building. Solar disputed several items on the list and delivered a response to TA listing the items Solar would correct.…Solar began work on the punch list items and filed a lien affidavit [a property that carries a lien can be forced into sale by the creditor in order to collect what is owed] against the project on October 2, 2000 in the amount of $472,392.77. TA understood the lien affidavit to be a request for final payment.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October 18, 2000, TA sent notice to Solar that Solar was in default for not completing the punch list items, and for failing to keep the project free of liens. TA stated in the letter that Solar was not entitled to final payment until it completed the remainder of the punch list items and provided documentation that liens filed against the project had been paid.…Solar acknowledged at least two items on the punch list had not been completed, and submitted a final application for payment in the amount of $472,148,77.…TA refused to make final payment, however, contending that Solar had not complied with section 14.07 of the contract, which expressly made submission of a [lien-release] affidavit a condition precedent to final payment:…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final Application for Payment shall be accompanied by:…complete and legally effective releases or waivers…of all lien rights arising out of or liens filed in connection with the work.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Solar did not comply with this condition precedent to final payment, Solar sued TA for breach of contract under the theory of substantial performance.…TA [asserts that] the doctrine of substantial performance does not excuse Solar’s failure to comply with an express condition precedent to final payment.…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issue we must resolve is whether the doctrine of substantial performance excuses the breach of an express condition precedent to final payment that is unrelated to completion of the building. TA acknowledges that Solar substantially performed its work on the project, but contends its duty to pay was not triggered until Solar pleaded or proved it provided TA with documentation of complete and legally effective releases or waivers of all liens filed against the project.…TA contends that when the parties have expressly conditioned final payment on submission of [a liens-release] affidavit, the owner’s duty to pay is not triggered until the contractor pleads or proves it complied with the condition precedent.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Solar contends that although it did not submit [a liens-release] affidavit in accordance with the contract, it may still recover under the contract pursuant to the substantial performance doctrine. Solar argues that to hold otherwise would bring back the common law tradition that the only way for a contractor to recover under a contract is full, literal performance of the contract’s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the common law did at one time require strict compliance with the terms of a contract, this rule has been modified for building or construction contracts by the doctrine of substantial performance. “Substantial performance” was defined by the Texas [court] in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not so essential that the object of the parties in making the contract and its purpose cannot without difficulty, be accomplished by remedying them. Such performance permits only such omissions or deviation from the contract as are inadvertent and unintentional, are not due to bad faith, do not impair the structure as a whole, and are remediable without doing material damage to other parts of the building in tearing down and reconstructing.</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doctrine of substantial performance recognizes that the contractor has not completed construction, and therefore is in breach of the contract. Under the doctrine, however, the owner cannot use the contractor’s failure to complete the work as an excuse for non-payment. “By reason of this rule a contractor who has in good faith substantially performed a building contract is permitted to sue under the contract, substantial performance being regarded as full performance, so far as a condition precedent to a right to recover thereunder is concerned.”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Solar argues that by agreeing substantial performance occurred, TA acknowledged that Solar was in “full compliance” with the contract and any express conditions to final payment did not have to be met. [Citation]: “[a] finding that a contract has been substantially completed is the legal equivalent of full compliance, less any offsets for remediable defects.” Solar argues that TA may not expressly provide for substantial performance in its contract and also insist on strict compliance with the conditions precedent to final payment. We disagree. While the substantial performance doctrine permits contractors to sue under the contract, it does not ordinarily excuse the non-occurrence of an express condition precedent: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acceptance of the doctrine of substantial performance does not mean that the parties may not expressly contract for literal performance of the contract terms.…Stated otherwise, if the terms of an agreement make full or strict performance an express condition precedent to recovery, then substantial performance will not be sufficient to enable recovery under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15 Williston on Contracts § 44.53 (4th Ed.2000) (citing Restatement (Second) of Contracts, § 237, cmt. d (1981)).…</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 seeking protection from double liability and title problems, expressly conditioned final payment on Solar’s submission of a [liens-release] affidavit. Solar did not dispute that it was contractually obligated to submit the affidavit as a condition precedent to final payment, and it was undisputed at trial that $246,627.82 in liens had been filed against the project. Though the doctrine of substantial performance permitted Solar to sue under the contract, Solar did not plead or prove that it complied with the express condition precedent to final payment. Had Solar done so, it would have been proper to award Solar the contract balance minus the cost of remediable defects. While we recognize the harsh results occasioned from Solar’s failure to perform this express condition precedent, we recognize that parties are free to contract as they choose and may protect themselves from liability by requesting literal performance of their conditions for final payment.…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erred in awarding Solar the contract balance [as] damages, and we render judgment that Solar take nothing on its breach of contract claim.</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Solar believe it was entitled to the contract balance here?</w:t>
      </w:r>
    </w:p>
    <w:p w:rsidR="00A86150" w:rsidRDefault="00F714D4">
      <w:pPr>
        <w:numPr>
          <w:ilvl w:val="0"/>
          <w:numId w:val="3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determine that Solar should not have been awarded the contract damages that it claimed, even though it substantially complied?</w:t>
      </w:r>
    </w:p>
    <w:p w:rsidR="00A86150" w:rsidRDefault="00F714D4">
      <w:pPr>
        <w:numPr>
          <w:ilvl w:val="0"/>
          <w:numId w:val="36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has the common law changed in regard to demanding strict compliance with a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Waiver of Contract Rights; Nonwaiver Provisions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Minor v. Chase Auto Finance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—S.W.3d——, 2010 WL 2006401 (Ark. 2010)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Sheffield,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been asked to determine whether non-waiver and no-unwritten-modifications clauses in a [contract] preclude a creditor from waiving future strict compliance with the agreement by accepting late payments.…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Appellant Mose Minor (Minor) entered into a Simple Interest Motor Vehicle Contract and Security Agreement with Appellee Chase Auto Finance Corporation (Chase) to finance the purchase of a 2003 Toyota Tundra. By the terms of the agreement, Minor was to make sixty-six payments of $456.99 on the fourteenth of each month.…The agreement also included the following relevant provisions: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 Default: If you…default in the performance of any promise you make in this contract or any other contract you have with us, including, but not limited to, failing to make any payments when due, or become insolvent, or file any proceeding under the U.S. Bankruptcy Code,…we may at our option and without notice or demand (1) declare all unpaid sums immediately due and payable subject to any right of reinstatement as required by law (2) file suit against you for all unpaid sums (3) take immediate possession of the vehicle (4) exercise any other legal or equitable remedy.…Our remedies are cumulative and taking of any action shall not be a waiver or prohibit us from pursuing any other remedy. You agree that upon your default we shall be entitled to recover from you our reasonable collection costs, including, but not limited to, any attorney’s fee. In addition, if we repossess the vehicle, you grant to us and our agents permission to enter upon any premises where the vehicle is located. Any repossession will be performed peacefully.…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 Other Agreements of Buyer:…(2) You agree that if we accept moneys in sums less than those due or make extensions of due dates of payments under this contract, doing so will not be a waiver of any later right to enforce the contract terms as written.…(12) All of the agreements between us and you are set forth in this contract and no modification of this contract shall be valid unless it is made in writing and signed by you and us.…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 Delay in Enforcement: We can delay or waive enforcement of any of our rights under this contract without losing them.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Minor’s first payment was late, as were several subsequent payments. At times he failed to make any payment for months. Chase charged a late fee for each late payment, and sent several letters requesting payment and offering to assist Minor with his account. Chase also warned Minor that continued failure to make payments would result in Chase exercising its legal options available under the agreement, including repossession of the vehicle.…At one point, Minor fell so far behind in his payments that Chase was on the verge of repossessing the vehicle. However…the parties agreed to a two-month extension of the agreement.…The extension agreement indicated that all other terms and conditions of the original contract would remain the same.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November 2, 2004, Minor filed for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bankruptcy [after which] Chase sent Minor a letter acknowledging that Minor’s debt to Chase had been discharged in bankruptcy. The letter further stated that Chase still had a valid lien on the vehicle, and if Minor wished to keep the vehicle, he would have to continue to make payments to Chase. Otherwise, Chase would repossess the vehicle.…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28, 2006, a repossession agent…arrived at Minor’s home some time in the afternoon to repossess the vehicle.…[Notwithstanding Minor’s insistence that the agent stop] the agent removed Minor’s possessions from the vehicle and towed it away. Chase sold the vehicle. The amount of the purchase price was reflected on Minor’s account.…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January 7, 2008, Minor filed a complaint against Chase [alleging] that, during the course of the contract, the parties had altered the provisions of the contract regarding Chase’s right to repossess the vehicle and Chase had waived the right to strictly enforce the repossession clause. Minor further claimed that the repossession agent committed trespass and repossessed the vehicle forcibly, without Minor’s permission, and through trickery and deceit, in violation of [state law]. Also, Minor asserted that he was not in default on his payments, pursuant to the repayment schedule, at the time Chase authorized repossession. Therefore, according to Minor, Chase committed conversion, and breached the Arkansas Deceptive Trade Practices Act [Citation], and enhanced by Arkansas Code Annotated section 4-88-202, because Minor is an elderly person. Minor sought compensatory and punitive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hearing these arguments, the circuit court ruled that Minor had presented no evidence that the conduct of Chase or the repossession agent constituted grounds for punitive damages; that by the express terms of the contract Chase’s acceptance of late payments did not effect a waiver of its rights in the future; that at the time of repossession, Minor was behind in his payments and in breach of the contract; that Chase had the right under the contract to repossess the vehicle and did not commit conversion; and that there was no evidence to support a claim that Chase had violated the Arkansas Deceptive Trade Practices 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affirm our previous decisions that when a contract does not contain a non-waiver and a no-unwritten-modification provision and the creditor has established a course of dealing in accepting late payments from the debtor, the creditor waives its right to insist on strict compliance with the contract and must give notice to the debtor that it will no longer accept late payments before it can declare default of the debt. However, we announce today that, if a contract includes non-waiver and no-unwritten-modification clauses, the creditor, in accepting late payments, does not waive its right under the contract to declare default of the debt, and need not give notice that it will enforce that right in the event of future late payments.…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arriving at this conclusion, we adhere to the principle that “a [contract] is effective according to its terms between the parties.”…We have long held that non-waiver clauses are legal and valid.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[Citations] Also, [the Arkansas UCC 2-209(2)] declares that no-unwritten-modification provisions are binding.</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acknowledge that there is a difference of opinion amongst the courts in other jurisdictions over the effect of non-waiver and no-unwritten-modification clauses.…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concur with the Supreme Court of Indiana’s decision in [Citation], that a rule providing that non-waiver clauses could themselves be waived by the acceptance of late payments is “illogical, since the very conduct which the [non-waiver] clause is designed to permit[,] acceptance of late payment[,] is turned around to constitute waiver of the clause permitting the conduct.” We also agree that the approach of jurisdictions that require creditors who have accepted late payments in the past to notify debtors that they expect strict compliance in the future, despite the existence of a non-waiver provision in the contract, is not “sound.” Such a rule, we recognize, “begs the question of validity of the non-waiver clause.” Finally, our holding is in line with the Indiana Supreme Court’s ruling that it would enforce the provisions of the contract, since the parties had agreed to them, and that it would not require the creditor to give notice, because the non-waiver clause placed the [creditor] in the same position as one who had never accepted a late payment.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Certified question answered; remanded to court of appeals.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 nonwaiver clause?</w:t>
      </w:r>
    </w:p>
    <w:p w:rsidR="00A86150" w:rsidRDefault="00F714D4">
      <w:pPr>
        <w:numPr>
          <w:ilvl w:val="0"/>
          <w:numId w:val="3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Mose think his late payments were not grounds for repossession of his truck?</w:t>
      </w:r>
    </w:p>
    <w:p w:rsidR="00A86150" w:rsidRDefault="00F714D4">
      <w:pPr>
        <w:numPr>
          <w:ilvl w:val="0"/>
          <w:numId w:val="3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a creditor accept late payments instead of immediately repossessing the collateral?</w:t>
      </w:r>
    </w:p>
    <w:p w:rsidR="00A86150" w:rsidRDefault="00F714D4">
      <w:pPr>
        <w:numPr>
          <w:ilvl w:val="0"/>
          <w:numId w:val="37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Mose lose?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Impossibility as a Defense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Parker v. Arthur Murray,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295 N.E.2d 487 (Ill. Ct. App. 1973)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Stamos,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operative facts are not in dispute. In November, 1959 plaintiff went to the Arthur Murray Studio in Oak Park to redeem a certificate entitling him to three free dancing lessons. At that time he was a 37 year-old college-educated bachelor who lived alone in a one-room attic apartment in Berwyn, Illinois. During the free lessons the instructor told plaintiff he had ‘exceptional potential to be a fine and accomplished dancer’ and generally encouraged further participation. Plaintiff thereupon signed a contract for 75 hours of lessons at a cost of $1000. At the bottom of the contract were the bold-type words, ‘NON-CANCELABLE, NEGOTIABLE CONTRACT.’ This initial encounter set the pattern for the future relationship between the parties. Plaintiff attended lessons regularly. He was praised and encouraged regularly by the instructors, despite his lack of progress. Contract extensions and new contracts for additional instructional hours were executed. Each written extension contained the bold-type words, ‘NON-CANCELABLE CONTRACT,’ and each written contract contained the bold-type words, ‘NON-CANCELABLE NEGOTIABLE CONTRACT.’ Some of the agreements also contained the bold-type statement, ‘I UNDERSTAND THAT NO REFUNDS WILL BE MADE UNDER THE TERMS OF THIS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24, 1961 plaintiff was severely injured in an automobile collision, rendering him incapable of continuing his dancing lessons. At that time he had contracted for a total of 2734 hours of lessons, for which he had paid $24,812.80 [about $176,000 in 2010 dollars]. Despite written demand defendants refused to return any of the money, and this suit in equity ensued. At the close of plaintiff’s case the trial judge dismissed the fraud count (Count II), describing the instructors’ sales techniques as merely ‘a matter of pumping salesmanship.’ At the close of all the evidence a decree was entered under Count I in favor of plaintiff for all prepaid sums, plus interest, but minus stipulated sums attributable to completed lessons.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was granted rescission on the ground of impossibility of performance. The applicable legal doctrine is expressed in the Restatement of Contracts, s 459,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duty that requires for its performance action that can be rendered only by the promisor or some other particular person is discharged by his death or by such illness as makes the necessary action by him impossible or seriously injurious to his health, unless the contract indicates a contrary intention or there is contributing fault on the part of the person subject to the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do not deny that the doctrine of impossibility of performance is generally applicable to the case at bar. Rather they assert that certain contract provisions bring this case within the Restatement’s limitation that the doctrine is inapplicable if ‘the contract indicates a contrary intention.’ It is contended that such bold type phrases as ‘NON-CANCELABLE CONTRACT,’ ‘NON-CANCELABLE NEGOTIABLE CONTRACT’ and ‘I UNDERSTAND THAT NO REFUNDS WILL BE MADE UNDER THE TERMS OF THIS CONTRACT’ manifested the parties’ mutual intent to waive their respective rights to invoke the doctrine of impossibility. This is a construction which we find unacceptable. Courts engage in the construction and interpretation of contracts with the sole aim of determining the intention of the parties. We need rely on no construction aids to conclude that plaintiff never contemplated that by signing a contract with such terms as ‘NON-CANCELABLE’ and ‘NO REFUNDS’ he was waiving a remedy expressly recognized by Illinois courts. Were we also to refer to established tenets of contractual construction, this conclusion would be equally compelled. An ambiguous contract will be construed most strongly against the party who drafted it. [Citation] Exceptions or reservations in a contract will, in case of doubt or ambiguity, be construed least favorably to the party claiming the benefit of the exceptions or reservations. Although neither party to a contract should be relieved from performance on the ground that good business judgment was lacking, a court will not place upon language a ridiculous construction. We conclude that plaintiff did not waive his right to assert the doctrine of impossibility.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Count II, which alleged fraud and sought punitive damages, was dismissed by the trial judge at the close of plaintiff’s case. It is contended on appeal that representations to plaintiff that he had ‘exceptional potential to be a fine and accomplished dancer,’ that he had ‘exceptional potential’ and that he was a ‘natural born dancer’ and a ‘terrific dancer’ fraudulently induced plaintiff to enter into the contracts for dance lessons.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Generally, a mere expression of opinion will not support an action for fraud. [Citation] In addition, misrepresentations, in order to constitute actionable fraud, must pertain to present or pre-existing facts, rather than to future or contingent events, expectations or probabilities. [Citation] Whether particular language constitutes speculation, opinion or averment of fact depends upon all the attending facts and circumstances of the case. [Citation] Mindful of these rules, and after carefully considering the representations made to plaintiff, and taking into account the business relationship of the parties as well as the educational background of plaintiff, we conclude that the instructors’ representations did not constitute fraud. The trial court correctly dismissed Count II. We affirm.</w:t>
      </w:r>
    </w:p>
    <w:p w:rsidR="00A86150" w:rsidRDefault="00F714D4">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A86150" w:rsidRDefault="00A86150">
      <w:pPr>
        <w:shd w:val="clear" w:color="auto" w:fill="FFFFFF"/>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the plaintiff was “a bachelor who lived alone in a one-room attic apartment”?</w:t>
      </w:r>
    </w:p>
    <w:p w:rsidR="00A86150" w:rsidRDefault="00F714D4">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contract here contained a “no cancellation” clause; how did the court construe the contract to allow cancellation?</w:t>
      </w:r>
    </w:p>
    <w:p w:rsidR="00A86150" w:rsidRDefault="00F714D4">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lost on his claim of fraud (unlike Mrs. Vokes in the similar case in</w:t>
      </w:r>
      <w:r>
        <w:rPr>
          <w:rFonts w:ascii="Calibri" w:eastAsia="Times New Roman" w:hAnsi="Calibri" w:cs="Calibri"/>
          <w:color w:val="2689C6"/>
          <w:sz w:val="20"/>
          <w:szCs w:val="20"/>
        </w:rPr>
        <w:t>Chapter 10 "Real Assent"</w:t>
      </w:r>
      <w:r>
        <w:rPr>
          <w:rFonts w:ascii="Calibri" w:eastAsia="Times New Roman" w:hAnsi="Calibri" w:cs="Calibri"/>
          <w:color w:val="333333"/>
          <w:sz w:val="20"/>
          <w:szCs w:val="20"/>
        </w:rPr>
        <w:t> against another franchisee of Arthur Murray, Inc.). What defense was successful?</w:t>
      </w:r>
    </w:p>
    <w:p w:rsidR="00A86150" w:rsidRDefault="00F714D4">
      <w:pPr>
        <w:numPr>
          <w:ilvl w:val="0"/>
          <w:numId w:val="37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here?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15.3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of contracts has various rules to determine whether obligations have been discharged. Of course, if both parties have fully performed the contract, duties will have terminated. But many duties are subject to conditions, including conditions precedent and subsequent, conditions requiring approval of the promisee or someone else, and clauses that recite time to be of the essence.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obligation may be discharged if the promisor has not received the benefit of the promisee’s obligation. In some cases, failure to carry out the duty completely will discharge the corresponding obligation (material breach); in other cases, the substantial performance doctrine will require the other party to act.</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may have terminated because one of the parties tells the other in advance that he will not carry out his obligations; this is called anticipatory breach. The right to adequate assurance allows one party to determine whether the contract will be breached by the other party.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other events, too, that may excuse performance: impracticability (including the UCC rules governing impracticability in contracts for the sale of goods), death or incapacity of the obligor, destruction of the thing necessary for the performance, government prohibition, frustration of purpose, and power of avoidance.</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note that not all obligations are created by contract, and the law has rules to deal with discharge of duties in general. Thus, in the appropriate cases, the obligee may cancel or surrender a written contract, may enter into an accord, may agree to rescind the agreement, or may release the obligor. Or the obligor may show a material alteration in the contract, may become bankrupt, or may plead the statute of limitations—that is, plead that the obligee waited too long to sue. Or the parties may, by word or deed, mutually abandon the agreement. In all these ways, duties may be discharged.</w:t>
      </w:r>
    </w:p>
    <w:p w:rsidR="00A86150" w:rsidRDefault="00A86150">
      <w:pPr>
        <w:spacing w:after="0" w:line="439" w:lineRule="atLeast"/>
        <w:textAlignment w:val="baseline"/>
        <w:rPr>
          <w:rFonts w:ascii="Georgia" w:eastAsia="Times New Roman" w:hAnsi="Georgia" w:cs="Calibri"/>
          <w:color w:val="333333"/>
          <w:sz w:val="20"/>
          <w:szCs w:val="20"/>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72"/>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Theresa hired Contractor to construct a large office building. Theresa’s duty to pay Contractor was conditioned on receipt of a statement from her architect that the building complied with the terms of the contract. Contractor completed the building but used the wrong color fixtures in the bathrooms. The architect refused to approve the work, but under state law, Contractor was considered to have substantially performed the contract. Is he entitled to payment, less damages for the improper fixtures? Explain.</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early 1987, Larry McLanahan submitted a claim to Farmers Insurance for theft of his 1985 Lamborghini while it was on consignment for sale in the Los Angeles area. The car had sustained extensive damage, which McLanahan had his mechanic document. The insurance policy contained this language: “Allow us to inspect and appraise the damaged vehicle before its repair or disposal.” But after considerable delay by Farmers, McLanahan sold the car to a cash buyer without notifying Farmers. He then sued Farmers for its refusal to pay for damages to his car. Upon what legal theory did Farmers get a summary judgment in its favor?</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sold a tavern to Defendants. Several months later, Defendants began to experience severe problems with the septic tank system. They informed Plaintiff of the problem and demanded the return of their purchase money. Plaintiff refused. Defendants took no formal action against Plaintiff at that time, and they continued to operate the tavern and make their monthly payments under the contract. Some months later, Defendants met with state officials from the Departments of Environmental Quality, Health, and Liquor Control Commission. The officials warned Defendants that because of the health hazards posed by the septic tank problems, Defendants’ licenses might not be renewed. As a result, Defendants decided to close the tavern and attempt to reopen when the septic tank was repaired. Defendants advertised a going-out-of-business sale. The purpose of the sale was to deplete the tavern’s inventory before closing. Plaintiff learned about the sale and discovered that Defendants had removed certain personal property from the tavern. He sued the Defendants, claiming, among other things, that they had anticipatorily breached their contract with him, though he was receiving payments on time. Did the Defendants’ actions amount to an anticipatory breach?</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Julius, a manufacturer of neckties, contracted to supply neckties to a wholesaler. When Julius’s factory burned, he failed to supply any, and the wholesaler sued. Is Julius excused from performance by impossibility?</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Plaintiff (a development corporation) contracted to buy Defendant’s property for $1.8 million. A term in the contract read: “The sale…shall be closed at the office of Community Title Company on May 16th at 10:00 am.…Time is of the essence in this contract.” Defendant appeared at the office at 10:00 a.m. on the day designated, but the Plaintiff’s agent was not there. Defendant waited for twenty minutes, then left. Plaintiff’s agent arrived at 10:30 a.m. and announced that he would not have funds for payment until 1:30 p.m., but Defendant refused to return; she had already made other arrangements to finance her purchase of other real estate. Plaintiff sued Defendant for specific performance. Who wins, and why?</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contract between the Koles and Parker-Yale provided for completion of the Koles’s condominium unit within 180 days. It also authorized the Koles to make written changes in the plans and specifications. Construction was not completed within the 180-day period, and the Koles, prior to completion, sent a letter to Parker-Yale rescinding the contract. Were the Koles within their rights to rescind the contract?</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contracted to buy Defendant’s commercial property for $1,265,000. Under the terms of the agreement, Defendant paid $126,000 as an earnest-money deposit, which would be retained by Plaintiff as liquidated damages if Defendant failed to close by the deadline. Tragically, Defendant’s husband died four days before the closing deadline, and she was not able to close by the deadline. She was relying on her husband’s business to assist her in obtaining the necessary financing to complete the purchase, and after his death, she was not able to obtain it. Plaintiff sued for the $126,000; Defendant argued that the purpose of the contract was frustrated due to the untimely death of her husband. Is this a good argument?</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Buyer contracted to buy Seller’s house for $290,000; the contract included a representation by Buyer “that he has sufficient cash available to complete this purchase.” Buyer was a physician who practiced with his uncle. He had received assurances from his uncle of a loan of $200,000 in order to finance the purchase. Shortly after the contract was executed, the uncle was examined by a cardiologist, who found his coronary arteries to be dangerously clogged. As a result, the uncle immediately had triple bypass surgery. After the operation, he told Buyer that his economic future was now uncertain and that therefore it was impossible for him to finance the house purchase. Meanwhile, Seller, who did not know of Buyer’s problem, committed herself to buy a house in another state and accepted employment there as well. Buyer was unable to close; Seller sued. Buyer raised as a defense impossibility or impracticability of performance. Is the defense good?</w:t>
      </w:r>
    </w:p>
    <w:p w:rsidR="00A86150" w:rsidRDefault="00F714D4">
      <w:pPr>
        <w:numPr>
          <w:ilvl w:val="0"/>
          <w:numId w:val="37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Pursuant to a contract for the repair and renovation of a swimming pool owned by Defendant (City of Fort Lauderdale), Plaintiff commenced the work, which included resurfacing the inside of the pool, and had progressed almost to completion. Overnight, vandals damaged the work Plaintiff had done inside the pool, requiring that part of the work be redone. Plaintiff proceeded to redo the work and billed Defendant, who paid the contract price but refused to pay for the additional work required to repair the damage. Did the damage constitute destruction of subject matter discharging Plaintiff from his obligation to complete the job without getting paid extra?</w:t>
      </w:r>
    </w:p>
    <w:p w:rsidR="00A86150" w:rsidRDefault="00F714D4">
      <w:pPr>
        <w:numPr>
          <w:ilvl w:val="0"/>
          <w:numId w:val="37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Apache Plaza (the landlord) leased space to Midwest Savings to construct a bank building in Apache’s shopping mall, based on a prototype approved by Apache. Midwest constructed the building and used it for twelve years until it was destroyed by a tornado. Midwest submitted plans for a new building to Apache, but Apache rejected the plans because the new building was larger and had less glass than the old building or the prototype. Midwest built it anyway. Its architect claimed that certain changes in the structure of the new building were required by new regulations and building codes, but he admitted that a building of the stipulated size could have been constructed in compliance with the applicable codes. Apache claimed $210,000 in damages over the term of the lease because the new building consumed more square feet of mall space and required more parking. Midwest claimed it had substantially complied with the lease requirements. Is this a good defense?</w:t>
      </w:r>
      <w:r>
        <w:rPr>
          <w:rFonts w:ascii="Calibri" w:eastAsia="Times New Roman" w:hAnsi="Calibri" w:cs="Calibri"/>
          <w:color w:val="2689C6"/>
          <w:sz w:val="20"/>
          <w:szCs w:val="20"/>
          <w:vertAlign w:val="superscript"/>
          <w:lang w:val="en"/>
        </w:rPr>
        <w:t>[2]</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373"/>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condition precedent</w:t>
      </w:r>
    </w:p>
    <w:p w:rsidR="00A86150" w:rsidRDefault="00F714D4">
      <w:pPr>
        <w:pStyle w:val="ListParagraph"/>
        <w:numPr>
          <w:ilvl w:val="0"/>
          <w:numId w:val="37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condition that terminates a duty</w:t>
      </w:r>
    </w:p>
    <w:p w:rsidR="00A86150" w:rsidRDefault="00F714D4">
      <w:pPr>
        <w:pStyle w:val="ListParagraph"/>
        <w:numPr>
          <w:ilvl w:val="0"/>
          <w:numId w:val="37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always within the control of one of the parties</w:t>
      </w:r>
    </w:p>
    <w:p w:rsidR="00A86150" w:rsidRDefault="00F714D4">
      <w:pPr>
        <w:pStyle w:val="ListParagraph"/>
        <w:numPr>
          <w:ilvl w:val="0"/>
          <w:numId w:val="37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an event giving rise to performance</w:t>
      </w:r>
    </w:p>
    <w:p w:rsidR="00A86150" w:rsidRDefault="00F714D4">
      <w:pPr>
        <w:pStyle w:val="ListParagraph"/>
        <w:numPr>
          <w:ilvl w:val="0"/>
          <w:numId w:val="37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condition that follows performance</w:t>
      </w:r>
    </w:p>
    <w:p w:rsidR="00A86150" w:rsidRDefault="00F714D4">
      <w:pPr>
        <w:numPr>
          <w:ilvl w:val="0"/>
          <w:numId w:val="375"/>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Al and Betty have an executory contract, and if Betty tells Al that she will not be fulfilling her side of the bargain,</w:t>
      </w:r>
    </w:p>
    <w:p w:rsidR="00A86150" w:rsidRDefault="00F714D4">
      <w:pPr>
        <w:pStyle w:val="ListParagraph"/>
        <w:numPr>
          <w:ilvl w:val="0"/>
          <w:numId w:val="37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 must wait until the date of performance to see if Betty in fact performs</w:t>
      </w:r>
    </w:p>
    <w:p w:rsidR="00A86150" w:rsidRDefault="00F714D4">
      <w:pPr>
        <w:pStyle w:val="ListParagraph"/>
        <w:numPr>
          <w:ilvl w:val="0"/>
          <w:numId w:val="37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 can sue immediately for full contract damages</w:t>
      </w:r>
    </w:p>
    <w:p w:rsidR="00A86150" w:rsidRDefault="00F714D4">
      <w:pPr>
        <w:pStyle w:val="ListParagraph"/>
        <w:numPr>
          <w:ilvl w:val="0"/>
          <w:numId w:val="37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 can never sue because the contract was executory when Betty notified him of nonperformance</w:t>
      </w:r>
    </w:p>
    <w:p w:rsidR="00A86150" w:rsidRDefault="00F714D4">
      <w:pPr>
        <w:pStyle w:val="ListParagraph"/>
        <w:numPr>
          <w:ilvl w:val="0"/>
          <w:numId w:val="37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377"/>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Jack contracts with Anne to drive her to the airport Wednesday afternoon in his specially designed stretch limousine. On Wednesday morning Jack’s limousine is hit by a drunken driver, and Jack is unable to drive Anne. This is an example of</w:t>
      </w:r>
    </w:p>
    <w:p w:rsidR="00A86150" w:rsidRDefault="00F714D4">
      <w:pPr>
        <w:pStyle w:val="ListParagraph"/>
        <w:numPr>
          <w:ilvl w:val="0"/>
          <w:numId w:val="37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impossibility of performance</w:t>
      </w:r>
    </w:p>
    <w:p w:rsidR="00A86150" w:rsidRDefault="00F714D4">
      <w:pPr>
        <w:pStyle w:val="ListParagraph"/>
        <w:numPr>
          <w:ilvl w:val="0"/>
          <w:numId w:val="37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frustration of purpose</w:t>
      </w:r>
    </w:p>
    <w:p w:rsidR="00A86150" w:rsidRDefault="00F714D4">
      <w:pPr>
        <w:pStyle w:val="ListParagraph"/>
        <w:numPr>
          <w:ilvl w:val="0"/>
          <w:numId w:val="37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discharge by merger</w:t>
      </w:r>
    </w:p>
    <w:p w:rsidR="00A86150" w:rsidRDefault="00F714D4">
      <w:pPr>
        <w:pStyle w:val="ListParagraph"/>
        <w:numPr>
          <w:ilvl w:val="0"/>
          <w:numId w:val="37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379"/>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Jack is ready and willing to drive Anne to the airport. But Anne’s flight is cancelled, and she refuses to pay. This is an example of</w:t>
      </w:r>
    </w:p>
    <w:p w:rsidR="00A86150" w:rsidRDefault="00F714D4">
      <w:pPr>
        <w:pStyle w:val="ListParagraph"/>
        <w:numPr>
          <w:ilvl w:val="0"/>
          <w:numId w:val="38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impracticability of performance</w:t>
      </w:r>
    </w:p>
    <w:p w:rsidR="00A86150" w:rsidRDefault="00F714D4">
      <w:pPr>
        <w:pStyle w:val="ListParagraph"/>
        <w:numPr>
          <w:ilvl w:val="0"/>
          <w:numId w:val="38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frustration of purpose</w:t>
      </w:r>
    </w:p>
    <w:p w:rsidR="00A86150" w:rsidRDefault="00F714D4">
      <w:pPr>
        <w:pStyle w:val="ListParagraph"/>
        <w:numPr>
          <w:ilvl w:val="0"/>
          <w:numId w:val="38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discharge of merger</w:t>
      </w:r>
    </w:p>
    <w:p w:rsidR="00A86150" w:rsidRDefault="00F714D4">
      <w:pPr>
        <w:pStyle w:val="ListParagraph"/>
        <w:numPr>
          <w:ilvl w:val="0"/>
          <w:numId w:val="38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381"/>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Rescission is</w:t>
      </w:r>
    </w:p>
    <w:p w:rsidR="00A86150" w:rsidRDefault="00F714D4">
      <w:pPr>
        <w:pStyle w:val="ListParagraph"/>
        <w:numPr>
          <w:ilvl w:val="0"/>
          <w:numId w:val="38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discharge of one party to a contract through substitution of a third person</w:t>
      </w:r>
    </w:p>
    <w:p w:rsidR="00A86150" w:rsidRDefault="00F714D4">
      <w:pPr>
        <w:pStyle w:val="ListParagraph"/>
        <w:numPr>
          <w:ilvl w:val="0"/>
          <w:numId w:val="38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agreement to settle for substitute performance</w:t>
      </w:r>
    </w:p>
    <w:p w:rsidR="00A86150" w:rsidRDefault="00F714D4">
      <w:pPr>
        <w:pStyle w:val="ListParagraph"/>
        <w:numPr>
          <w:ilvl w:val="0"/>
          <w:numId w:val="382"/>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mutual agreement between parties to a contract to discharge each other’s contractual duties</w:t>
      </w:r>
    </w:p>
    <w:p w:rsidR="00A86150" w:rsidRDefault="00F714D4">
      <w:pPr>
        <w:pStyle w:val="ListParagraph"/>
        <w:numPr>
          <w:ilvl w:val="0"/>
          <w:numId w:val="382"/>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38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38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8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A86150" w:rsidRDefault="00F714D4">
      <w:pPr>
        <w:numPr>
          <w:ilvl w:val="0"/>
          <w:numId w:val="38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38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Crum v. Grant</w:t>
      </w:r>
      <w:r>
        <w:rPr>
          <w:rFonts w:ascii="Calibri" w:eastAsia="Times New Roman" w:hAnsi="Calibri" w:cs="Calibri"/>
          <w:color w:val="333333"/>
          <w:sz w:val="20"/>
          <w:szCs w:val="20"/>
        </w:rPr>
        <w:t>, 692 P.2d 147 (Or. App., 1984).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Apache Plaza, Ltd. v. Midwest Sav. Ass’n</w:t>
      </w:r>
      <w:r>
        <w:rPr>
          <w:rFonts w:ascii="Calibri" w:eastAsia="Times New Roman" w:hAnsi="Calibri" w:cs="Calibri"/>
          <w:color w:val="333333"/>
          <w:sz w:val="20"/>
          <w:szCs w:val="20"/>
        </w:rPr>
        <w:t>, 456 N.W.2d 729 (Minn. App. 1990).</w: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16</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1"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Remedies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27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384"/>
        </w:numPr>
        <w:shd w:val="clear" w:color="auto" w:fill="EAE9DC"/>
        <w:tabs>
          <w:tab w:val="clear" w:pos="720"/>
          <w:tab w:val="num" w:pos="2520"/>
        </w:tabs>
        <w:spacing w:after="0" w:line="439" w:lineRule="atLeast"/>
        <w:ind w:left="63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theory of contract remedies, and why courts don’t just order the promisor to perform as promised</w:t>
      </w:r>
    </w:p>
    <w:p w:rsidR="00A86150" w:rsidRDefault="00F714D4">
      <w:pPr>
        <w:numPr>
          <w:ilvl w:val="0"/>
          <w:numId w:val="384"/>
        </w:numPr>
        <w:shd w:val="clear" w:color="auto" w:fill="EAE9DC"/>
        <w:tabs>
          <w:tab w:val="clear" w:pos="720"/>
          <w:tab w:val="num" w:pos="2220"/>
        </w:tabs>
        <w:spacing w:after="0" w:line="439" w:lineRule="atLeast"/>
        <w:ind w:left="63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interests that are protected by contract remedies</w:t>
      </w:r>
    </w:p>
    <w:p w:rsidR="00A86150" w:rsidRDefault="00F714D4">
      <w:pPr>
        <w:numPr>
          <w:ilvl w:val="0"/>
          <w:numId w:val="384"/>
        </w:numPr>
        <w:shd w:val="clear" w:color="auto" w:fill="EAE9DC"/>
        <w:tabs>
          <w:tab w:val="clear" w:pos="720"/>
          <w:tab w:val="num" w:pos="1920"/>
        </w:tabs>
        <w:spacing w:after="0" w:line="439" w:lineRule="atLeast"/>
        <w:ind w:left="63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legal remedies</w:t>
      </w:r>
    </w:p>
    <w:p w:rsidR="00A86150" w:rsidRDefault="00F714D4">
      <w:pPr>
        <w:numPr>
          <w:ilvl w:val="0"/>
          <w:numId w:val="384"/>
        </w:numPr>
        <w:shd w:val="clear" w:color="auto" w:fill="EAE9DC"/>
        <w:tabs>
          <w:tab w:val="clear" w:pos="720"/>
          <w:tab w:val="num" w:pos="1620"/>
        </w:tabs>
        <w:spacing w:after="0" w:line="439" w:lineRule="atLeast"/>
        <w:ind w:left="63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equitable remedies</w:t>
      </w:r>
    </w:p>
    <w:p w:rsidR="00A86150" w:rsidRDefault="00F714D4">
      <w:pPr>
        <w:numPr>
          <w:ilvl w:val="0"/>
          <w:numId w:val="384"/>
        </w:numPr>
        <w:shd w:val="clear" w:color="auto" w:fill="EAE9DC"/>
        <w:tabs>
          <w:tab w:val="clear" w:pos="720"/>
          <w:tab w:val="num" w:pos="1320"/>
        </w:tabs>
        <w:spacing w:line="439" w:lineRule="atLeast"/>
        <w:ind w:left="63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limitations on remedies</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come at last to the question of remedies. A valid agreement has been made, the promisor’s duties have not been discharged; he or she has breached the contract. When one party has failed to perform, what are the rights of the parties? Or when the contract has been avoided because of incapacity or misrepresentation and the like, what are the rights of the parties after disaffirmance? These questions form the focus of this chapter.</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16.1</w:t>
      </w:r>
      <w:r>
        <w:rPr>
          <w:rFonts w:ascii="Calibri" w:eastAsia="Times New Roman" w:hAnsi="Calibri" w:cs="Calibri"/>
          <w:b/>
          <w:bCs/>
          <w:color w:val="333333"/>
          <w:sz w:val="36"/>
          <w:szCs w:val="36"/>
        </w:rPr>
        <w:t> Theory of Contract Remedies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385"/>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basic purpose of remedies.</w:t>
      </w:r>
    </w:p>
    <w:p w:rsidR="00A86150" w:rsidRDefault="00F714D4">
      <w:pPr>
        <w:numPr>
          <w:ilvl w:val="0"/>
          <w:numId w:val="385"/>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there are two general categories of remedies: legal and equitable.</w:t>
      </w:r>
    </w:p>
    <w:p w:rsidR="00A86150" w:rsidRDefault="00F714D4">
      <w:pPr>
        <w:numPr>
          <w:ilvl w:val="0"/>
          <w:numId w:val="385"/>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See that courts do not simply order obligors to keep their promise but instead allow them to breach and the nonbreaching party to have remedies for that breach.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Purpose of Remedies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fundamental purpose of remedies in noncriminal cases is not to punish the breaching party but—if possible—to put the nonbreaching party in the position he or she would have been in had there been no breach. Or, as is said, the purpose is to make the nonbreaching party whole.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two general categories of remedies—legal and equitable. In the category of legal remedies are damages. Damages are money paid by one party to another; there are several types of damages. In the category of equitable remedies are these three: specific performance, which means a person is ordered to deliver a unique thing (land or a unique personal property, such as a painting or an antique car); injunction, a judicial order directing a person to stop doing what he or she should not do (such as competing with a former employer in violation of a noncompete agreement); and restitution, which means putting the parties back into the position they were in before the contract was made.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Parties Have the Power—but Not the Right—to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view of the importance given to the intention of the parties in forming and interpreting contracts, it may seem surprising that the remedy for every breach is not a judicial order that the obligor carry out his or her undertakings. But it is not. Of course, some duties cannot be performed after a breach, because time and circumstances will have altered their purpose and rendered many worthless. Still, there are numerous occasions on which it would be theoretically possible for courts to order the parties to carry out their contracts, yet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or her loss than toward compelling the promisor to perform. Indeed, the law of remedies often provides the parties with an incentive to break the contract. In short, the promisor has a choice: perform or pay.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logic of this position is clear in many typical cases. The computer manufacturer orders specially designed circuit boards, then discovers before the circuits are made that a competitor has built a better machine and destroyed his market. The manufacturer cancels the order. It would make little economic sense for the circuit board maker to fabricate the boards if they could not be used elsewhere. A damage remedy to compensate the maker for out-of-pocket loss or lost profits is sensible; a judicial decree forcing the computer manufacturer to pay for and take delivery of the boards would be wasteful.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general and if possible, the fundamental purpose of contract remedies is to put the nonbreaching party in the position it would have been in had there been no breach.</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Remedies are intended to make the nonbreaching party whole. The two categories of remedies for breach of contract are legal and equitable. In the legal category are damages; in the equitable category are specific performance, injunctions, and restitution. The law does not force a party to perform; he or she always has the power (though not the right) to breach, and may do so if it is economically more advantageous to breach and suffer the consequence than to perform. Remedies, though, are not (usually) intended to punish the breaching party.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386"/>
        </w:numPr>
        <w:shd w:val="clear" w:color="auto" w:fill="E3EFF7"/>
        <w:tabs>
          <w:tab w:val="clear" w:pos="720"/>
          <w:tab w:val="num" w:pos="13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Remedies are not supposed to punish the breaching party, generally. In what circumstances might punishment be a remedy, and what is that called?</w:t>
      </w:r>
    </w:p>
    <w:p w:rsidR="00A86150" w:rsidRDefault="00F714D4">
      <w:pPr>
        <w:numPr>
          <w:ilvl w:val="0"/>
          <w:numId w:val="386"/>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legal and equitable remedies?</w:t>
      </w:r>
    </w:p>
    <w:p w:rsidR="00A86150" w:rsidRDefault="00F714D4">
      <w:pPr>
        <w:numPr>
          <w:ilvl w:val="0"/>
          <w:numId w:val="386"/>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shouldn’t people be forced to perform as they contracted, instead of giving them the power to breach and then be required to pay damages?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16.2</w:t>
      </w:r>
      <w:r>
        <w:rPr>
          <w:rFonts w:ascii="Calibri" w:eastAsia="Times New Roman" w:hAnsi="Calibri" w:cs="Calibri"/>
          <w:b/>
          <w:bCs/>
          <w:color w:val="333333"/>
          <w:sz w:val="36"/>
          <w:szCs w:val="36"/>
        </w:rPr>
        <w:t> Promisee’s Interests Protected by Contract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A86150" w:rsidRDefault="00F714D4">
      <w:pPr>
        <w:numPr>
          <w:ilvl w:val="0"/>
          <w:numId w:val="387"/>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the nonbreaching party to a contract has certain expectations that contract remedies seek to fulfill to make the nonbreaching party whole.</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Contract remedies serve to protect three different interests: an expectation interest, a reliance interest, and a restitution interest. A promisee will have one of these and may have two or all three.</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 </w:t>
      </w:r>
      <w:r>
        <w:rPr>
          <w:rFonts w:ascii="Georgia" w:eastAsia="Times New Roman" w:hAnsi="Georgia" w:cs="Times New Roman"/>
          <w:color w:val="333333"/>
          <w:sz w:val="20"/>
          <w:szCs w:val="20"/>
        </w:rPr>
        <w:t>expectation interest</w:t>
      </w:r>
      <w:r>
        <w:rPr>
          <w:rFonts w:ascii="Georgia" w:eastAsia="Times New Roman" w:hAnsi="Georgia" w:cs="Times New Roman"/>
          <w:color w:val="333333"/>
          <w:sz w:val="21"/>
          <w:szCs w:val="21"/>
        </w:rPr>
        <w:t> is the benefit for which the promisee bargained, and the remedy is to put him in a position as good as that which he would have been in had the contract been performed. A </w:t>
      </w:r>
      <w:r>
        <w:rPr>
          <w:rFonts w:ascii="Georgia" w:eastAsia="Times New Roman" w:hAnsi="Georgia" w:cs="Times New Roman"/>
          <w:color w:val="333333"/>
          <w:sz w:val="20"/>
          <w:szCs w:val="20"/>
        </w:rPr>
        <w:t>reliance interest</w:t>
      </w:r>
      <w:r>
        <w:rPr>
          <w:rFonts w:ascii="Georgia" w:eastAsia="Times New Roman" w:hAnsi="Georgia" w:cs="Times New Roman"/>
          <w:color w:val="333333"/>
          <w:sz w:val="21"/>
          <w:szCs w:val="21"/>
        </w:rPr>
        <w:t> is the loss suffered by relying on the contract and taking actions consistent with the expectation that the other party will abide by it; the remedy is reimbursement that restores the promisee to his position before the contract was made. A </w:t>
      </w:r>
      <w:r>
        <w:rPr>
          <w:rFonts w:ascii="Georgia" w:eastAsia="Times New Roman" w:hAnsi="Georgia" w:cs="Times New Roman"/>
          <w:color w:val="333333"/>
          <w:sz w:val="20"/>
          <w:szCs w:val="20"/>
        </w:rPr>
        <w:t>restitution interest</w:t>
      </w:r>
      <w:r>
        <w:rPr>
          <w:rFonts w:ascii="Georgia" w:eastAsia="Times New Roman" w:hAnsi="Georgia" w:cs="Times New Roman"/>
          <w:color w:val="333333"/>
          <w:sz w:val="21"/>
          <w:szCs w:val="21"/>
        </w:rPr>
        <w:t>is that which restores to the promisee any benefit he conferred on the promisor. These interests do not dictate the outcome according to a rigid formula; circumstances and the nature of the contract, as usual, will play a large role. But in general, specific performance is a remedy that addresses the expectation interest, monetary damages address all three interests, and, not surprisingly, restitution addresses the restitution interest.</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Consider some simple examples. A landowner repudiates an executory contract with a builder to construct a garage on her property for $100,000. The builder had anticipated a $10,000 profit (the garage would have cost him $90,000 to build). What can he expect to recover in a lawsuit against the owner? The court will not order the garage to be built; such an order would be wasteful, since the owner no longer wants it and may not be able to pay for it. Instead, the court will look to the builder’s three possible interests. Since the builder has not yet started his work, he has given the owner nothing, and therefore has no restitution interest. Nor has he any reliance interest, since we are assuming that he has not paid out any money for supplies, hired a work crew, or advanced money to subcontractors. But he anticipated a profit, and so he has an expectation interest of $10,000.</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suppose that the builder had dug out the foundation and poured concrete, at a cost of $15,000. His expectation interest has become $25,000 (the difference between $100,000 and $75,000, the money he will save by not having to finish the job). His reliance interest is $15,000, because this is the amount he has already spent. He may also have a restitution interest, depending on how much the foundation of the house is worth to the owner. (The value could be more or less than the sum of money actually expended to produce the foundation; for example, the builder might have had to pay his subcontractors for a greater share of the job than they had completed, and those sums therefore would not be reflected in the worth of the foundation.)</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Normally, the promisee will choose which of the three interests to pursue. As is to be expected, the choice hinges on the circumstances of the case, his feelings, and the amount at stake.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nonbreaching party might have one or more interests that the law seeks to realize: expectation, reliance, and restitution.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388"/>
        </w:numPr>
        <w:shd w:val="clear" w:color="auto" w:fill="E3EFF7"/>
        <w:tabs>
          <w:tab w:val="clear" w:pos="720"/>
          <w:tab w:val="num" w:pos="22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expectation interest? The reliance interest? The restitution interest?</w:t>
      </w:r>
    </w:p>
    <w:p w:rsidR="00A86150" w:rsidRDefault="00F714D4">
      <w:pPr>
        <w:numPr>
          <w:ilvl w:val="0"/>
          <w:numId w:val="388"/>
        </w:numPr>
        <w:shd w:val="clear" w:color="auto" w:fill="E3EFF7"/>
        <w:tabs>
          <w:tab w:val="clear" w:pos="720"/>
          <w:tab w:val="num" w:pos="192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are these concepts useful in understanding contract remedies?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16.3</w:t>
      </w:r>
      <w:r>
        <w:rPr>
          <w:rFonts w:ascii="Calibri" w:eastAsia="Times New Roman" w:hAnsi="Calibri" w:cs="Calibri"/>
          <w:b/>
          <w:bCs/>
          <w:color w:val="333333"/>
          <w:sz w:val="36"/>
          <w:szCs w:val="36"/>
        </w:rPr>
        <w:t> Legal Remedies: Damages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389"/>
        </w:numPr>
        <w:shd w:val="clear" w:color="auto" w:fill="EAE9DC"/>
        <w:tabs>
          <w:tab w:val="clear" w:pos="720"/>
          <w:tab w:val="num" w:pos="22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is meant when it is said that damages are a legal remedy (as opposed to an equitable remedy).</w:t>
      </w:r>
    </w:p>
    <w:p w:rsidR="00A86150" w:rsidRDefault="00F714D4">
      <w:pPr>
        <w:numPr>
          <w:ilvl w:val="0"/>
          <w:numId w:val="389"/>
        </w:numPr>
        <w:shd w:val="clear" w:color="auto" w:fill="EAE9DC"/>
        <w:tabs>
          <w:tab w:val="clear" w:pos="720"/>
          <w:tab w:val="num" w:pos="19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names and purposes of the six types of remedies.</w:t>
      </w:r>
    </w:p>
    <w:p w:rsidR="00A86150" w:rsidRDefault="00F714D4">
      <w:pPr>
        <w:numPr>
          <w:ilvl w:val="0"/>
          <w:numId w:val="389"/>
        </w:numPr>
        <w:shd w:val="clear" w:color="auto" w:fill="EAE9DC"/>
        <w:tabs>
          <w:tab w:val="clear" w:pos="720"/>
          <w:tab w:val="num" w:pos="1620"/>
        </w:tabs>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when liquidated damages will be allowed.</w:t>
      </w:r>
    </w:p>
    <w:p w:rsidR="00A86150" w:rsidRDefault="00F714D4">
      <w:pPr>
        <w:numPr>
          <w:ilvl w:val="0"/>
          <w:numId w:val="389"/>
        </w:numPr>
        <w:shd w:val="clear" w:color="auto" w:fill="EAE9DC"/>
        <w:tabs>
          <w:tab w:val="clear" w:pos="720"/>
          <w:tab w:val="num" w:pos="1320"/>
        </w:tabs>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circumstances that might allow punitive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promisee, whom we will hereafter refer to as the nonbreaching party, has the right to damages (a money award), if that is required to make her whole, whenever the other party has breached the contract, unless, of course, the contract itself or other circumstances suspend or discharge that right. </w:t>
      </w:r>
      <w:r>
        <w:rPr>
          <w:rFonts w:ascii="Georgia" w:eastAsia="Times New Roman" w:hAnsi="Georgia" w:cs="Calibri"/>
          <w:b/>
          <w:bCs/>
          <w:color w:val="333333"/>
          <w:sz w:val="20"/>
          <w:szCs w:val="20"/>
        </w:rPr>
        <w:t>Damages</w:t>
      </w:r>
      <w:r>
        <w:rPr>
          <w:rFonts w:ascii="Georgia" w:eastAsia="Times New Roman" w:hAnsi="Georgia" w:cs="Calibri"/>
          <w:color w:val="333333"/>
          <w:sz w:val="20"/>
          <w:szCs w:val="20"/>
        </w:rPr>
        <w:t> refers to money paid by one side to the other; it is a legal remedy. For historical and political reasons in the development of the English legal system, the courts of law were originally only able to grant monetary relief. If a petitioner wanted something other than money, recourse to a separate system of equity was required. The courtrooms and proceedings for each were separate. That actual separation is long gone, but the distinction is still recognized; a judge may be said to be “sitting in law” or “sitting in equity,” or a case may involve requests for both money and some action. We take up the legal remedies of damages first.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six different types of damages: compensatory, incidental, consequential, nominal, liquidated, and (sometimes) punitive.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Compensatory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Damages paid to directly compensate the nonbreaching party for the value of what was not done or performed are compensatory damages. Sometimes calculating that value of the promisor’s performance is easy—for example, when the nonbreaching party has ascertainable costs and profits, as in the case of the builder who would have earned $10,000 profit on a $100,000 house. When the performance is a service, a useful measure of loss is what it would cost to substitute performance by someone else. But the calculation is frequently difficult, especially when the performance is a service that is not easily duplicated. If Rembrandt breached a contract to paint your portrait, the loss could not be measured simply by inquiring how much Van Gogh would charge to do the same thing. Nevertheless, in theory, whatever net value would ultimately have been conferred on the nonbreaching party is the proper measure of compensatory damages. An author whose publisher breaches its contract to publish the book and who cannot find another publisher is entitled to lost royalties (if ascertainable) plus the value that would have accrued from her enhanced reputation.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the nonbreaching party usually has obligations under the contract also, a breach by the other party discharges his duty to perform and may result in savings. Or he may have made substitute arrangements and realized at least a partial profit on the substitution. Or, as in the case of the builder, he may have purchased goods intended for the job that can be used elsewhere. In all these situations, the losses he has avoided—savings, profits, or value of goods—are subtracted from the losses incurred to arrive at the net damages. The nonbreaching party may recover his actual losses, not more. Suppose an employer breaches a contract with a prospective employee who was to begin work for a year at a salary of $35,000. The employee quickly finds other, similar work at a salary of $30,000. Aside from whatever he might have had to spend searching for the job (incidental damages), his compensatory damages are limited to $5,000, the difference between what he would have earned and what he is earning.</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Lost volume can be a troublesome problem in calculating damages. This problem arises when the nonbreaching party, a supplier of goods or services, enters a second contract when the buyer repudiates. The question is whether the second contract is a substituted performance or an additional one. If it is substituted, damages may be little or nothing; if additional, the entire expectation interest may be recovered. An automobile dealer contracts to sell a car in his inventory. Shortly before the deal is closed, the buyer calls up and repudiates the contract. The dealer then sells the car to someone else. If the dealer can show that he could have sold an identical car to the second purchaser regardless of what the first purchaser did, then the second sale stands on its own and cannot be used to offset the net profit recoverable from the first purchaser. The factual inquiry in lost volume cases is whether the nonbreaching party would have engaged in the second transaction if the breach had never occurred.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Incidental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compensatory damages, the nonbreaching party may recoverincidental damages. Incidental loss includes expenditures that the nonbreaching party incurs in attempting to minimize the loss that flows from the breach. To arrange for substitute goods or services, the nonbreaching party might have to pay a premium or special fees to locate another supplier or source of work.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Consequential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consequential loss is addressed with consequential damages. These are damages incurred by the nonbreaching party without action on his part because of the breach. For example, if Ralph does a poor job of plumbing Betty’s bathroom and the toilet leaks, damaging the floor, the downstairs ceiling, and the downstairs rug, Ralph would owe for those loses in consequential damages. Or, again, lost sales stemming from a failure to fix a manufacturer’s machine in time or physical and property injury due to a defective machine sold by the promisor would be addressed with consequential damages. Note, however, that one obvious, and often large, expenditure occasioned by a breach—namely, legal expenses in bringing a lawsuit to remedy the particular breach—is not an element of damages, unless the contract explicitly states that it is, and cannot be charged to the defendant. There is one situation, however, in which legal costs can be added to damages: when the breach causes the nonbreaching party to be involved in a lawsuit with someone else. Consequential damages will not be allowed if those damages are not foreseeable. This issue is taken up in </w:t>
      </w:r>
      <w:r>
        <w:rPr>
          <w:rFonts w:ascii="Georgia" w:eastAsia="Times New Roman" w:hAnsi="Georgia" w:cs="Calibri"/>
          <w:color w:val="2689C6"/>
          <w:sz w:val="20"/>
          <w:szCs w:val="20"/>
        </w:rPr>
        <w:t>Section 16.5 "Limitations on Contract Remedies"</w:t>
      </w:r>
      <w:r>
        <w:rPr>
          <w:rFonts w:ascii="Georgia" w:eastAsia="Times New Roman" w:hAnsi="Georgia" w:cs="Calibri"/>
          <w:color w:val="333333"/>
          <w:sz w:val="20"/>
          <w:szCs w:val="20"/>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Nominal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situation where there has been a breach but the nonbreaching party has really suffered no loss or cannot prove what his loss is, he is entitled tonominal damages. Ricardo contracts to buy a new car from a dealer; the dealer breaches the contract. Ricardo finds and buys the same car from another dealer at the same price that the first one was to sell it for. Ricardo has suffered nominal damages: five dollars, perhaps.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Liquidated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Precisely because damages are sometimes difficult to assess, the parties themselves may specify how much should be paid in the event of a breach. Courts will enforce a liquidated damages provision as long as the actual amount of damages is difficult to ascertain (in which case proof of it is simply made at trial) and the sum is reasonable in light of the expected or actual harm. If the liquidated sum is unreasonably large, the excess is termed a penalty and is said to be against public policy and unenforceable. </w:t>
      </w:r>
      <w:r>
        <w:rPr>
          <w:rFonts w:ascii="Georgia" w:eastAsia="Times New Roman" w:hAnsi="Georgia" w:cs="Calibri"/>
          <w:color w:val="2689C6"/>
          <w:sz w:val="20"/>
          <w:szCs w:val="20"/>
        </w:rPr>
        <w:t>Section 16.6.2 "Liquidated Damages"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Watson v. Ingram</w:t>
      </w:r>
      <w:r>
        <w:rPr>
          <w:rFonts w:ascii="Georgia" w:eastAsia="Times New Roman" w:hAnsi="Georgia" w:cs="Calibri"/>
          <w:color w:val="333333"/>
          <w:sz w:val="20"/>
          <w:szCs w:val="20"/>
        </w:rPr>
        <w:t>, illustrates liquidated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Punitive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Punitive damages are those awarded for the purpose of punishing a defendant in a civil action, in which criminal sanctions are of course unavailable. They are proper in cases in which the defendant has acted willfully and maliciously and are thought to deter others from acting similarly. Since the purpose of contract law is compensation, not punishment, punitive damages have not traditionally been awarded, with one exception—when the breach of contract is also a tort for which punitive damages may be recovered. Punitive damages are permitted in the law of torts (in all but four states) when the behavior is malicious or willful (reckless conduct causing physical harm, deliberate defamation of one’s character, a knowingly unlawful taking of someone’s property), and some kinds of contract breach are also tortious. For example, when a creditor holding collateral as security under a contract for a loan sells the collateral to a good-faith purchaser for value even though the debtor was not in default, he has breached the contract and committed the tort of conversion; punitive damages may be awarded, assuming the behavior was willful and not merely mistaken.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 remit (reduce) some or all of a punitive damage award if he or she considers it excessive.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the purpose of contract remedies is, in general, to make the nonbreaching party whole, the law allows several types of damages (money paid) to reflect the losses suffered by the nonbreaching party. Compensatory damages compensate for the special loss suffered; consequential damages compensate for the foreseeable consequences of the breach; incidental damages compensate for the costs of keeping any more damages from occurring; nominal damages are awarded if the actual amount cannot be shown or there are no actual damages; liquidated damages are agreed to in advance where the actual amount is difficult to ascertain, and they are allowed if not a penalty; and punitive damages may sometimes be allowed if the breaching party’s behavior is an egregious tort, an outrage.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39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 legal remedy and an equitable remedy?</w:t>
      </w:r>
    </w:p>
    <w:p w:rsidR="00A86150" w:rsidRDefault="00F714D4">
      <w:pPr>
        <w:numPr>
          <w:ilvl w:val="0"/>
          <w:numId w:val="39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types of remedies are there, and what purpose does each serve?</w:t>
      </w:r>
    </w:p>
    <w:p w:rsidR="00A86150" w:rsidRDefault="00F714D4">
      <w:pPr>
        <w:numPr>
          <w:ilvl w:val="0"/>
          <w:numId w:val="39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must be shown if liquidated damages are to be allowed?</w:t>
      </w:r>
    </w:p>
    <w:p w:rsidR="00A86150" w:rsidRDefault="00F714D4">
      <w:pPr>
        <w:numPr>
          <w:ilvl w:val="0"/>
          <w:numId w:val="39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may punitive damages be allowed?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16.4 Equitable Remedies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91"/>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when equitable (as opposed to legal) remedies will be allowed.</w:t>
      </w:r>
    </w:p>
    <w:p w:rsidR="00A86150" w:rsidRDefault="00F714D4">
      <w:pPr>
        <w:numPr>
          <w:ilvl w:val="0"/>
          <w:numId w:val="391"/>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different types of equitable remedies: specific performance, injunction, and restitution.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Really the only explanation for the differences between law and equity is to be found in the history and politics of England dating to the twelfth century, but in practical terms, the distinctions are notable. First, juries are not used in equitable cases. Second, equity relies less on precedent and more on the sense that justice should be served. Third, and of most significance, where what is sought by the nonbreaching party is not money—that is, where there is no adequate legal remedy—equity may afford relief. In equity a person may get a judge to order the breaching party to deliver some actual property, or to stop doing something that he should not do, or to return the consideration the nonbreaching party gave so as to return the parties to the precontract status (specific performance, injunction, and restitution, respectively).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Remedies in Equity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types of equitable remedies: specific performance, injunction, and restitution.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Specific Performance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Specific performance</w:t>
      </w:r>
      <w:r>
        <w:rPr>
          <w:rFonts w:ascii="Georgia" w:eastAsia="Times New Roman" w:hAnsi="Georgia" w:cs="Calibri"/>
          <w:color w:val="333333"/>
          <w:sz w:val="20"/>
          <w:szCs w:val="20"/>
          <w:lang w:val="en"/>
        </w:rPr>
        <w:t> is a judicial order to the promisor that he undertake the performance to which he obligated himself in a contract. Specific performance is an alternative remedy to damages and may be issued at the discretion of the court, subject to a number of exceptions. Emily signs a contract to sell Charlotte a gold samovar, a Russian antique of great sentimental value because it once belonged to Charlotte’s mother. Emily then repudiates the contract while still executory. A court may properly grant Charlotte an order of specific performance against Emily.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students understand the basic idea of specific performance, they often want to pounce upon it as the solution to almost any breach of contract. It seems reasonable that the nonbreaching party could ask a court to simply require the promisor to do what she promised she would. But specific performance is a very limited remedy: it is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available for breach of contract to sell a unique item, that is, a unique item of personal property (the samovar), or a parcel of real estate (all real estate is unique). But if the item is not unique, so that the nonbreaching party can go out and buy another one, then the legal remedy of money damages will solve the problem. And specific performance will never be used to force a person to perform services against his will, which would be involuntary servitude. A person may be forced to stop doing that which he should not do (injunction), but not forced to do what he will not do.</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Injunction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w:t>
      </w:r>
      <w:r>
        <w:rPr>
          <w:rFonts w:ascii="Georgia" w:eastAsia="Times New Roman" w:hAnsi="Georgia" w:cs="Calibri"/>
          <w:b/>
          <w:bCs/>
          <w:color w:val="333333"/>
          <w:sz w:val="20"/>
          <w:szCs w:val="20"/>
          <w:lang w:val="en"/>
        </w:rPr>
        <w:t>injunction</w:t>
      </w:r>
      <w:r>
        <w:rPr>
          <w:rFonts w:ascii="Georgia" w:eastAsia="Times New Roman" w:hAnsi="Georgia" w:cs="Calibri"/>
          <w:color w:val="333333"/>
          <w:sz w:val="20"/>
          <w:szCs w:val="20"/>
          <w:lang w:val="en"/>
        </w:rPr>
        <w:t> is the second type of equitable remedy available in contract (it is also available in tort). It is a court order directing a person to stop doing that which she should not do. For example, if an employer has a valid noncompete contract with an employee, and the employee, in breach of that contract, nevertheless undertakes to compete with his former employer, a court may enjoin (issue an order of injunction), directing the former employee to stop such competition. A promise by a person not to do something—in this example, not to compete—is called a </w:t>
      </w:r>
      <w:r>
        <w:rPr>
          <w:rFonts w:ascii="Georgia" w:eastAsia="Times New Roman" w:hAnsi="Georgia" w:cs="Calibri"/>
          <w:b/>
          <w:bCs/>
          <w:color w:val="333333"/>
          <w:sz w:val="20"/>
          <w:szCs w:val="20"/>
          <w:lang w:val="en"/>
        </w:rPr>
        <w:t>negative</w:t>
      </w:r>
      <w:r>
        <w:rPr>
          <w:rFonts w:ascii="Georgia" w:eastAsia="Times New Roman" w:hAnsi="Georgia" w:cs="Calibri"/>
          <w:color w:val="333333"/>
          <w:sz w:val="20"/>
          <w:szCs w:val="20"/>
          <w:lang w:val="en"/>
        </w:rPr>
        <w:t> covenant (a covenant is a promise in a contract, itself a contract). Or if Seller promises to give Buyer the right of first refusal on a parcel of real estate or a unique work of art, but Seller, in breach of a written promise, offers the thing to a third party, a court may enjoin Seller from selling it to the third party. If a person violates an injunction, he may be held in contempt of court and put in jail for a while. </w:t>
      </w:r>
      <w:r>
        <w:rPr>
          <w:rFonts w:ascii="Georgia" w:eastAsia="Times New Roman" w:hAnsi="Georgia" w:cs="Calibri"/>
          <w:i/>
          <w:iCs/>
          <w:color w:val="333333"/>
          <w:sz w:val="20"/>
          <w:szCs w:val="20"/>
          <w:lang w:val="en"/>
        </w:rPr>
        <w:t>Madison Square Garden v. Carnera Corporation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16.6.3 "Injunctions and Negative Covenants"</w:t>
      </w:r>
      <w:r>
        <w:rPr>
          <w:rFonts w:ascii="Georgia" w:eastAsia="Times New Roman" w:hAnsi="Georgia" w:cs="Calibri"/>
          <w:color w:val="333333"/>
          <w:sz w:val="20"/>
          <w:szCs w:val="20"/>
          <w:lang w:val="en"/>
        </w:rPr>
        <w:t>, is a classic case involving injunctions for breach of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Restitution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type of equitable relief is </w:t>
      </w:r>
      <w:r>
        <w:rPr>
          <w:rFonts w:ascii="Georgia" w:eastAsia="Times New Roman" w:hAnsi="Georgia" w:cs="Calibri"/>
          <w:b/>
          <w:bCs/>
          <w:color w:val="333333"/>
          <w:sz w:val="20"/>
          <w:szCs w:val="20"/>
          <w:lang w:val="en"/>
        </w:rPr>
        <w:t>restitution</w:t>
      </w:r>
      <w:r>
        <w:rPr>
          <w:rFonts w:ascii="Georgia" w:eastAsia="Times New Roman" w:hAnsi="Georgia" w:cs="Calibri"/>
          <w:color w:val="333333"/>
          <w:sz w:val="20"/>
          <w:szCs w:val="20"/>
          <w:lang w:val="en"/>
        </w:rPr>
        <w:t>. Restitution is a remedy applicable to several different types of cases: those in which the contract was avoided because of incapacity or misrepresentation, those in which the other party breached, and those in which the party seeking restitution breached. As the word implies, </w:t>
      </w:r>
      <w:r>
        <w:rPr>
          <w:rFonts w:ascii="Georgia" w:eastAsia="Times New Roman" w:hAnsi="Georgia" w:cs="Calibri"/>
          <w:i/>
          <w:iCs/>
          <w:color w:val="333333"/>
          <w:sz w:val="20"/>
          <w:szCs w:val="20"/>
          <w:lang w:val="en"/>
        </w:rPr>
        <w:t>restitution</w:t>
      </w:r>
      <w:r>
        <w:rPr>
          <w:rFonts w:ascii="Georgia" w:eastAsia="Times New Roman" w:hAnsi="Georgia" w:cs="Calibri"/>
          <w:color w:val="333333"/>
          <w:sz w:val="20"/>
          <w:szCs w:val="20"/>
          <w:lang w:val="en"/>
        </w:rPr>
        <w:t> is a restoring to one party of what he gave to the other. Therefore, only to the extent that the injured party conferred a benefit on the other party may the injured party be awarded restitution. The point is, a person who breaches a contract should not suffer a punishment, and the nonbreaching party should not be unjustly enriched.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Total Nonperformance by Breaching Party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nonbreaching party is always entitled to restitution in the event of total breach by nonperformance or repudiation, unless both parties have performed all duties except for payment by the other party of a definite sum of money for the injured party’s performance.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Calhoun, a contractor, agrees to build $3,000 worth of fences for only $2,000 and completes the construction. Arlene, the landowner, refuses to pay. Calhoun’s only right is to get the $2,000; he does not have a restitution right to $2,500, the market price of his services (or $3,000, the amount by which her property increased in value); he is entitled, instead, only to $2,000, his contract price. Had Arlene repudiated prior to completion, however, Calhoun would then have been entitled to restitution based either on the market price of the work or on the amount by which he enhanced her property. If the one party breaches, the nonbreaching party is generally entitled to restitution of property that can be returned. Arlene gives Calhoun a valuable Ming vase in return for his promise to construct the fences. Upon Calhoun’s breach, Arlene is entitled to specific restitution of the vase.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Measuring restitution interest can be problematic. The courts have considerable discretion to award either what it would have cost to hire someone else to do the work that the nonbreaching party performed (generally, the market price of the service) or the value that was added to the property of the party in breach by virtue of the claimant’s performance. Calhoun, the contractor, agrees to construct ten fences around Arlene’s acreage at the market price of $25,000. After erecting three, Calhoun has performed services that would cost $7,500, market value. Assume that he has increased the value of Arlene’s grounds by $8,000. If Arlene repudiated, there are two measures of Calhoun’s restitution interest: $8,000, the value by which the property was enhanced, or $7,500, the amount it would have cost Arlene to hire someone else to do the work. Which measure to use depends on who repudiated the contract and for what reason. In some cases, the enhancement of property or wealth measurement could lead to an award vastly exceeding the market price for the service. In such cases, the smaller measure is used. For a doctor performing lifesaving operations on a patient, restitution would recover only the market value of the doctor’s services—not the monetary value of the patient’s life.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 Performance and Then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party who has substantially performed and then breached is entitled to restitution of a benefit conferred on the injured party, if the injured party has refused (even though justifiably) to complete his own performance owing to the other’s breach. Since the party in breach is liable to the injured party for damages for loss, this rule comes into play only when the benefit conferred is greater than the amount the nonbreaching party has lost. Arlene agrees to sell her property to Calhoun for $120,000, and Calhoun makes a partial payment of $30,000. He then repudiates. Arlene turns around and sells the property to a third party for $110,000. Calhoun—the breaching party—can get his money back, less the damages Arlene suffered as a result of his breach. He gets $30,000 minus the $10,000 loss Arlene incurred. He gets $20,000 in restitution. Otherwise Arlene would be enriched by Calhoun’s breach: she’d get $140,000 in total for real estate worth $120,000. But if he gets $20,000 of his $30,000 back, she receives $110,000 from the third party and $10,000 from Calhoun, so she gets $120,000 total (plus, we hope, incidental damages, at least).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Restitution in Other Cases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Upon repudiation of an oral contract governed by the Statute of Frauds, the nonbreaching party is not entitled to her expectation interest, but she may recover in restitution unless the purpose of the statute would be frustrated. When one party avoids a contract owing to lack of capacity, mistake, misrepresentation, duress, or the like, she is entitled to restitution for benefit conferred on the other party. Restitution is also available if a contract duty is discharged or never arises because (1) performance was impracticable, (2) the purpose of the contract was frustrated, (3) a condition did not occur, or (4) a beneficiary disclaimed his benefit.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Equitable remedies for breach of contract are available when legal remedies won’t make the nonbreaching party whole. The equitable remedies are specific performance (an order directing a person to deliver to the buyer the unique thing the seller contracted to sell), injunction (an order directing a person to stop doing that which he should not do), and restitution (the return by one party of the benefit conferred on him when the contract is not performed, to the extent necessary to avoid imposing a penalty on the breaching party).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9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Buyer contracts to buy a 1941 four-door Cadillac convertible from Seller for $75,000. Seller, having found a Third Party who will pay $85,000 for the car, refuses to sell to Buyer. What is Buyer’s remedy?</w:t>
      </w:r>
    </w:p>
    <w:p w:rsidR="00A86150" w:rsidRDefault="00F714D4">
      <w:pPr>
        <w:numPr>
          <w:ilvl w:val="0"/>
          <w:numId w:val="392"/>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Third Party had paid the $85,000 and Seller was ordered to sell to Buyer. What is Third Party’s remedy?</w:t>
      </w:r>
    </w:p>
    <w:p w:rsidR="00A86150" w:rsidRDefault="00F714D4">
      <w:pPr>
        <w:numPr>
          <w:ilvl w:val="0"/>
          <w:numId w:val="39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Professor Smith contracts to teach business law at State University for the academic year. After the first term is over, she quits. Can State University get an order of specific performance or an injunction requiring Professor Smith to return for the second term?</w:t>
      </w:r>
    </w:p>
    <w:p w:rsidR="00A86150" w:rsidRDefault="00F714D4">
      <w:pPr>
        <w:numPr>
          <w:ilvl w:val="0"/>
          <w:numId w:val="39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Now suppose that the reason Professor Smith quit work at State University is because she got a better job at Central University, fifteen miles away. Can State University get an injunction prohibiting her from teaching at Central University?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373.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16.5 Limitations on Contract Remedies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393"/>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there are various rules that limit recovery for the nonbreaching party in a contract case.</w:t>
      </w:r>
    </w:p>
    <w:p w:rsidR="00A86150" w:rsidRDefault="00F714D4">
      <w:pPr>
        <w:numPr>
          <w:ilvl w:val="0"/>
          <w:numId w:val="393"/>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these concepts serve to limit contract remedies: foreseeability, mitigation of damages, certainty of damages, loss of power of avoidance, election of remedies, and agreement of the parties.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Overview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observed that the purpose of remedies in contract law is, where possible, to put the nonbreaching party in as good a position as he would have been in had there been no breach. There are, however, several limitations or restrictions affecting when a person can claim remedies, in both law (damages) and equity. Of course the contract itself may—if not unconscionable—limit remedies. Beyond that, the nonbreaching party must be able to articulate with some degree of certainty what her damages are; the damages must be foreseeable; the nonbreaching party must have made a reasonable effort to mitigate the damages; she must sometime elect to go with one remedy and forgo another; she cannot seek to avoid a contract if she has lost the power to do so. We turn to these points.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Foreseeability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damages that flow from a breach of contract lack foreseeability, they will not be recoverable. Failures to act, like acts themselves, have consequences. As the old fable has it, “For want of a nail, the kingdom was lost.” To put a nonbreaching party in the position he would have been in had the contract been carried out could mean, in some cases, providing compensation for a long chain of events. In many cases, that would be unjust, because a person who does not anticipate a particular event when making a contract will not normally take steps to protect himself (either through limiting language in the contract or through insurance). The law is not so rigid; a loss is not compensable to the nonbreaching party unless the breaching party, at the time the contract was made, understood the loss was foreseeable as a probable result of his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the loss of the contractual benefit in the event of breach is always foreseeable. A company that signs an employment contract with a prospective employee knows full well that if it breaches, the employee will have a legitimate claim to lost salary. But it might have no reason to know that the employee’s holding the job for a certain length of time was a condition of his grandfather’s gift of $1 million.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leading case, perhaps the most studied case, in all the common law is </w:t>
      </w:r>
      <w:r>
        <w:rPr>
          <w:rFonts w:ascii="Georgia" w:eastAsia="Times New Roman" w:hAnsi="Georgia" w:cs="Calibri"/>
          <w:i/>
          <w:iCs/>
          <w:color w:val="333333"/>
          <w:sz w:val="20"/>
          <w:szCs w:val="20"/>
          <w:lang w:val="en"/>
        </w:rPr>
        <w:t>Hadley v. Baxendale</w:t>
      </w:r>
      <w:r>
        <w:rPr>
          <w:rFonts w:ascii="Georgia" w:eastAsia="Times New Roman" w:hAnsi="Georgia" w:cs="Calibri"/>
          <w:color w:val="333333"/>
          <w:sz w:val="20"/>
          <w:szCs w:val="20"/>
          <w:lang w:val="en"/>
        </w:rPr>
        <w:t>, 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when the party in breach has not known and has had no reason to know that the contract entailed a special risk of loss, the burden must fall on the nonbreaching party. As we have seen, damages attributable to losses that flow from events that do not occur in the ordinary course of events are known as consequential or special damages. The exact amount of a loss need not be foreseeable; it is the nature of the event that distinguishes between claims for ordinary or consequential damages. A repair shop agrees to fix a machine that it knows is intended to be resold. Because it delays, the sale is lost. The repair shop, knowing why timeliness of performance was important, is liable for the lost profit, as long as it was reasonable. It would not be liable for an extraordinary profit that the seller could have made because of circumstances peculiar to the particular sale unless they were disclosed.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special circumstances need not be recited in the contract. It is enough for the party in breach to have actual knowledge of the loss that would occur through his breach. Moreover, the parol evidence rule (</w:t>
      </w:r>
      <w:r>
        <w:rPr>
          <w:rFonts w:ascii="Georgia" w:eastAsia="Times New Roman" w:hAnsi="Georgia" w:cs="Calibri"/>
          <w:color w:val="2689C6"/>
          <w:sz w:val="20"/>
          <w:szCs w:val="20"/>
          <w:lang w:val="en"/>
        </w:rPr>
        <w:t>Chapter 13 "Form and Meaning"</w:t>
      </w:r>
      <w:r>
        <w:rPr>
          <w:rFonts w:ascii="Georgia" w:eastAsia="Times New Roman" w:hAnsi="Georgia" w:cs="Calibri"/>
          <w:color w:val="333333"/>
          <w:sz w:val="20"/>
          <w:szCs w:val="20"/>
          <w:lang w:val="en"/>
        </w:rPr>
        <w:t>) does not bar introduction of evidence bearing on the party’s knowledge before the contract was signed. So the lesson to a promisee is that the reason for the terms he bargains for should be explained to the promisor—although too much explanation could kill a contract. A messenger who is paid five dollars to deliver a letter across town is not likely to undertake the mission if he is told in advance that his failure for any reason to deliver the letter will cost the sender $1 million, liability to be placed on the messenger.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Actual knowledge is not the only criterion, because the standard of foreseeability is objective, not subjective. That means that if the party had reason to know—if a reasonable person would have understood—that a particular loss was probable should he breach, then he is liable for damages. What one has reason to know obviously depends on the circumstances of the case, the parties’ prior dealings, and industry custom. A supplier selling to a middleman should know that the commodity will be resold and that delay or default may reduce profits, whereas delay in sale to an end user might not. If it was foreseeable that the breach might cause the nonbreaching party to be sued, the other party is liable for legal fees and a resulting judgment or the cost of a settlement.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though the breaching party may have knowledge, the courts will not always award full consequential damages. In the interests of fairness, they may impose limitations if such an award would be manifestly unfair. Such cases usually crop up when the parties have dealt informally and there is a considerable disproportion between the loss caused and the benefit the nonbreaching party had agreed to confer on the party who breached. The messenger may know that a huge sum of money rides on his prompt delivery of a letter across town, but unless he explicitly contracted to bear liability for failure to deliver, it is unlikely that the courts would force him to ante up $1 million when his fee for the service was only five dollars.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EBWS, LLC v. Britly Corp.</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16.6.1 "Consequential Damages"</w:t>
      </w:r>
      <w:r>
        <w:rPr>
          <w:rFonts w:ascii="Georgia" w:eastAsia="Times New Roman" w:hAnsi="Georgia" w:cs="Calibri"/>
          <w:color w:val="333333"/>
          <w:sz w:val="20"/>
          <w:szCs w:val="20"/>
          <w:lang w:val="en"/>
        </w:rPr>
        <w:t>, is a case that represents a modern application of the rule of </w:t>
      </w:r>
      <w:r>
        <w:rPr>
          <w:rFonts w:ascii="Georgia" w:eastAsia="Times New Roman" w:hAnsi="Georgia" w:cs="Calibri"/>
          <w:i/>
          <w:iCs/>
          <w:color w:val="333333"/>
          <w:sz w:val="20"/>
          <w:szCs w:val="20"/>
          <w:lang w:val="en"/>
        </w:rPr>
        <w:t>Hadley v. Baxendale</w:t>
      </w:r>
      <w:r>
        <w:rPr>
          <w:rFonts w:ascii="Georgia" w:eastAsia="Times New Roman" w:hAnsi="Georgia" w:cs="Calibri"/>
          <w:color w:val="333333"/>
          <w:sz w:val="20"/>
          <w:szCs w:val="20"/>
          <w:lang w:val="en"/>
        </w:rPr>
        <w:t> on the issue of foreseeability of consequential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Mitigation of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law encourages the nonbreaching party to avoid loss wherever possible; this is called mitigation of damages. The concept is a limitation on damages in law. So there can be no recovery if the nonbreaching party had an opportunity to avoid or limit losses and failed to take advantage of it. Such an opportunity exists as long as it does not impose, in the Restatement’s words, an “undue risk, burden or humiliation.”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effort to mitigate need not be successful. As long as the nonbreaching party makes a reasonable, good-faith attempt to mitigate his losses, damages are recoverable.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Mitigation crops up in many circumstances. Thus a nonbreaching party who continues to perform after notice that the promisor has breached or will breach may not recover for expenses incurred in continuing to perform. And losses from the use of defective goods delivered in breach of contract are not compensable if the nonbreaching party knew before use that they were defective. Often the nonbreaching party can make substitute arrangements—find a new job or a new employee, buy substitute goods or sell them to another buyer—and his failure to do so will limit the amount of damages he will recover from the party who breaches. Under the general rule, failure to mitigate when possible permits the promisor to deduct from damages the amount of the loss that the nonbreaching party could have avoided. When there is a readily ascertainable market price for goods, damages are equal to the difference between the contract price and the market price.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substitute transaction is not just any possible arrangement; it must be suitable under the circumstances. Factors to be considered include the similarity, time, and place of performance, and whether the difference between the contracted-for and substitute performances can be measured and compensated. A prospective employee who cannot find substitute work within her field need not mitigate by taking a job in a wholly different one. An advertising salesperson whose employment is repudiated need not mitigate by taking a job as a taxi driver. When the only difference between the original and the substitute performances is price, the nonbreaching party must mitigate, even if the substitute performer is the original promisor.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nonbreaching party must mitigate in timely fashion, but each case is different. If it is clear that the promisor has unconditionally repudiated before performance is due, the nonbreaching party must begin to mitigate as soon as practicable and should not wait until the day performance is due to look for an alternative.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long as the nonbreaching party makes a reasonable effort to mitigate, the success of that effort is not an issue in assessing damages. If a film producer’s original cameraman breaches the contract, and if the producer had diligently searched for a substitute cameraman, who cost $150 extra per week and it later came to light that the producer could have hired a cameraman for $100, the company is entitled nevertheless to damages based on the higher figure. </w:t>
      </w:r>
      <w:r>
        <w:rPr>
          <w:rFonts w:ascii="Georgia" w:eastAsia="Times New Roman" w:hAnsi="Georgia" w:cs="Calibri"/>
          <w:i/>
          <w:iCs/>
          <w:color w:val="333333"/>
          <w:sz w:val="20"/>
          <w:szCs w:val="20"/>
          <w:lang w:val="en"/>
        </w:rPr>
        <w:t>Shirley MacLaine v. Twentieth Century-Fox Corporation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16.6.4 "Limitation on Damages: Mitigation of Damages"</w:t>
      </w:r>
      <w:r>
        <w:rPr>
          <w:rFonts w:ascii="Georgia" w:eastAsia="Times New Roman" w:hAnsi="Georgia" w:cs="Calibri"/>
          <w:color w:val="333333"/>
          <w:sz w:val="20"/>
          <w:szCs w:val="20"/>
          <w:lang w:val="en"/>
        </w:rPr>
        <w:t>, is a well-known case involving mitigation of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Certainty of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party can recover only that amount of damage in law which can be proved with reasonable certainty. Especially troublesome in this regard are lost profits and loss of goodwill. Alf is convinced that next spring the American public will be receptive to polka-dotted belts with his name monogrammed in front. He arranges for a garment factory to produce 300,000 such belts, but the factory, which takes a large deposit from him in advance, misplaces the order and does not produce the belts in time for the selling season. When Alf discovers the failure, he cannot raise more money to go elsewhere, and his project fails. He cannot recover damages for lost profits because the number is entirely speculative; no one can prove how much he would have made, if anything. He can, instead, seek restitution of the monies advanced. If he had rented a warehouse to store the belts, he would also be able to recover his reliance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Proof of lost profits is not always difficult: a seller can generally demonstrate the profit he would have made on the sale to the buyer who has breached. The problem is more difficult, as Alf’s case demonstrates, when it is the seller who has breached. A buyer who contracts for but does not receive raw materials, supplies, and inventory cannot show definitively how much he would have netted from the use he planned to make of them. But he is permitted to prove how much money he has made in the past under similar circumstances, and he may proffer financial and market data, surveys, and expert testimony to support his claim. When proof of profits is difficult or impossible, the courts may grant a nonmonetary award, such as specific performance.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Loss of Power of Avoidance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will recall that there are several circumstances when a person may avoid a contract: duress, undue influence, misrepresentation (fraudulent, negligent, or innocent), or mistake. But a party may lose the right to avoid, and thus the right to any remedy, in several ways.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Delay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party is the victim of fraud, she must act promptly to rescind at common law, or she will lose the right and her remedy will be limited to damages in tort. (This is discussed a bit more in </w:t>
      </w:r>
      <w:r>
        <w:rPr>
          <w:rFonts w:ascii="Georgia" w:eastAsia="Times New Roman" w:hAnsi="Georgia" w:cs="Calibri"/>
          <w:color w:val="2689C6"/>
          <w:sz w:val="20"/>
          <w:szCs w:val="20"/>
          <w:lang w:val="en"/>
        </w:rPr>
        <w:t>Section 16.5.7 "Election of Remedies"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Affirmation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infant who waits too long to disaffirm (again, delay) will have ratified the contract, as will one who—notwithstanding being the victim of duress, undue influence, mistake, or any other grounds for avoidance—continues to operate under the contract with full knowledge of his right to avoid. Of course the disability that gave rise to the power of avoidance must have passed before affirmation works.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Rights of Third Parties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intervening rights of third parties may terminate the power to avoid. For example, Michelle, a minor, sells her watch to Betty Buyer. Up to and within a reasonable time after reaching majority, Michelle could avoid—disaffirm—the contract. But if, before that time, Betty sells the watch to a third party, Michelle cannot get it back from the third party. Similarly, Salvador Seller sells his car to Bill Buyer, who pays for it with a bad check. If the check bounces, Salvador can rescind the deal—Bill’s consideration (the money represented by the check) has failed: Salvador could return the check and get his car back. But if, before the check from Bill bounces, Bill in turn sells the car to Pat Purchaser, Salvador cannot avoid the contract. Pat gets to keep the car. There are some exceptions to this rule.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Agreement of the Parties Limiting Remedies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Certainly it is the general rule that parties are free to enter into any kind of a contract they want, so long as it is not illegal or unconscionable. The inclusion into the contract of a liquidated damages clause—mentioned previously—is one means by which the parties may make an agreement affecting damages. But beyond that, as we saw in </w:t>
      </w:r>
      <w:r>
        <w:rPr>
          <w:rFonts w:ascii="Georgia" w:eastAsia="Times New Roman" w:hAnsi="Georgia" w:cs="Calibri"/>
          <w:color w:val="2689C6"/>
          <w:sz w:val="20"/>
          <w:szCs w:val="20"/>
          <w:lang w:val="en"/>
        </w:rPr>
        <w:t>Chapter 12 "Legality"</w:t>
      </w:r>
      <w:r>
        <w:rPr>
          <w:rFonts w:ascii="Georgia" w:eastAsia="Times New Roman" w:hAnsi="Georgia" w:cs="Calibri"/>
          <w:color w:val="333333"/>
          <w:sz w:val="20"/>
          <w:szCs w:val="20"/>
          <w:lang w:val="en"/>
        </w:rPr>
        <w:t>, it is very common for one side to limit its liability, or for one side to agree that it will pursue only limited remedies against the other in case of breach. Such agree-to limitations on the availability of remedies are generally OK provided they are conspicuous, bargained-for, and not unconscionable. In consumer transactions, courts are more likely to find a contracted-for limitation of remedies unconscionable than in commercial transactions, and under the Uniform Commercial Code (UCC) there are further restrictions on contractual remedy limitations.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Juan buys ten bags of concrete to make a counter and stand for his expensive new barbecue. The bags have this wording in big print: “Attention. Our sole liability in case this product is defective will be to provide you with a like quantity of nondefective material. We will not be liable for any other damages, direct or indirect, express or implied.” That’s fine. If the concrete is defective, the concrete top breaks, and Juan’s new barbecue is damaged, he will get nothing but some new bags of good concrete. He could have shopped around to find somebody who would deliver concrete with no limitation on liability. As it is, his remedies are limited by the agreement he entered into.</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Election of Remedies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At Common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limitation on remedies—at common law—is the concept ofelection of remedies. The nature of a loss resulting from a contract breach may be such as to entitle one party to a choice among two or more means to redress the grievance, where the choices are mutually exclusive.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classic common law, a person who was defrauded had an election of remedies: she could, immediately upon discovering the fraud, rescind, or she could retain the item (real estate or personal property) and attempt to remedy the fraudulently defective performance by suing for damages, but not both. Buyer purchases real estate from Seller for $300,000 and shortly discovers that Seller fraudulently misrepresented the availability of water. Buyer spends $60,000 trying to drill wells. Finally he gives up and sues Seller for fraud, seeking $360,000. Traditionally at common law, he would not get it. He should have rescinded upon discovery of the fraud. Now he can only get $60,000 in damages in tort.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purpose of the election of remedies doctrine is to prevent the victim of fraud from getting a double recovery, but it has come under increasing criticism. Here is one court’s observation: “A host of commentators support elimination of the election of remedies doctrine. A common theme is that the doctrine substitutes labels and formalism for inquiry into whether double recovery results in fact. The rigid doctrine goes to the other extreme, actually resulting in the under compensation of fraud victims and the protection of undeserving wrongdoers.”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Under the UCC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doctrine of election of remedy has been rejected by the UCC, which means that the remedies are cumulative in nature. According to Section 2-703(1): “Whether the pursuit of one remedy bars another depends entirely on the facts of the individual case.” UCC, Section 2-721, provides that neither demand for rescission of the contract in the case of misrepresentation or fraud, nor the return or rejection of goods, bars a claim for damages or any other remedy permitted under the UCC for nonfraudulent breach.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Tort versus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A86150" w:rsidRDefault="00F714D4">
      <w:pPr>
        <w:pStyle w:val="ListParagraph"/>
        <w:numPr>
          <w:ilvl w:val="0"/>
          <w:numId w:val="3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 of limitations. Most statutes of limitations prescribe longer periods for contract than for tort actions.</w:t>
      </w:r>
    </w:p>
    <w:p w:rsidR="00A86150" w:rsidRDefault="00F714D4">
      <w:pPr>
        <w:pStyle w:val="ListParagraph"/>
        <w:numPr>
          <w:ilvl w:val="0"/>
          <w:numId w:val="3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Allowable damages. Punitive damages are more often permitted in tort actions, and certain kinds of injuries are compensable in tort but not in contract suits—for example, pain and suffering.</w:t>
      </w:r>
    </w:p>
    <w:p w:rsidR="00A86150" w:rsidRDefault="00F714D4">
      <w:pPr>
        <w:pStyle w:val="ListParagraph"/>
        <w:numPr>
          <w:ilvl w:val="0"/>
          <w:numId w:val="3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Expert testimony. In most cases, the use of experts would be the same in either tort or contract suits, but in certain contract cases, the expert witness could be dispensed with, as, for example, in a contract case charging that the physician abandoned the patient.</w:t>
      </w:r>
    </w:p>
    <w:p w:rsidR="00A86150" w:rsidRDefault="00F714D4">
      <w:pPr>
        <w:pStyle w:val="ListParagraph"/>
        <w:numPr>
          <w:ilvl w:val="0"/>
          <w:numId w:val="39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Insurance coverage. Most policies do not cover intentional torts, so a contract theory that avoids the element of willfulness would provide the plaintiff with a surer chance of recovering money damages.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Legal versus Extralegal Remedies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party entitled to a legal remedy is not required to pursue it. Lawsuits are disruptive not merely to the individuals involved in the particular dispute but also to the ongoing relationships that may have grown up around the parties, especially if they are corporations or other business enterprises. Buyers must usually continue to rely on their suppliers, and sellers on their buyers. Not surprisingly, therefore, many businesspeople refuse to file suits even though they could, preferring to settle their disputes privately or even to ignore claims that they might easily press. Indeed, the decision whether or not to sue is not one for the lawyer but for the client, who must analyze a number of pros and cons, many of them not legal ones at all.</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limitations on the right of an aggrieved party to get contract remedies for a breach besides any limitations fairly agreed to by the parties. The damages suffered by the nonbreaching party must be reasonably foreseeable. The nonbreaching party must make a reasonable effort to mitigate damages, or the amount awarded will be reduced by the damages that could have been avoided. The party seeking damages must be able to explain within reason how much loss he has suffered as a result of the breach. If he cannot articulate with any degree of certainty—if the damages are really speculative—he will be entitled to nominal damages and that’s all. There are circumstances in which a party who could have got out of a contractual obligation—avoided it—loses the power to do so, and her remedy of avoidance is lost. Not infrequently, a person will enter into a contract for services or goods that contains a limitation on her right to damages in case the other side breaches. That’s all right unless the limitation is unconscionable. Sometimes parties are required to make an election of remedies: to choose among two or more possible bases of recovery. If the remedies are really mutually exclusive and one is chosen, the aggrieved party loses the right to pursue the others. And of course a person is always free not to pursue any remedy at all for breach of contract; that may be strategically or economically smart in some circumstances.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3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one party to a contract breaches, what duty, if any, is then imposed on the other party?</w:t>
      </w:r>
    </w:p>
    <w:p w:rsidR="00A86150" w:rsidRDefault="00F714D4">
      <w:pPr>
        <w:numPr>
          <w:ilvl w:val="0"/>
          <w:numId w:val="3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chef who has never owned her own restaurant sues a contractor who failed to finish building the chef’s first restaurant on time. She presents evidence of the profits made by similar restaurants that have been in business for some time. Is this good evidence of the damages she has suffered by the delay? To what damages is she entitled?</w:t>
      </w:r>
    </w:p>
    <w:p w:rsidR="00A86150" w:rsidRDefault="00F714D4">
      <w:pPr>
        <w:numPr>
          <w:ilvl w:val="0"/>
          <w:numId w:val="3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Rebecca, seventeen years and ten months old, buys a party dress for $300. She wears it to the junior prom but determines it doesn’t look good on her. She puts it in her closet and forgets about it until six months later, when she decides to return it to the store. Is she now entitled to the remedy of rescission?</w:t>
      </w:r>
    </w:p>
    <w:p w:rsidR="00A86150" w:rsidRDefault="00F714D4">
      <w:pPr>
        <w:numPr>
          <w:ilvl w:val="0"/>
          <w:numId w:val="39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w:t>
      </w:r>
      <w:r>
        <w:rPr>
          <w:rFonts w:ascii="Calibri" w:eastAsia="Times New Roman" w:hAnsi="Calibri" w:cs="Calibri"/>
          <w:i/>
          <w:iCs/>
          <w:color w:val="333333"/>
          <w:sz w:val="20"/>
          <w:szCs w:val="20"/>
          <w:lang w:val="en"/>
        </w:rPr>
        <w:t>rescission</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restitution</w:t>
      </w:r>
      <w:r>
        <w:rPr>
          <w:rFonts w:ascii="Calibri" w:eastAsia="Times New Roman" w:hAnsi="Calibri" w:cs="Calibri"/>
          <w:color w:val="333333"/>
          <w:sz w:val="20"/>
          <w:szCs w:val="20"/>
          <w:lang w:val="en"/>
        </w:rPr>
        <w:t>?</w:t>
      </w:r>
    </w:p>
    <w:p w:rsidR="00A86150" w:rsidRDefault="00F714D4">
      <w:pPr>
        <w:numPr>
          <w:ilvl w:val="0"/>
          <w:numId w:val="39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parties sometimes required to make an election of remedies?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3"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Hadley v. Baxendale</w:t>
      </w:r>
      <w:r>
        <w:rPr>
          <w:rFonts w:ascii="Calibri" w:eastAsia="Times New Roman" w:hAnsi="Calibri" w:cs="Calibri"/>
          <w:color w:val="333333"/>
          <w:sz w:val="20"/>
          <w:szCs w:val="20"/>
        </w:rPr>
        <w:t> (1854), 9 Ex. 341, 354, 156 Eng.Rep. 145, 151.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350.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Merritt v. Craig</w:t>
      </w:r>
      <w:r>
        <w:rPr>
          <w:rFonts w:ascii="Calibri" w:eastAsia="Times New Roman" w:hAnsi="Calibri" w:cs="Calibri"/>
          <w:color w:val="333333"/>
          <w:sz w:val="20"/>
          <w:szCs w:val="20"/>
        </w:rPr>
        <w:t>, 746 A.2d 923 (Md. 2000).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Head &amp; Seemann, Inc. v. Gregg</w:t>
      </w:r>
      <w:r>
        <w:rPr>
          <w:rFonts w:ascii="Calibri" w:eastAsia="Times New Roman" w:hAnsi="Calibri" w:cs="Calibri"/>
          <w:color w:val="333333"/>
          <w:sz w:val="20"/>
          <w:szCs w:val="20"/>
        </w:rPr>
        <w:t>, 311 N.W.2d 667 (Wis. App. 1981).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16.6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Consequential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EBWS, LLC v. Britly Corp.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928 A.2d 497 (Vt. 2007)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Reiber, C.J.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September 12, 2001, EBWS filed suit against Britly for damages resulting from defective design and construction.…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a three-day trial, the jury found Britly had breached the contract and its express warranty, and awarded EBWS: (1) $38,020 in direct damages, and (2) $35,711 in consequential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Award for consequential damages is reversed.…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according to EBWS’s CEO, would EBWS be required to purchase milk from adjacent Rock Bottom Farm, even though it could not process this milk?</w:t>
      </w:r>
    </w:p>
    <w:p w:rsidR="00A86150" w:rsidRDefault="00F714D4">
      <w:pPr>
        <w:numPr>
          <w:ilvl w:val="0"/>
          <w:numId w:val="3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Surely it is well known in Vermont dairy country that dairy farmers can’t simply stop milking cows when no processing plant is available to take the milk—the cows will soon stop producing. Why was EBWS then not entitled to those damages which it will certainly suffer when the creamery is down for repairs?</w:t>
      </w:r>
    </w:p>
    <w:p w:rsidR="00A86150" w:rsidRDefault="00F714D4">
      <w:pPr>
        <w:numPr>
          <w:ilvl w:val="0"/>
          <w:numId w:val="3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Britly (the contractor) must have known EBWS had employees that would be idled when the creamery shut down for repairs. Why was it not liable for their lost wages?</w:t>
      </w:r>
    </w:p>
    <w:p w:rsidR="00A86150" w:rsidRDefault="00F714D4">
      <w:pPr>
        <w:numPr>
          <w:ilvl w:val="0"/>
          <w:numId w:val="39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could EBWS have done at the time of contracting to protect itself against the damages it would incur in the event the creamery suffered downtime due to faulty construction?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Liquidated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Watson v. Ingram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881 P.2d 247 (Wash. 1994)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Johnson,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summer of 1990, Wayne Watson offered to buy James Ingram’s Bellingham home for $355,000, with a $15,000 [about $24,000 in 2010 dollars] earnest money deposit.…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agreement, the entire amount of the purchase price was due in cash on or before December 3, 1990.…The agreement required Watson to pay a $15,000 earnest money deposit into escrow at Kelstrup Realty, and provided that “[i]n the event of default by Buyer, earnest money shall be forfeited to Seller as liquidated damages, unless Seller elects to seek actual damages or specific performance. Lastly, the agreement contained a provision entitled “BUYER’S REPRESENTATIONS,” which stated, “Buyer represents that buyer has sufficient funds available to close this sale in accordance with this agreement, and is not relying on any contingent source of funds unless otherwise set forth in this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November 10, 1990, Watson sent a written proposal to Ingram seeking to modify the original agreement. The proposed modification would have allowed Watson to defer paying $54,000 of the $355,000 sale price for between 6 and 12 months after the scheduled December closing date. In exchange, Ingram would receive a second lien position on certain real estate Watson owned.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Ingram, the November 10 proposal was the first time he realized Watson did not have financing readily available for the purchase of the house. Ingram notified Watson on November 12, 1990, that he would not agree to modify the original agreement and intended to strictly enforce its terms. Ingram was involved in a child custody suit in California and wanted to move to that state as soon as possible.…[Further efforts by Ingram to sell to third parties and by Watson to get an extension from Ingram failed.]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September 1991, Ingram finally sold the house to a third party for $355,000, the same price that Watson had agreed to pay in December 1990.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Ingram and Watson each sought to recover Watson’s $15,000 earnest money held in escrow. On December 4, 1990, Ingram wrote to Kelstrup Realty, indicating he was entitled to the $15,000 earnest money in escrow because Watson had defaulted. In January 1991, Watson filed this action to recover the earnest money, alleging it amounted to a penalty and Ingram had suffered no actual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trial court found the earnest money “was clearly intended by both parties to be non-refundable” if Watson defaulted and determined $15,000 was “a reasonable forecast by [Ingram and Watson] of damages that would be incurred by [Ingram] if [Watson] failed to complete the purchase”. The court entered judgment in favor of Ingram for the amount of the earnest money plus interest. The court also awarded Ingram his attorney fees pursuant to the parties’ agreement. The Court of Appeals, Division One, affirmed. Watson now appeals to this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case presents a single issue for review: whether the parties’ contract provision requiring Watson to forfeit a $15,000 nonrefundable earnest money deposit is enforceable as liquidated damages. Liquidated damages clauses are favored in Washington, and courts will uphold them if the sums involved do not amount to a penalty or are otherwise unlawful. [Citation] To determine whether liquidated damages clauses are enforceable, Washington courts have applied a 2-part test from the Restatement of Contracts.…Liquidated damages clauses are upheld if the following two factors are satisfied: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amount fixed must be a reasonable forecast of just compensation for the harm that is caused by the breach. Second, the harm must be such that it is incapable or very difficult of ascertainment.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before this court is whether this test is to be applied as of the time of contract formation (prospectively) or as of the time of trial (retrospectively). We have previously held, the “[r]easonableness of the forecast will be judged as of the time the contract was entered”.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contrast, a prior Division One opinion relied upon by Petitioner held the reasonableness of the estimate of damages and the difficulty of ascertainment of harm should be measured as of the time of trial, and earnest money agreements should not be enforceable as liquidated damages if the nonbreaching party does not suffer actual damage.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We…adopt the date of contract formation as the proper timeframe for evaluating the Restatement test. The prospective approach concentrates on whether the liquidated sum represents a reasonable prediction of the harm to the seller if the buyer breaches the agreement, and ignores actual damages except as evidence of the reasonableness of the estimate of potential damage.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believe this approach better fulfills the underlying purposes of liquidated damages clauses and gives greater weight to the parties’ expectations. Liquidated damages permit parties to allocate business and litigation risks. Even if the estimates of damages are not exact, parties can allocate and quantify those risks and can negotiate adjustments to the contract price in light of the allocated risks. Under the prospective approach, courts will enforce the parties’ allocation of risk so long as the forecasts appear reasonable when made.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permitting parties to allocate risks, liquidated damages provisions lend certainty to the parties’ agreements and permit parties to resolve disputes efficiently in the event of a breach. Rather than litigating the amount of actual damages, the nonbreaching party must only establish the reasonableness of the agreement. The prospective approach permits parties to rely on their stipulated amounts without having to precisely establish damages at trial. In contrast, if the reasonableness of the amount is judged retrospectively, against the damage actually suffered, the “parties must fully litigate (at great expense and delay) that which they sought not to litigate.”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 argues the prospective approach treats buyers unfairly because it permits sellers to retain earnest money deposits even when the seller suffers no actual damage, and this violates the principle that contract damages should be compensatory only. He further contends that by evaluating parties’ liquidated damages agreements against actual damages established at trial, courts can most effectively determine whether such agreements were reasonable and fair.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disagree. As this court has previously explained, “[w]e are loath to interfere with the rights of parties to contract as they please between themselves [Citations] It is not the role of the court to enforce contracts so as to produce the most equitable result. The parties themselves know best what motivations and considerations influenced their bargaining, and, while, “[t]he bargain may be an unfortunate one for the delinquent party,…it is not the duty of courts of common law to relieve parties from the consequences of their own improvidence…”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retrospective approach fails to give proper weight to the parties’ negotiations. At the time of contract formation, unpredictable market fluctuations and variations in possible breaches make it nearly impossible for contracting parties to predict “precisely or within a narrow range the amount of damages that would flow from breach.” [Citations]. However, against this backdrop of uncertainty, the negotiated liquidated damages sum represents the parties’ best estimate of the value of the breach and permits the parties to allocate and incorporate these risks in their negotiations. Under the prospective approach, a court will uphold the parties’ agreed upon liquidated sum so long as the amount represents a reasonable attempt to compensate the nonbreaching party. On the other hand, if the reasonableness of a liquidated damages provision is evaluated under a retrospective approach, the parties cannot confidently rely on their agreement because the liquidated sum will not be enforced if, at trial, it is not a close approximation of the damage suffered or if no actual damages are proved.…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adopted the date of contract formation as the proper timeframe for evaluating the Restatement test, the Restatement’s second requirement loses independent significance. The central inquiry is whether the specified liquidated damages were reasonable at the time of contract 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also agree with the Court of Appeals that in the context of real estate agreements, a requirement that damages be difficult to prove at trial would undermine the very purposes of the liquidated damage provision: “certainty, assurance that the contract will be performed, and avoidance of litigation”. [Citation] It would “encourage litigation in virtually every case in which the sale did not close, regardless of whether the earnest money deposit was a reasonable estimate of the seller’s damages.”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so long as the agreed upon earnest money agreement, viewed prospectively, is a reasonable prediction of potential damage suffered by the seller, the agreement should be enforced “without regard to the retrospective calculation of actual damages or the ease with which they may be proved”. The prospective difficulty of estimating potential damage is a factor to be used in assessing the reasonableness of the earnest money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decision of the Court of Appeals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the court here mean when it says that liquidated damages clauses allow the parties to “allocate and incorporate the risks [of the transaction] in their negotiations”?</w:t>
      </w:r>
    </w:p>
    <w:p w:rsidR="00A86150" w:rsidRDefault="00F714D4">
      <w:pPr>
        <w:numPr>
          <w:ilvl w:val="0"/>
          <w:numId w:val="3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relevant that the plaintiff Ingram was engaged in a child-custody dispute and wanted to move to California as soon as possible?</w:t>
      </w:r>
    </w:p>
    <w:p w:rsidR="00A86150" w:rsidRDefault="00F714D4">
      <w:pPr>
        <w:numPr>
          <w:ilvl w:val="0"/>
          <w:numId w:val="3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in plain language, is the issue here?</w:t>
      </w:r>
    </w:p>
    <w:p w:rsidR="00A86150" w:rsidRDefault="00F714D4">
      <w:pPr>
        <w:numPr>
          <w:ilvl w:val="0"/>
          <w:numId w:val="3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court’s resolution of the issue seem to the court the better analysis?</w:t>
      </w:r>
    </w:p>
    <w:p w:rsidR="00A86150" w:rsidRDefault="00F714D4">
      <w:pPr>
        <w:numPr>
          <w:ilvl w:val="0"/>
          <w:numId w:val="39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plaintiff get to keep the $15,000 when he really suffered no damages?</w:t>
      </w:r>
    </w:p>
    <w:p w:rsidR="00A86150" w:rsidRDefault="00F714D4">
      <w:pPr>
        <w:numPr>
          <w:ilvl w:val="0"/>
          <w:numId w:val="39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Express the controlling rule of law out of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Injunctions and Negative Covenants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Madison Square Garden Corporation v. Carnera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52 F.2d 47 (2d Cir. Ct. App. 1931)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Chase,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January 13, 1931, the plaintiff and defendant by their duly authorized agents entered into the following agreement in writing: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Carnera agrees that he will render services as a boxer in his next contest (which contest, hereinafter called the ‘First Contest.’…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 Carnera shall not, pending the holding of the First Contest, render services as a boxer in any major boxing contest, without the written permission of the Garden in each case had and obtained. A major contest is understood to be one with Sharkey, Baer, Campolo, Godfrey, or like grade heavyweights, or heavyweights who shall have beaten any of the above subsequent to the date hereof. If in any boxing contest engaged in by Carnera prior to the holding of the First Contest, he shall lose the same, the Garden shall at its option, to be exercised by a two weeks’ notice to Carnera in writing, be without further liability under the terms of this agreement to Carnera. Carnera shall not render services during the continuance of the option referred to in paragraph 8 hereof for any person, firm or corporation other than the Garden. Carnera shall, however, at all times be permitted to engage in sparring exhibitions in which no decision is rendered and in which the heavy weight championship title is not at stake, and in which Carnera boxes not more than four rounds with any one opponent.’…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Thereafter the defendant, without the permission of the plaintiff, written or otherwise, made a contract to engage in a boxing contest with the Sharkey mentioned in paragraph 9 of the agreement above quoted, and by the terms thereof the contest was to take place before the first contest mentioned in the defendant’s contract with the plaintiff was to be held.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then brought this suit to restrain the defendant from carrying out his contract to box Sharkey, and obtained the preliminary injunction order, from which this appeal was taken. Jurisdiction is based on diversity of citizenship and the required amount is involved.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has found on affidavits which adequately show it that the defendant’s services are unique and extraordinary. A negative covenant in a contract for such personal services is enforceable by injunction where the damages for a breach are incapable of ascertainment.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points to what is claimed to be lack of consideration for his negative promise, in that the contract is inequitable and contains no agreement to employ him. It is true that there is no promise in so many words to employ the defendant to box in a contest with Stribling or Schmeling, but the agreement read as a whole binds the plaintiff to do just that, provided either Stribling or Schmeling becomes the contestant as the result of the match between them and can be induced to box the defendant. The defendant has agreed to ‘render services as a boxer’ for the plaintiff exclusively, and the plaintiff has agreed to pay him a definite percentage of the gate receipts as his compensation for so doing. The promise to employ the defendant to enable him to earn the compensation agreed upon is implied to the same force and effect as though expressly stated. [Citations] The fact that the plaintiff’s implied promise is conditioned, with respect to the contest with the winner of the Stribling-Schmeling match, upon the consent of that performer, does not show any failure of consideration for the defendant’s promise,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the contract is valid and enforceable. It contains a restrictive covenant which may be given effect. Whether a preliminary injunction shall be issued under such circumstances rests in the sound discretion of the court. [Citation] The District Court, in its discretion, did issue the preliminary injunction.…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Order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plaintiff not want the defendant to engage in any boxing matches until and except the ones arranged by the plaintiff?</w:t>
      </w:r>
    </w:p>
    <w:p w:rsidR="00A86150" w:rsidRDefault="00F714D4">
      <w:pPr>
        <w:numPr>
          <w:ilvl w:val="0"/>
          <w:numId w:val="39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assertion did the defendant make as to why his promise was not enforceable? Why wasn’t that argument accepted by the court?</w:t>
      </w:r>
    </w:p>
    <w:p w:rsidR="00A86150" w:rsidRDefault="00F714D4">
      <w:pPr>
        <w:numPr>
          <w:ilvl w:val="0"/>
          <w:numId w:val="39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defendant had refused to engage in a boxing match arranged by the plaintiff, would a court force him to do what he had promised?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Limitation on Damages: Mitigation of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Shirley MacLaine Parker v. Twentieth Century-Fox Film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474 P.2d 689 (Cal. 1970)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Burke, Justice.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Twentieth Century-Fox Film Corporation appeals from a summary judgment granting to plaintiff the recovery of agreed compensation under a written contract for her services as an actress in a motion picture. As will appear, we have concluded that the trial court correctly ruled in plaintiff’s favor and that the judgment should be affirmed.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is well known as an actress.…Under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[about $5,048,000 in 2010 dollars]. Prior to May 1966 defendant decided not to produce the picture and by a letter dated April 4, 1966, it notified plaintiff of that decision and that it would not “comply with our obligations to you under” the written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the same letter and with the professed purpose “to avoid any damage to you,” defendant instead offered to employ plaintiff as the leading actress in another film tentatively entitled “Big Country, Big Man” (hereinafter, “Big Country”). The compensation offered was identical, as were 31 of the 34 numbered provisions or articles of the original contract.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 Plaintiff was given one week within which to accept; she did not and the offer lapsed. Plaintiff then commenced this action seeking recovery of the agreed guaranteed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complaint sets forth two causes of action. The first is for money due under the contract; the second, based upon the same allegations as the first, is for damages resulting from defendant’s breach of contract. Defendant in its answer admits the existence and validity of the contract, that plaintiff complied with all the conditions, covenants and promises and stood ready to complete the performance, and that defendant breached and “anticipatorily repudiated” the contract. It denies, however, that any money is due to plaintiff either under the contract or as a result of its breach, and pleads as an affirmative defense to both causes of action plaintiff’s allegedly deliberate failure to mitigate damages, asserting that she unreasonably refused to accept its offer of the leading role in “Big Country.”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moved for summary judgment…[T]he motion was granted…for $750,000 plus interest…in plaintiff’s favor. This appeal by defendant followed.…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[Citation]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present case defendant has raised no issue of reasonableness of efforts by plaintiff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plaintiff’s talents as a dancer as well as an actress, and was to be produced in the City of Los Angeles, whereas “Big Country” was a straight dramatic role in a “Western Type” story taking place in an opal mine in Australia, demonstrates the difference in kind between the two employments; the female lead as a dramatic actress in a western style motion picture can by no stretch of imagination be considered the equivalent of or substantially similar to the lead in a song-and-dance production.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3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Ms. MacLaine refuse to accept the employment opportunity offered by the defendant?</w:t>
      </w:r>
    </w:p>
    <w:p w:rsidR="00A86150" w:rsidRDefault="00F714D4">
      <w:pPr>
        <w:numPr>
          <w:ilvl w:val="0"/>
          <w:numId w:val="3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defendant think it should not be liable for any damages as a result of its admitted breach of the original contract?</w:t>
      </w:r>
    </w:p>
    <w:p w:rsidR="00A86150" w:rsidRDefault="00F714D4">
      <w:pPr>
        <w:numPr>
          <w:ilvl w:val="0"/>
          <w:numId w:val="39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has the burden of proof on mitigation issues—who has to show that no mitigation occurred?</w:t>
      </w:r>
    </w:p>
    <w:p w:rsidR="00A86150" w:rsidRDefault="00F714D4">
      <w:pPr>
        <w:numPr>
          <w:ilvl w:val="0"/>
          <w:numId w:val="39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Express the controlling rule of law out of this case.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16.7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remedies serve to protect three different interests: an expectation interest (the benefit bargained for), a reliance interest (loss suffered by relying on the contract), and a restitution interest (benefit conferred on the promisor). In broad terms, specific performance addresses the expectation interest, monetary damages address all three, and restitution addresses the restitution interest.</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general categories of remedies are legal and equitable. In the former category are compensatory, consequential, incidental, nominal, liquated, and (rarely) punitive damages. In the latter category—if legal remedies are inadequate—are specific performance, injunction, and restitution.</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some limitations or restrictions on the availability of damages: they must pass the tests of foreseeability and certainty. They must be reasonably mitigated, if possible. And liquidated damages must be reasonable—not a penalty. In some situations, a person can lose the remedy of rescission—the power to avoid a contract—when the rights of third parties intervene. In some cases a person is required to make an election of remedies: to choose one remedy among several, and when the one is chosen, the others are not available any more.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A86150" w:rsidRDefault="00F714D4">
      <w:pPr>
        <w:numPr>
          <w:ilvl w:val="0"/>
          <w:numId w:val="400"/>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Inventor devised an electronic billiard table that looked like a regular billiard table, but when balls dropped into the pocket, various electronic lights and scorekeeping devices activated. Inventor contracted with Contractor to manufacture ten prototypes and paid him $50,000 in advance, on a total owing of $100,000 ($10,000 for each completed table). After the tables were built to accommodate electronic fittings, Inventor repudiated the contract. Contractor broke the ten tables up, salvaged $1,000 of wood for other billiard tables, and used the rest for firewood. The ten intact tables, without electronics, could have been sold for $500 each ($5,000 total). Contractor then sued Inventor for the profit Contractor would have made had Inventor not breached. To what, if anything, is Contractor entitled by way of damages and why?</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Theresa leased a one-bedroom apartment from Landlady for one year at $500 per month. After three months, she vacated the apartment. A family of five wanted to rent the apartment, but Landlady refused. Three months later—six months into what would have been Theresa’s term—Landlady managed to rent the apartment to Tenant for $400 per month. How much does Theresa owe, and why?</w:t>
      </w:r>
    </w:p>
    <w:p w:rsidR="00A86150" w:rsidRDefault="00F714D4">
      <w:pPr>
        <w:numPr>
          <w:ilvl w:val="0"/>
          <w:numId w:val="400"/>
        </w:numPr>
        <w:shd w:val="clear" w:color="auto" w:fill="E3EFF7"/>
        <w:spacing w:before="150" w:after="0" w:line="439" w:lineRule="atLeast"/>
        <w:ind w:left="36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a grocery store, contracted with Defendant, a burglar alarm company, for Defendant to send guards to Plaintiff's premises and to notify the local police if the alarm was activated. The contract had this language: “It is agreed that the Contractor is not an insurer, that the payments here are based solely on the value of the service in the maintenance of the system described, that it is impracticable and extremely difficult to fix the actual damages, if any, which may proximately result from a failure to perform its services, and in case of failure to perform such services and a resulting loss, its liability shall be limited to $500 as liquidated damages, and not as a penalty, and this liability shall be exclusive.”</w:t>
      </w:r>
    </w:p>
    <w:p w:rsidR="00A86150" w:rsidRDefault="00F714D4">
      <w:pPr>
        <w:shd w:val="clear" w:color="auto" w:fill="E3EFF7"/>
        <w:spacing w:before="150" w:line="439" w:lineRule="atLeast"/>
        <w:ind w:left="27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burglary took place and the alarm was activated, but Defendant failed to respond promptly. The burglars left with $330,000. Is the liquidated damages clause—the limitation on Plaintiff’s right to recover—valid?</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decedent, father of the infant Plaintiff, was killed in a train accident. Testimony showed he was a good and reliable man. Through a representative, the decedent’s surviving child, age five, recovered judgment against the railroad (Defendant). Defendant objected to expert testimony that inflation would probably continue at a minimum annual rate of 5 percent for the next thirteen years (until the boy attained his majority), which was used to calculate the loss in support money caused by the father’s death. The calculations, Defendant said, were unreasonably speculative and uncertain, and damages must be proven with reasonable certainty. Is the testimony valid?</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produced and directed a movie for Defendant, but contrary to their agreement, Plaintiff was not given screen credit in the edited film (his name was not shown). The film was screened successfully for nearly four years. Plaintiff then sued (1) for damages for loss of valuable publicity or advertising because his screen credits were omitted for the years and (2) for an injunction against future injuries. The jury awarded Plaintiff $25,000 on the first count. On the second count, the court held Plaintiff should be able to “modify the prints in his personal possession to include his credits.” But Plaintiff appealed, claiming that Defendant still had many unmodified prints in its possession and that showing those films would cause future damages. What remedy is available to Plaintiff?</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1929 Kerr Steamship Company, Inc. (Plaintiff), delivered to Defendant, the Radio Corporation of America (RCA), a fairly long telegram—in code—to be transmitted to Manila, Philippine Islands, with instructions about loading one of Kerr’s ships. By mistake, the telegraph was mislaid and not delivered. As a result of the failure to transmit it, the cargo was not loaded and the freight was lost in an amount of $6,675.29 [about $84,000 in 2010 dollars], profit that would have been earned if the message had been carried. Plaintiff said that because the telegram was long and because the sender was a ship company, RCA personnel should have known it was important information dealing with shipping and therefore RCA should be liable for the consequential damages flowing from the failure to send it. Is RCA liable?</w:t>
      </w:r>
    </w:p>
    <w:p w:rsidR="00A86150" w:rsidRDefault="00F714D4">
      <w:pPr>
        <w:numPr>
          <w:ilvl w:val="0"/>
          <w:numId w:val="40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Defendant offered to buy a house from Plaintiff. She represented, verbally and in writing, that she had $15,000 to $20,000 of equity in another house and would pay this amount to Plaintiff after selling it. She knew, however, that she had no such equity. Relying on these intentionally fraudulent representations, Plaintiff accepted Defendant’s offer to buy, and the parties entered into a land contract. After taking occupancy, Defendant failed to make any of the contract payments. Plaintiff’s investigation then revealed the fraud. Based on the fraud, Plaintiff sought rescission, ejectment, and recovery for five months of lost use of the property and out-of-pocket expenses. Defendant claimed that under the election of remedies doctrine, Plaintiff seller could not both rescind the contract and get damages for its breach. How should the court rule?</w:t>
      </w:r>
    </w:p>
    <w:p w:rsidR="00A86150" w:rsidRDefault="00F714D4">
      <w:pPr>
        <w:numPr>
          <w:ilvl w:val="0"/>
          <w:numId w:val="400"/>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Buyers contracted to purchase a house being constructed by Contractor. The contract contained this clause: “Contractor shall pay to the owners or deduct from the total contract price $100.00 per day as liquidated damages for each day after said date that the construction is not completed and accepted by the Owners and Owners shall not arbitrarily withhold acceptance.” Testimony established the rental value of the home at $400–$415 per month. Is the clause enforceable?</w:t>
      </w:r>
    </w:p>
    <w:p w:rsidR="00A86150" w:rsidRDefault="00F714D4">
      <w:pPr>
        <w:shd w:val="clear" w:color="auto" w:fill="08629A"/>
        <w:spacing w:after="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401"/>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remedies protect</w:t>
      </w:r>
    </w:p>
    <w:p w:rsidR="00A86150" w:rsidRDefault="00F714D4">
      <w:pPr>
        <w:pStyle w:val="ListParagraph"/>
        <w:numPr>
          <w:ilvl w:val="0"/>
          <w:numId w:val="40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restitution interest</w:t>
      </w:r>
    </w:p>
    <w:p w:rsidR="00A86150" w:rsidRDefault="00F714D4">
      <w:pPr>
        <w:pStyle w:val="ListParagraph"/>
        <w:numPr>
          <w:ilvl w:val="0"/>
          <w:numId w:val="40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reliance interest</w:t>
      </w:r>
    </w:p>
    <w:p w:rsidR="00A86150" w:rsidRDefault="00F714D4">
      <w:pPr>
        <w:pStyle w:val="ListParagraph"/>
        <w:numPr>
          <w:ilvl w:val="0"/>
          <w:numId w:val="40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expectation interest</w:t>
      </w:r>
    </w:p>
    <w:p w:rsidR="00A86150" w:rsidRDefault="00F714D4">
      <w:pPr>
        <w:pStyle w:val="ListParagraph"/>
        <w:numPr>
          <w:ilvl w:val="0"/>
          <w:numId w:val="40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numPr>
          <w:ilvl w:val="0"/>
          <w:numId w:val="403"/>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restitution interest is</w:t>
      </w:r>
    </w:p>
    <w:p w:rsidR="00A86150" w:rsidRDefault="00F714D4">
      <w:pPr>
        <w:pStyle w:val="ListParagraph"/>
        <w:numPr>
          <w:ilvl w:val="0"/>
          <w:numId w:val="40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benefit for which the promisee bargained</w:t>
      </w:r>
    </w:p>
    <w:p w:rsidR="00A86150" w:rsidRDefault="00F714D4">
      <w:pPr>
        <w:pStyle w:val="ListParagraph"/>
        <w:numPr>
          <w:ilvl w:val="0"/>
          <w:numId w:val="40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loss suffered by relying on the contract</w:t>
      </w:r>
    </w:p>
    <w:p w:rsidR="00A86150" w:rsidRDefault="00F714D4">
      <w:pPr>
        <w:pStyle w:val="ListParagraph"/>
        <w:numPr>
          <w:ilvl w:val="0"/>
          <w:numId w:val="40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which restores any benefit one party conferred on the other</w:t>
      </w:r>
    </w:p>
    <w:p w:rsidR="00A86150" w:rsidRDefault="00F714D4">
      <w:pPr>
        <w:pStyle w:val="ListParagraph"/>
        <w:numPr>
          <w:ilvl w:val="0"/>
          <w:numId w:val="404"/>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A86150" w:rsidRDefault="00F714D4">
      <w:pPr>
        <w:numPr>
          <w:ilvl w:val="0"/>
          <w:numId w:val="405"/>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breach of contract caused no monetary loss, the plaintiff is entitled to</w:t>
      </w:r>
    </w:p>
    <w:p w:rsidR="00A86150" w:rsidRDefault="00F714D4">
      <w:pPr>
        <w:pStyle w:val="ListParagraph"/>
        <w:numPr>
          <w:ilvl w:val="0"/>
          <w:numId w:val="40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special damages</w:t>
      </w:r>
    </w:p>
    <w:p w:rsidR="00A86150" w:rsidRDefault="00F714D4">
      <w:pPr>
        <w:pStyle w:val="ListParagraph"/>
        <w:numPr>
          <w:ilvl w:val="0"/>
          <w:numId w:val="40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nominal damages</w:t>
      </w:r>
    </w:p>
    <w:p w:rsidR="00A86150" w:rsidRDefault="00F714D4">
      <w:pPr>
        <w:pStyle w:val="ListParagraph"/>
        <w:numPr>
          <w:ilvl w:val="0"/>
          <w:numId w:val="40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consequential damages</w:t>
      </w:r>
    </w:p>
    <w:p w:rsidR="00A86150" w:rsidRDefault="00F714D4">
      <w:pPr>
        <w:pStyle w:val="ListParagraph"/>
        <w:numPr>
          <w:ilvl w:val="0"/>
          <w:numId w:val="406"/>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 damages</w:t>
      </w:r>
    </w:p>
    <w:p w:rsidR="00A86150" w:rsidRDefault="00F714D4">
      <w:pPr>
        <w:numPr>
          <w:ilvl w:val="0"/>
          <w:numId w:val="407"/>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Damages attributable to losses that flow from events that do not occur in the ordinary course of events are</w:t>
      </w:r>
    </w:p>
    <w:p w:rsidR="00A86150" w:rsidRDefault="00F714D4">
      <w:pPr>
        <w:pStyle w:val="ListParagraph"/>
        <w:numPr>
          <w:ilvl w:val="0"/>
          <w:numId w:val="40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incidental damages</w:t>
      </w:r>
    </w:p>
    <w:p w:rsidR="00A86150" w:rsidRDefault="00F714D4">
      <w:pPr>
        <w:pStyle w:val="ListParagraph"/>
        <w:numPr>
          <w:ilvl w:val="0"/>
          <w:numId w:val="40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liquidated damages</w:t>
      </w:r>
    </w:p>
    <w:p w:rsidR="00A86150" w:rsidRDefault="00F714D4">
      <w:pPr>
        <w:pStyle w:val="ListParagraph"/>
        <w:numPr>
          <w:ilvl w:val="0"/>
          <w:numId w:val="40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consequential damages</w:t>
      </w:r>
    </w:p>
    <w:p w:rsidR="00A86150" w:rsidRDefault="00F714D4">
      <w:pPr>
        <w:pStyle w:val="ListParagraph"/>
        <w:numPr>
          <w:ilvl w:val="0"/>
          <w:numId w:val="408"/>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punitive damages</w:t>
      </w:r>
    </w:p>
    <w:p w:rsidR="00A86150" w:rsidRDefault="00F714D4">
      <w:pPr>
        <w:numPr>
          <w:ilvl w:val="0"/>
          <w:numId w:val="409"/>
        </w:numPr>
        <w:shd w:val="clear" w:color="auto" w:fill="E3EFF7"/>
        <w:spacing w:before="150"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Restitution is available</w:t>
      </w:r>
    </w:p>
    <w:p w:rsidR="00A86150" w:rsidRDefault="00F714D4">
      <w:pPr>
        <w:pStyle w:val="ListParagraph"/>
        <w:numPr>
          <w:ilvl w:val="0"/>
          <w:numId w:val="41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the contract was avoided because of incapacity</w:t>
      </w:r>
    </w:p>
    <w:p w:rsidR="00A86150" w:rsidRDefault="00F714D4">
      <w:pPr>
        <w:pStyle w:val="ListParagraph"/>
        <w:numPr>
          <w:ilvl w:val="0"/>
          <w:numId w:val="41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the other party breached</w:t>
      </w:r>
    </w:p>
    <w:p w:rsidR="00A86150" w:rsidRDefault="00F714D4">
      <w:pPr>
        <w:pStyle w:val="ListParagraph"/>
        <w:numPr>
          <w:ilvl w:val="0"/>
          <w:numId w:val="410"/>
        </w:numPr>
        <w:shd w:val="clear" w:color="auto" w:fill="E3EFF7"/>
        <w:spacing w:after="0"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the party seeking restitution breached</w:t>
      </w:r>
    </w:p>
    <w:p w:rsidR="00A86150" w:rsidRDefault="00F714D4">
      <w:pPr>
        <w:pStyle w:val="ListParagraph"/>
        <w:numPr>
          <w:ilvl w:val="0"/>
          <w:numId w:val="410"/>
        </w:numPr>
        <w:shd w:val="clear" w:color="auto" w:fill="E3EFF7"/>
        <w:spacing w:line="439" w:lineRule="atLeast"/>
        <w:ind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4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4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4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A86150" w:rsidRDefault="00F714D4">
      <w:pPr>
        <w:numPr>
          <w:ilvl w:val="0"/>
          <w:numId w:val="4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41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Tamarind Lithography Workshop v. Sanders</w:t>
      </w:r>
      <w:r>
        <w:rPr>
          <w:rFonts w:ascii="Calibri" w:eastAsia="Times New Roman" w:hAnsi="Calibri" w:cs="Calibri"/>
          <w:color w:val="333333"/>
          <w:sz w:val="20"/>
          <w:szCs w:val="20"/>
        </w:rPr>
        <w:t>, 193 Cal. Rptr. 409 (Calif. Ct. App., 1983).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17</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5"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Products Liability</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412"/>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products-liability law allocates the costs of a consumer society</w:t>
      </w:r>
    </w:p>
    <w:p w:rsidR="00A86150" w:rsidRDefault="00F714D4">
      <w:pPr>
        <w:numPr>
          <w:ilvl w:val="0"/>
          <w:numId w:val="412"/>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warranty theory works in products liability, and what its limitations are</w:t>
      </w:r>
    </w:p>
    <w:p w:rsidR="00A86150" w:rsidRDefault="00F714D4">
      <w:pPr>
        <w:numPr>
          <w:ilvl w:val="0"/>
          <w:numId w:val="412"/>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negligence theory works, and what its problems are</w:t>
      </w:r>
    </w:p>
    <w:p w:rsidR="00A86150" w:rsidRDefault="00F714D4">
      <w:pPr>
        <w:numPr>
          <w:ilvl w:val="0"/>
          <w:numId w:val="412"/>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strict liability theory works, and what its limitations are</w:t>
      </w:r>
    </w:p>
    <w:p w:rsidR="00A86150" w:rsidRDefault="00F714D4">
      <w:pPr>
        <w:numPr>
          <w:ilvl w:val="0"/>
          <w:numId w:val="412"/>
        </w:numPr>
        <w:shd w:val="clear" w:color="auto" w:fill="EAE9DC"/>
        <w:tabs>
          <w:tab w:val="clear" w:pos="720"/>
          <w:tab w:val="num" w:pos="144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efforts are made to reform products-liability law, and why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17.1 Introduction: Why Products-Liability Law Is Important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13"/>
        </w:numPr>
        <w:shd w:val="clear" w:color="auto" w:fill="EAE9DC"/>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products-liability law underwent a revolution in the twentieth century.</w:t>
      </w:r>
    </w:p>
    <w:p w:rsidR="00A86150" w:rsidRDefault="00F714D4">
      <w:pPr>
        <w:numPr>
          <w:ilvl w:val="0"/>
          <w:numId w:val="413"/>
        </w:numPr>
        <w:shd w:val="clear" w:color="auto" w:fill="EAE9DC"/>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courts play a vital role in policing the free enterprise system by adjudicating how the true costs of modern consumer culture are allocated.</w:t>
      </w:r>
    </w:p>
    <w:p w:rsidR="00A86150" w:rsidRDefault="00F714D4">
      <w:pPr>
        <w:numPr>
          <w:ilvl w:val="0"/>
          <w:numId w:val="413"/>
        </w:numPr>
        <w:shd w:val="clear" w:color="auto" w:fill="EAE9DC"/>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names of the modern causes of action for products-liability cases.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Products-Liability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 </w:t>
      </w:r>
      <w:r>
        <w:rPr>
          <w:rFonts w:ascii="Georgia" w:eastAsia="Times New Roman" w:hAnsi="Georgia" w:cs="Calibri"/>
          <w:i/>
          <w:iCs/>
          <w:color w:val="333333"/>
          <w:sz w:val="20"/>
          <w:szCs w:val="20"/>
          <w:lang w:val="en"/>
        </w:rPr>
        <w:t>The Jungle</w:t>
      </w:r>
      <w:r>
        <w:rPr>
          <w:rFonts w:ascii="Georgia" w:eastAsia="Times New Roman" w:hAnsi="Georgia" w:cs="Calibri"/>
          <w:color w:val="333333"/>
          <w:sz w:val="20"/>
          <w:szCs w:val="20"/>
          <w:lang w:val="en"/>
        </w:rPr>
        <w:t>. It appeared in 1906. He wrote it to inspire labor reform; to his dismay, the public outrage focused instead on consumer protection reform. Here is his description of the sausage-making process in a big Chicago meatpacking plant: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became clear from Sinclair’s exposé that associated with the marvels of then-modern meatpacking and distribution methods was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Obviously the situation has improved enormously in a century, but one does not have to look very far to find terrible problems today. Consider the following, which occurred in 2009–10:</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Toyota recalled 412,000 passenger cars, mostly the Avalon model, for steering problems that reportedly led to three accidents.</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Portable baby recliners that are supposed to help fussy babies sleep better were recalled after the death of an infant: the Consumer Product Safety Commission announced the recall of 30,000 Nap Nanny recliners made by Baby Matters of Berwyn, Pennsylvania.</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 than 70,000 children and teens go to the emergency room each year for injuries and complications from medical devices. Contact lenses are the leading culprit, the first detailed national estimate suggests.</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Smith and Noble recalled 1.3 million Roman shades and roller shades after a child was nearly strangled: the Consumer Product Safety Commission says a five-year-old boy in Tacoma, Washington, was entangled in the cord of a roller shade in May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Consumer Product Safety Commission reported that 4,521 people were killed in the United States in consumer-product-related incidences in 2009, and millions of people visited hospital emergency rooms from consumer-product-related injuries.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pStyle w:val="ListParagraph"/>
        <w:numPr>
          <w:ilvl w:val="0"/>
          <w:numId w:val="41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Reports about the possibility that cell-phone use causes brain cancer continue to be hotly debated. Critics suggest that the studies minimizing the risk were paid for by cell-phone manufacturers.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Products liability can also be a life-or-death matter from the manufacturer’s perspective. In 2009, Bloomberg BusinessWeek reported that the costs of product safety for manufacturing firms can be enormous: “Peanut Corp., based in Lynchberg,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Businesses complain, with good reason, about the expenses associated with products-liability problems.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Current State of the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products-liability cases that developed rapidly in the twentieth century to address the problems of product-caused damages and injuries in an industrial society.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typical products-liability case, three legal theories are asserted—a contract theory and two tort theories. The contract theory is warranty, governed by the UCC, and the two tort theories are negligence and strict products liability, governed by the common law. See </w:t>
      </w:r>
      <w:r>
        <w:rPr>
          <w:rFonts w:ascii="Georgia" w:eastAsia="Times New Roman" w:hAnsi="Georgia" w:cs="Calibri"/>
          <w:color w:val="2689C6"/>
          <w:sz w:val="20"/>
          <w:szCs w:val="20"/>
          <w:lang w:val="en"/>
        </w:rPr>
        <w:t>Figure 17.1 "Major Products Liability Theories"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17.1</w:t>
      </w:r>
      <w:r>
        <w:rPr>
          <w:rFonts w:ascii="Georgia" w:eastAsia="Times New Roman" w:hAnsi="Georgia" w:cs="Calibri"/>
          <w:i/>
          <w:iCs/>
          <w:color w:val="BB9966"/>
          <w:sz w:val="21"/>
          <w:szCs w:val="21"/>
          <w:lang w:val="en"/>
        </w:rPr>
        <w:t> Major Products Liability Theories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752600"/>
            <wp:effectExtent l="0" t="0" r="0" b="0"/>
            <wp:docPr id="83" name="Picture 16" descr="http://images.flatworldknowledge.com/mayerlawentrep/mayerlawentrep-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mayerlawentrep/mayerlawentrep-fig20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1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separation of production from consumption affect products-liability issues?</w:t>
      </w:r>
    </w:p>
    <w:p w:rsidR="00A86150" w:rsidRDefault="00F714D4">
      <w:pPr>
        <w:numPr>
          <w:ilvl w:val="0"/>
          <w:numId w:val="41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other changes in production and consumption have caused the need for the development of products-liability law?</w:t>
      </w:r>
    </w:p>
    <w:p w:rsidR="00A86150" w:rsidRDefault="00F714D4">
      <w:pPr>
        <w:numPr>
          <w:ilvl w:val="0"/>
          <w:numId w:val="41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can it be said that courts adjudicate the allocation of the costs of a consumer-oriented economy?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Upton Sinclair, </w:t>
      </w:r>
      <w:r>
        <w:rPr>
          <w:rFonts w:ascii="Calibri" w:eastAsia="Times New Roman" w:hAnsi="Calibri" w:cs="Calibri"/>
          <w:i/>
          <w:iCs/>
          <w:color w:val="333333"/>
          <w:sz w:val="20"/>
          <w:szCs w:val="20"/>
        </w:rPr>
        <w:t>The Jungle</w:t>
      </w:r>
      <w:r>
        <w:rPr>
          <w:rFonts w:ascii="Calibri" w:eastAsia="Times New Roman" w:hAnsi="Calibri" w:cs="Calibri"/>
          <w:color w:val="333333"/>
          <w:sz w:val="20"/>
          <w:szCs w:val="20"/>
        </w:rPr>
        <w:t> (New York: Signet Classic, 1963), 136.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FindLaw, AP reports.</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US Consumer Product Safety Commission, </w:t>
      </w:r>
      <w:r>
        <w:rPr>
          <w:rFonts w:ascii="Calibri" w:eastAsia="Times New Roman" w:hAnsi="Calibri" w:cs="Calibri"/>
          <w:i/>
          <w:iCs/>
          <w:color w:val="333333"/>
          <w:sz w:val="20"/>
          <w:szCs w:val="20"/>
        </w:rPr>
        <w:t>2009 Report to the President and the Congress</w:t>
      </w:r>
      <w:r>
        <w:rPr>
          <w:rFonts w:ascii="Calibri" w:eastAsia="Times New Roman" w:hAnsi="Calibri" w:cs="Calibri"/>
          <w:color w:val="333333"/>
          <w:sz w:val="20"/>
          <w:szCs w:val="20"/>
        </w:rPr>
        <w:t>, accessed March 1, 2011,</w:t>
      </w:r>
      <w:hyperlink r:id="rId33" w:tgtFrame="_blank" w:history="1">
        <w:r>
          <w:rPr>
            <w:rStyle w:val="Hyperlink"/>
            <w:rFonts w:ascii="Calibri" w:eastAsia="Times New Roman" w:hAnsi="Calibri" w:cs="Calibri"/>
            <w:color w:val="2689C6"/>
            <w:sz w:val="20"/>
            <w:szCs w:val="20"/>
          </w:rPr>
          <w:t>http://www.cpsc.gov/cpscpub/pubs/reports/2009rpt.pdf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Matt Hamblen, “New Study Warns of Cell Phone Dangers,” </w:t>
      </w:r>
      <w:r>
        <w:rPr>
          <w:rFonts w:ascii="Calibri" w:eastAsia="Times New Roman" w:hAnsi="Calibri" w:cs="Calibri"/>
          <w:i/>
          <w:iCs/>
          <w:color w:val="333333"/>
          <w:sz w:val="20"/>
          <w:szCs w:val="20"/>
        </w:rPr>
        <w:t>Computerworld US</w:t>
      </w:r>
      <w:r>
        <w:rPr>
          <w:rFonts w:ascii="Calibri" w:eastAsia="Times New Roman" w:hAnsi="Calibri" w:cs="Calibri"/>
          <w:color w:val="333333"/>
          <w:sz w:val="20"/>
          <w:szCs w:val="20"/>
        </w:rPr>
        <w:t>, August 9, 2009, accessed March 1, 2011, </w:t>
      </w:r>
      <w:hyperlink r:id="rId34" w:tgtFrame="_blank" w:history="1">
        <w:r>
          <w:rPr>
            <w:rStyle w:val="Hyperlink"/>
            <w:rFonts w:ascii="Calibri" w:eastAsia="Times New Roman" w:hAnsi="Calibri" w:cs="Calibri"/>
            <w:color w:val="2689C6"/>
            <w:sz w:val="20"/>
            <w:szCs w:val="20"/>
          </w:rPr>
          <w:t>http://news.techworld.com/personal-tech/3200539/new-study-warns-of-cell-phone-dangers</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Michael Orey, “Taking on Toy Safety,”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March 6, 2009, accessed March 1, 2011,</w:t>
      </w:r>
      <w:hyperlink r:id="rId35" w:tgtFrame="_blank" w:history="1">
        <w:r>
          <w:rPr>
            <w:rStyle w:val="Hyperlink"/>
            <w:rFonts w:ascii="Calibri" w:eastAsia="Times New Roman" w:hAnsi="Calibri" w:cs="Calibri"/>
            <w:color w:val="2689C6"/>
            <w:sz w:val="20"/>
            <w:szCs w:val="20"/>
          </w:rPr>
          <w:t>http://www.businessweek.com/managing/content/mar2009/ca2009036_271002.htm</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17.1 Introduction: Why Products-Liability Law Is Important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16"/>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products-liability law underwent a revolution in the twentieth century.</w:t>
      </w:r>
    </w:p>
    <w:p w:rsidR="00A86150" w:rsidRDefault="00F714D4">
      <w:pPr>
        <w:numPr>
          <w:ilvl w:val="0"/>
          <w:numId w:val="416"/>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courts play a vital role in policing the free enterprise system by adjudicating how the true costs of modern consumer culture are allocated.</w:t>
      </w:r>
    </w:p>
    <w:p w:rsidR="00A86150" w:rsidRDefault="00F714D4">
      <w:pPr>
        <w:numPr>
          <w:ilvl w:val="0"/>
          <w:numId w:val="416"/>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names of the modern causes of action for products-liability cases.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Products-Liability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 </w:t>
      </w:r>
      <w:r>
        <w:rPr>
          <w:rFonts w:ascii="Georgia" w:eastAsia="Times New Roman" w:hAnsi="Georgia" w:cs="Calibri"/>
          <w:i/>
          <w:iCs/>
          <w:color w:val="333333"/>
          <w:sz w:val="20"/>
          <w:szCs w:val="20"/>
          <w:lang w:val="en"/>
        </w:rPr>
        <w:t>The Jungle</w:t>
      </w:r>
      <w:r>
        <w:rPr>
          <w:rFonts w:ascii="Georgia" w:eastAsia="Times New Roman" w:hAnsi="Georgia" w:cs="Calibri"/>
          <w:color w:val="333333"/>
          <w:sz w:val="20"/>
          <w:szCs w:val="20"/>
          <w:lang w:val="en"/>
        </w:rPr>
        <w:t>. It appeared in 1906. He wrote it to inspire labor reform; to his dismay, the public outrage focused instead on consumer protection reform. Here is his description of the sausage-making process in a big Chicago meatpacking plant: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became clear from Sinclair’s exposé that associated with the marvels of then-modern meatpacking and distribution methods was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Obviously the situation has improved enormously in a century, but one does not have to look very far to find terrible problems today. Consider the following, which occurred in 2009–10:</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Toyota recalled 412,000 passenger cars, mostly the Avalon model, for steering problems that reportedly led to three accidents.</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Portable baby recliners that are supposed to help fussy babies sleep better were recalled after the death of an infant: the Consumer Product Safety Commission announced the recall of 30,000 Nap Nanny recliners made by Baby Matters of Berwyn, Pennsylvania.</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 than 70,000 children and teens go to the emergency room each year for injuries and complications from medical devices. Contact lenses are the leading culprit, the first detailed national estimate suggests.</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Smith and Noble recalled 1.3 million Roman shades and roller shades after a child was nearly strangled: the Consumer Product Safety Commission says a five-year-old boy in Tacoma, Washington, was entangled in the cord of a roller shade in May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Consumer Product Safety Commission reported that 4,521 people were killed in the United States in consumer-product-related incidences in 2009, and millions of people visited hospital emergency rooms from consumer-product-related injuries.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pStyle w:val="ListParagraph"/>
        <w:numPr>
          <w:ilvl w:val="0"/>
          <w:numId w:val="41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Reports about the possibility that cell-phone use causes brain cancer continue to be hotly debated. Critics suggest that the studies minimizing the risk were paid for by cell-phone manufacturers.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Products liability can also be a life-or-death matter from the manufacturer’s perspective. In 2009, Bloomberg BusinessWeek reported that the costs of product safety for manufacturing firms can be enormous: “Peanut Corp., based in Lynchberg,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Businesses complain, with good reason, about the expenses associated with products-liability problems.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Current State of the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products-liability cases that developed rapidly in the twentieth century to address the problems of product-caused damages and injuries in an industrial society.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typical products-liability case, three legal theories are asserted—a contract theory and two tort theories. The contract theory is warranty, governed by the UCC, and the two tort theories are negligence and strict products liability, governed by the common law. See </w:t>
      </w:r>
      <w:r>
        <w:rPr>
          <w:rFonts w:ascii="Georgia" w:eastAsia="Times New Roman" w:hAnsi="Georgia" w:cs="Calibri"/>
          <w:color w:val="2689C6"/>
          <w:sz w:val="20"/>
          <w:szCs w:val="20"/>
          <w:lang w:val="en"/>
        </w:rPr>
        <w:t>Figure 17.1 "Major Products Liability Theories"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17.1</w:t>
      </w:r>
      <w:r>
        <w:rPr>
          <w:rFonts w:ascii="Georgia" w:eastAsia="Times New Roman" w:hAnsi="Georgia" w:cs="Calibri"/>
          <w:i/>
          <w:iCs/>
          <w:color w:val="BB9966"/>
          <w:sz w:val="21"/>
          <w:szCs w:val="21"/>
          <w:lang w:val="en"/>
        </w:rPr>
        <w:t> Major Products Liability Theories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752600"/>
            <wp:effectExtent l="0" t="0" r="0" b="0"/>
            <wp:docPr id="85" name="Picture 17" descr="http://images.flatworldknowledge.com/mayerlawentrep/mayerlawentrep-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mayerlawentrep/mayerlawentrep-fig20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1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separation of production from consumption affect products-liability issues?</w:t>
      </w:r>
    </w:p>
    <w:p w:rsidR="00A86150" w:rsidRDefault="00F714D4">
      <w:pPr>
        <w:numPr>
          <w:ilvl w:val="0"/>
          <w:numId w:val="41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other changes in production and consumption have caused the need for the development of products-liability law?</w:t>
      </w:r>
    </w:p>
    <w:p w:rsidR="00A86150" w:rsidRDefault="00F714D4">
      <w:pPr>
        <w:numPr>
          <w:ilvl w:val="0"/>
          <w:numId w:val="41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can it be said that courts adjudicate the allocation of the costs of a consumer-oriented economy?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Upton Sinclair, </w:t>
      </w:r>
      <w:r>
        <w:rPr>
          <w:rFonts w:ascii="Calibri" w:eastAsia="Times New Roman" w:hAnsi="Calibri" w:cs="Calibri"/>
          <w:i/>
          <w:iCs/>
          <w:color w:val="333333"/>
          <w:sz w:val="20"/>
          <w:szCs w:val="20"/>
        </w:rPr>
        <w:t>The Jungle</w:t>
      </w:r>
      <w:r>
        <w:rPr>
          <w:rFonts w:ascii="Calibri" w:eastAsia="Times New Roman" w:hAnsi="Calibri" w:cs="Calibri"/>
          <w:color w:val="333333"/>
          <w:sz w:val="20"/>
          <w:szCs w:val="20"/>
        </w:rPr>
        <w:t> (New York: Signet Classic, 1963), 136.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FindLaw, AP reports.</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US Consumer Product Safety Commission, </w:t>
      </w:r>
      <w:r>
        <w:rPr>
          <w:rFonts w:ascii="Calibri" w:eastAsia="Times New Roman" w:hAnsi="Calibri" w:cs="Calibri"/>
          <w:i/>
          <w:iCs/>
          <w:color w:val="333333"/>
          <w:sz w:val="20"/>
          <w:szCs w:val="20"/>
        </w:rPr>
        <w:t>2009 Report to the President and the Congress</w:t>
      </w:r>
      <w:r>
        <w:rPr>
          <w:rFonts w:ascii="Calibri" w:eastAsia="Times New Roman" w:hAnsi="Calibri" w:cs="Calibri"/>
          <w:color w:val="333333"/>
          <w:sz w:val="20"/>
          <w:szCs w:val="20"/>
        </w:rPr>
        <w:t>, accessed March 1, 2011,</w:t>
      </w:r>
      <w:hyperlink r:id="rId36" w:tgtFrame="_blank" w:history="1">
        <w:r>
          <w:rPr>
            <w:rStyle w:val="Hyperlink"/>
            <w:rFonts w:ascii="Calibri" w:eastAsia="Times New Roman" w:hAnsi="Calibri" w:cs="Calibri"/>
            <w:color w:val="2689C6"/>
            <w:sz w:val="20"/>
            <w:szCs w:val="20"/>
          </w:rPr>
          <w:t>http://www.cpsc.gov/cpscpub/pubs/reports/2009rpt.pdf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Matt Hamblen, “New Study Warns of Cell Phone Dangers,” </w:t>
      </w:r>
      <w:r>
        <w:rPr>
          <w:rFonts w:ascii="Calibri" w:eastAsia="Times New Roman" w:hAnsi="Calibri" w:cs="Calibri"/>
          <w:i/>
          <w:iCs/>
          <w:color w:val="333333"/>
          <w:sz w:val="20"/>
          <w:szCs w:val="20"/>
        </w:rPr>
        <w:t>Computerworld US</w:t>
      </w:r>
      <w:r>
        <w:rPr>
          <w:rFonts w:ascii="Calibri" w:eastAsia="Times New Roman" w:hAnsi="Calibri" w:cs="Calibri"/>
          <w:color w:val="333333"/>
          <w:sz w:val="20"/>
          <w:szCs w:val="20"/>
        </w:rPr>
        <w:t>, August 9, 2009, accessed March 1, 2011, </w:t>
      </w:r>
      <w:hyperlink r:id="rId37" w:tgtFrame="_blank" w:history="1">
        <w:r>
          <w:rPr>
            <w:rStyle w:val="Hyperlink"/>
            <w:rFonts w:ascii="Calibri" w:eastAsia="Times New Roman" w:hAnsi="Calibri" w:cs="Calibri"/>
            <w:color w:val="2689C6"/>
            <w:sz w:val="20"/>
            <w:szCs w:val="20"/>
          </w:rPr>
          <w:t>http://news.techworld.com/personal-tech/3200539/new-study-warns-of-cell-phone-dangers</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Michael Orey, “Taking on Toy Safety,”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March 6, 2009, accessed March 1, 2011,</w:t>
      </w:r>
      <w:hyperlink r:id="rId38" w:tgtFrame="_blank" w:history="1">
        <w:r>
          <w:rPr>
            <w:rStyle w:val="Hyperlink"/>
            <w:rFonts w:ascii="Calibri" w:eastAsia="Times New Roman" w:hAnsi="Calibri" w:cs="Calibri"/>
            <w:color w:val="2689C6"/>
            <w:sz w:val="20"/>
            <w:szCs w:val="20"/>
          </w:rPr>
          <w:t>http://www.businessweek.com/managing/content/mar2009/ca2009036_271002.htm</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17.2 Warranties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19"/>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a UCC express warranty and how it is created.</w:t>
      </w:r>
    </w:p>
    <w:p w:rsidR="00A86150" w:rsidRDefault="00F714D4">
      <w:pPr>
        <w:numPr>
          <w:ilvl w:val="0"/>
          <w:numId w:val="419"/>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is meant under the UCC by implied warranties, and know the main types of implied warranties: merchantability, fitness for a particular purpose, and title.</w:t>
      </w:r>
    </w:p>
    <w:p w:rsidR="00A86150" w:rsidRDefault="00F714D4">
      <w:pPr>
        <w:numPr>
          <w:ilvl w:val="0"/>
          <w:numId w:val="419"/>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that there are other warranties: against infringement and as may arise from usage of the trade.</w:t>
      </w:r>
    </w:p>
    <w:p w:rsidR="00A86150" w:rsidRDefault="00F714D4">
      <w:pPr>
        <w:numPr>
          <w:ilvl w:val="0"/>
          <w:numId w:val="419"/>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See that there are difficulties with warranty theory as a cause of action for products liability; a federal law has addressed some of these.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governs express warranties and various implied warranties, and for many years it was the only statutory control on the use and meanings of warranties. In 1975, after years of debate, Congress passed and President Gerald Ford signed into law the Magnuson-Moss Act, which imposes certain requirements on manufacturers and others who warrant their goods. We will examine both the UCC and the Magnuson-Moss 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Warranties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Express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express warranty is created whenever the seller affirms that the product will perform in a certain manner. Formal words such as “warrant” or “guarantee” are not necessary. A seller may create an express warranty as part of the basis for the bargain of sale by means of (1) an affirmation of a fact or promise relating to the goods, (2) a description of the goods, or (3) a sample or model. Any of these will create an express warranty that the goods will conform to the fact, promise, description, sample, or model. Thus a seller who states that “the use of rustproof linings in the cans would prevent discoloration and adulteration of the Perform solution” has given an express warranty, whether he realized it or not.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Claims of breach of express warranty are, at base, claims of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courts will not hold a manufacturer to every statement that could conceivably be interpreted to be an express warranty. Manufacturers and sellers constantly “puff” their products, and the law is content to let them inhabit that gray area without having to make good on every claim. UCC 2-313(2) says that “an affirmation merely of the value of the goods or a statement purporting to be merely the seller’s opinion or commendation of the goods does not create a warranty.” Facts do.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not always easy, however, to determine the line between an express warranty and a piece of puffery. A salesperson who says that a strawberry huller is “great” has probably puffed, not warranted, when it turns out that strawberries run through the huller look like victims of a massacre. But consider the classic cases of the defective used car and the faulty bull. In the former, the salesperson said the car was in “A-1 shape” and “mechanically perfect.” In the latter, the seller said not only that the bull calf would “put the buyer on the map” but that “his father was the greatest living dairy bull.” The car, carrying the buyer’s seven-month-old child, broke down while the buyer was en route to visit her husband in the army during World War II. The court said that the salesperson had made an express warranty.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bull calf turned out to be sterile, putting the farmer on the judicial rather than the dairy map. The court said the seller’s spiel was trade talk, not a warranty that the bull would impregnate cows.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there any qualitative difference between these decisions, other than the quarter century that separates them and the different courts that rendered them? Perhaps the most that can be said is that the more specific and measurable the statement’s standards, the more likely it is that a court will hold the seller to a warranty, and that a written statement is easier to construe as a warranty than an oral one. It is also possible that courts look, if only subliminally, at how reasonable the buyer was in relying on the statement, although this ought not to be a strict test. A buyer may be unreasonable in expecting a car to get 100 miles to the gallon, but if that is what the seller promised, that ought to be an enforceable warranty.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CISG (Article 35) provides, “The seller must deliver goods which are of the quantity, quality and description required by the contract and which are contained or packaged in the manner required by the contract. [And the] goods must possess the qualities of goods which the seller has held out to the buyer as a sample or model.”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Express warranties are those over which the parties dickered—or could have. Express warranties go to the essence of the bargain. An implied warranty, by contrast, is one that circumstances alone, not specific language, compel reading into the sale. In short, an implied warranty is one created by law, acting from an impulse of common sense.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Warranty of Merchantability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2-314 of the UCC lays down the fundamental rule that goods carry an implied warranty of merchantability if sold by a merchant-seller. What is merchantability? Section 2-314(2) of the UCC says that merchantable goods are those that conform at least to the following six characteristics:</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Pass without objection in the trade under the contract description</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case of fungible goods, are of fair average quality within the description</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fit for the ordinary purposes for which such goods are used</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Run, within the variations permitted by the agreement, of even kind, quality, and quantity within each unit and among all units involved</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adequately contained, packaged, and labeled as the agreement may require</w:t>
      </w:r>
    </w:p>
    <w:p w:rsidR="00A86150" w:rsidRDefault="00F714D4">
      <w:pPr>
        <w:pStyle w:val="ListParagraph"/>
        <w:numPr>
          <w:ilvl w:val="0"/>
          <w:numId w:val="420"/>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Conform to the promise or affirmations of fact made on the container or label if any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purposes of Section 2-314(2)(c) of the UCC, selling and serving food or drink for consumption on or off the premises is a sale subject to the implied warranty of merchantability—the food must be “fit for the ordinary purposes” to which it is put. The problem is common: you bite into a cherry pit in the cherry-vanilla ice cream, or you choke on the clam shells in the chowder. Is such food fit for the ordinary purposes to which it is put? There are two schools of thought. One asks whether the food was natural as prepared. This view adopts the seller’s perspective. The other asks what the consumer’s reasonable expectation was.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test is sometimes said to be the “natural-foreign” test. If the substance in the soup is natural to the substance—as bones are to fish—then the food is fit for consumption. The second test, relying on reasonable expectations, tends to be the more commonly used test.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Convention provides (Article 35) that “unless otherwise agreed, the goods sold are fit for the purposes for which goods of the same description would ordinarily be used.”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Fitness for a Particular Purpose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2-315 of the UCC creates another implied warranty. Whenever a seller, at the time she contracts to make a sale, knows or has reason to know that the buyer is relying on the seller’s skill or judgment to select a product that is suitable for the particular purpose the buyer has in mind for the goods to be sold, there is an implied warranty that the goods are fit for that purpose. For example, you go to a hardware store and tell the salesclerk that you need a paint that will dry overnight because you are painting your front door and a rainstorm is predicted for the next day. The clerk gives you a slow-drying oil-based paint that takes two days to dry. The store has breached an implied warranty of fitness for particular purpose.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the distinction between “particular” and “ordinary” purposes. Paint is made to color and when dry to protect a surface. That is its ordinary purpose, and had you said only that you wished to buy paint, no implied warranty of fitness would have been breached. It is only because you had a particular purpose in mind that the implied warranty arose. Suppose you had found a can of paint in a general store and told the same tale, but the proprietor had said, “I don’t know enough about that paint to tell you anything beyond what’s on the label; help yourself.” Not every seller has the requisite degree of skill and knowledge about every product he sells to give rise to an implied warranty. Ultimately, each case turns on its particular circumstances: </w:t>
      </w:r>
      <w:r>
        <w:rPr>
          <w:rFonts w:ascii="Georgia" w:eastAsia="Times New Roman" w:hAnsi="Georgia" w:cs="Calibri"/>
          <w:b/>
          <w:bCs/>
          <w:color w:val="333333"/>
          <w:sz w:val="20"/>
          <w:szCs w:val="20"/>
          <w:lang w:val="en"/>
        </w:rPr>
        <w:t>“The Convention provides (Article 35): [The goods must be] fit for any particular purpose expressly or impliedly made known to the seller at the time of the conclusion of the contract, except where the circumstances show that the buyer did not rely, or that it was unreasonable for him to rely, on the seller’s skill and judgment.”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2 contains other warranty provisions, though these are not related specifically to products liability. Thus, under UCC, Section 2-312, unless explicitly excluded, the seller warrants he is conveying </w:t>
      </w:r>
      <w:r>
        <w:rPr>
          <w:rFonts w:ascii="Georgia" w:eastAsia="Times New Roman" w:hAnsi="Georgia" w:cs="Calibri"/>
          <w:i/>
          <w:iCs/>
          <w:color w:val="333333"/>
          <w:sz w:val="20"/>
          <w:szCs w:val="20"/>
          <w:lang w:val="en"/>
        </w:rPr>
        <w:t>good title</w:t>
      </w:r>
      <w:r>
        <w:rPr>
          <w:rFonts w:ascii="Georgia" w:eastAsia="Times New Roman" w:hAnsi="Georgia" w:cs="Calibri"/>
          <w:color w:val="333333"/>
          <w:sz w:val="20"/>
          <w:szCs w:val="20"/>
          <w:lang w:val="en"/>
        </w:rPr>
        <w:t> that is rightfully his and that the goods are transferred free of any security interest or other lien or encumbrance. In some cases (e.g., a police auction of bicycles picked up around campus and never claimed), the buyer should know that the seller does not claim title in himself, nor that title will necessarily be good against a third party, and so subsection (2) excludes warranties in these circumstances. But the circumstances must be so obvious that no reasonable person would suppose otherwise.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Menzel v. List</w:t>
      </w:r>
      <w:r>
        <w:rPr>
          <w:rFonts w:ascii="Georgia" w:eastAsia="Times New Roman" w:hAnsi="Georgia" w:cs="Calibri"/>
          <w:color w:val="333333"/>
          <w:sz w:val="20"/>
          <w:szCs w:val="20"/>
          <w:lang w:val="en"/>
        </w:rPr>
        <w:t>, an art gallery sold a painting by Marc Chagall that it purchased in Paris.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painting had been stolen by the Germans when the original owner was forced to flee Belgium in the 1930s. Now in the United States, the original owner discovered that a new owner had the painting and successfully sued for its return. The customer then sued the gallery, claiming that it had breached the implied warranty of title when it sold the painting. The court agreed and awarded damages equal to the appreciated value of the painting. A good-faith purchaser who must surrender stolen goods to their true owner has a claim for breach of the implied warranty of title against the person from whom he bought the goods.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implied warranty, related to title, is that the merchant-seller warrants the goods are </w:t>
      </w:r>
      <w:r>
        <w:rPr>
          <w:rFonts w:ascii="Georgia" w:eastAsia="Times New Roman" w:hAnsi="Georgia" w:cs="Calibri"/>
          <w:i/>
          <w:iCs/>
          <w:color w:val="333333"/>
          <w:sz w:val="20"/>
          <w:szCs w:val="20"/>
          <w:lang w:val="en"/>
        </w:rPr>
        <w:t>free of any rightful claim by a third person</w:t>
      </w:r>
      <w:r>
        <w:rPr>
          <w:rFonts w:ascii="Georgia" w:eastAsia="Times New Roman" w:hAnsi="Georgia" w:cs="Calibri"/>
          <w:color w:val="333333"/>
          <w:sz w:val="20"/>
          <w:szCs w:val="20"/>
          <w:lang w:val="en"/>
        </w:rPr>
        <w:t> that the seller has infringed his rights (e.g., that a gallery has not infringed a copyright by selling a reproduction). This provision only applies to a seller who regularly deals in goods of the kind in question. If you find an old print in your grandmother’s attic, you do not warrant when you sell it to a neighbor that it is free of any valid infringement claims.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implied warranty in this context involves the course of dealing or usage of trade. Section 2-314(3) of the UCC says that unless modified or excluded implied warranties may arise from a course of dealing or usage of trade. If a certain way of doing business is understood, it is not necessary for the seller to state explicitly that he will abide by the custom; it will be implied. A typical example is the obligation of a dog dealer to provide pedigree papers to prove the dog’s lineage conforms to the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Problems with Warranty Theory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 General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seem that a person asserting a claim for breach of warranty will have a good chance of success under an express warranty or implied warranty theory of merchantability or fitness for a particular purpose. In practice, though, claimants are in many cases denied recovery. Here are four general problems:</w:t>
      </w:r>
    </w:p>
    <w:p w:rsidR="00A86150" w:rsidRDefault="00F714D4">
      <w:pPr>
        <w:pStyle w:val="ListParagraph"/>
        <w:numPr>
          <w:ilvl w:val="0"/>
          <w:numId w:val="42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claimant must prove that there was a sale.</w:t>
      </w:r>
    </w:p>
    <w:p w:rsidR="00A86150" w:rsidRDefault="00F714D4">
      <w:pPr>
        <w:pStyle w:val="ListParagraph"/>
        <w:numPr>
          <w:ilvl w:val="0"/>
          <w:numId w:val="42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sale was of goods rather than real estate or services.</w:t>
      </w:r>
    </w:p>
    <w:p w:rsidR="00A86150" w:rsidRDefault="00F714D4">
      <w:pPr>
        <w:pStyle w:val="ListParagraph"/>
        <w:numPr>
          <w:ilvl w:val="0"/>
          <w:numId w:val="42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action must be brought within the four-year statute of limitations under Article 2-725, when the tender of delivery is made, not when the plaintiff discovers the defect.</w:t>
      </w:r>
    </w:p>
    <w:p w:rsidR="00A86150" w:rsidRDefault="00F714D4">
      <w:pPr>
        <w:pStyle w:val="ListParagraph"/>
        <w:numPr>
          <w:ilvl w:val="0"/>
          <w:numId w:val="42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UCC, Section 2-607(3)(a) and Section 2A-516(3)(a), which covers leases, the claimant who fails to give notice of breach within a reasonable time of having accepted the goods will see the suit dismissed, and few consumers know enough to do so, except when making a complaint about a purchase of spoiled milk or about paint that wouldn’t dry.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these general problems, the claimant faces additional difficulties stemming directly from warranty theory, which we take up later in this chapter.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Exclusion or Modification of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permits sellers to exclude or disclaim warranties in whole or in part. That’s reasonable, given that the discussion here is about contract, and parties are free to make such contracts as they see fit. But a number of difficulties can arise.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Exclusion of Express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simplest way for the seller to exclude express warranties is not to give them. To be sure, Section 2-316(1) of the UCC forbids courts from giving operation to words in fine print that negate or limit express warranties if doing so would unreasonably conflict with express warranties stated in the main body of the contract—as, for example, would a blanket statement that “this contract excludes all warranties express or implied.” The purpose of the UCC provision is to prevent customers from being surprised by unbargained-for language.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Exclusion of Implied Warranties in General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Implied warranties can be excluded easily enough also, by describing the product with language such as “as is” or “with all faults.” Nor is exclusion simply a function of what the seller says. The buyer who has either examined or refused to examine the goods before entering into the contract may not assert an implied warranty concerning defects an inspection would have revealed.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The Convention provides a similar rule regarding a buyer’s rights when he has failed to inspect the goods (Article 35): “The seller is not liable…for any lack of conformity of the goods if at the time of the conclusion of the contract the buyer knew or could not have been unaware of such lack of conformity.”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Warranty of Merchantability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2-316(2) of the UCC permits the seller to disclaim or modify the implied warranty of merchantability, as long as the statement actually mentions “merchantability” and, if it is written, is “conspicuous.” Note that the disclaimer need not be in writing, and—again—all implied warranties can be excluded as noted.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Warranty of Fitness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2-316(2) of the UCC permits the seller also to disclaim or modify an implied warranty of fitness. This disclaimer or modification must be in writing, however, and must be conspicuous. It need not mention fitness explicitly; general language will do. The following sentence, for example, is sufficient to exclude all implied warranties of fitness: “There are no warranties that extend beyond the description on the face of this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a standard disclaimer clause found in a Dow Chemical Company agreement: “Seller warrants that the goods supplied here shall conform to the description stated on the front side hereof, that it will convey good title, and that such goods shall be delivered free from any lawful security interest, lien, or encumbrance. SELLER MAKES NO WARRANTY OF MERCHANTABILITY OR FITNESS FOR A PARTICULAR USE. NOR IS THERE ANY OTHER EXPRESS OR IMPLIED WARRANTY.”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Conflict between Express and Implied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Express and implied warranties and their exclusion or limitation can often conflict. Section 2-317 of the UCC provides certain rules for deciding which should prevail. In general, all warranties are to be construed as consistent with each other and as cumulative. When that assumption is unreasonable, the parties’ intention governs the interpretation, according to the following rules: (a) exact or technical specifications displace an inconsistent sample or model or general language of description; (b) a sample from an existing bulk displaces inconsistent general language of description; (c) express warranties displace inconsistent implied warranties other than an implied warranty of fitness for a particular purpose. Any inconsistency among warranties must always be resolved in favor of the implied warranty of fitness for a particular purpose. This doesn’t mean that warranty cannot be limited or excluded altogether. The parties may do so. But in cases of doubt whether it or some other language applies, the implied warranty of fitness will have a superior claim.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Magnuson-Moss Act and Phantom 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years of debate over extending federal law to regulate warranties, Congress enacted the Magnuson-Moss Federal Trade Commission Warranty Improvement Act (more commonly referred to as the Magnuson-Moss Act) and President Ford signed it in 1975. The act was designed to clear up confusing and misleading warranties, where—as Senator Magnuson put it in introducing the bill—“purchasers of consumer products discover that their warranty may cover a 25-cent part but not the $100 labor charge or that there is full coverage on a piano so long as it is shipped at the purchaser’s expense to the factory.…There is a growing need to generate consumer understanding by clearly and conspicuously disclosing the terms and conditions of the warranty and by telling the consumer what to do if his guaranteed product becomes defective or malfunctions.” The Magnuson-Moss Act only applies to consumer products (for household and domestic uses); commercial purchasers are presumed to be knowledgeable enough not to need these protections, to be able to hire lawyers, and to be able to include the cost of product failures into the prices they charge.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has several provisions to meet these consumer concerns; it regulates the content of warranties and the means of disclosing those contents. The act gives the Federal Trade Commission (FTC) the authority to promulgate detailed regulations to interpret and enforce it. Under FTC regulations, any written warranty for a product costing a consumer more than ten dollars must disclose in a single document and in readily understandable language the following nine items of information:</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identity of the persons covered by the warranty, whether it is limited to the original purchaser or fewer than all who might come to own it during the warranty period.</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clear description of the products, parts, characteristics, components, or properties covered, and where necessary for clarity, a description of what is excluded.</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of what the warrantor will do if the product fails to conform to the warranty, including items or services the warranty will pay for and, if necessary for clarity, what it will not pay for.</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of when the warranty period starts and when it expires.</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step-by-step explanation of what the consumer must do to realize on the warranty, including the names and addresses of those to whom the product must be brought.</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Instructions on how the consumer can be availed of any informal dispute resolution mechanism established by the warranty.</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limitations on the duration of implied warranties—since some states do not permit such limitations, the warranty must contain a statement that any limitations may not apply to the particular consumer.</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limitations or exclusions on relief, such as consequential damages—as above, the warranty must explain that some states do not allow such limitations.</w:t>
      </w:r>
    </w:p>
    <w:p w:rsidR="00A86150" w:rsidRDefault="00F714D4">
      <w:pPr>
        <w:pStyle w:val="ListParagraph"/>
        <w:numPr>
          <w:ilvl w:val="0"/>
          <w:numId w:val="42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statement: “This warranty gives you specific legal rights, and you may also have other rights which vary from state to 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these requirements, the act requires that the warranty be labeled either a full or limited warranty. A full warranty means (1) the defective product or part will be fixed or replaced for free, including removal and reinstallation; (2) it will be fixed within a reasonable time; (3) the consumer need not do anything unreasonable (like shipping the piano to the factory) to get warranty service; (4) the warranty is good for anyone who owns the product during the period of the warranty; (5) the consumer gets money back or a new product if the item cannot be fixed within a reasonable number of attempts. But the full warranty may not cover the whole product: it may cover only the hard drive in the computer, for example; it must state what parts are included and excluded. A limited warranty is less inclusive. It may cover only parts, not labor; it may require the consumer to bring the product to the store for service; it may impose a handling charge; it may cover only the first purchaser. Both full and limited warranties may exclude consequential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Disclosure of the warranty provisions prior to sale is required by FTC regulations; this can be done in a number of ways. The text of the warranty can be attached to the product or placed in close conjunction to it. It can be maintained in a binder kept in each department or otherwise easily accessible to the consumer. Either the binders must be in plain sight or signs must be posted to call the prospective buyer’s attention to them. A notice containing the text of the warranty can be posted, or the warranty itself can be printed on the product’s package or container.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Phantom warranties are addressed by the Magnuson-Moss Act. As we have seen, the UCC permits the seller to disclaim implied warranties. This authority often led sellers to give what were called phantom warranties—that is, the express warranty contained disclaimers of implied warranties, thus leaving the consumer with fewer rights than if no express warranty had been given at all. In the words of the legislative report of the act, “The bold print giveth, and the fine print taketh away.” The act abolished these phantom warranties by providing that if the seller gives a written warranty, whether express or implied, he cannot disclaim or modify implied warranties. However, a seller who gives a limited warranty can limit implied warranties to the duration of the limited warranty, if the duration is reasonable.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seller’s ability to disclaim implied warranties is also limited by state law in two ways. First, by amendment to the UCC or by separate legislation, some states prohibit disclaimers whenever consumer products are sold.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Second, the UCC at 2-302 provides that unconscionable contracts or clauses will not be enforced. UCC 2-719(3) provides that limitation of damages for personal injury in the sale of “consumer goods is prima facie unconscionable, but limitation of damages where the loss is commercial is not.” (Unconscionability was discussed in </w:t>
      </w:r>
      <w:r>
        <w:rPr>
          <w:rFonts w:ascii="Georgia" w:eastAsia="Times New Roman" w:hAnsi="Georgia" w:cs="Calibri"/>
          <w:color w:val="2689C6"/>
          <w:sz w:val="20"/>
          <w:szCs w:val="20"/>
          <w:lang w:val="en"/>
        </w:rPr>
        <w:t>Chapter 12 "Legality"</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first problem with warranty theory, then, is that it’s possible to disclaim or limit the warranty. The worst abuses of manipulative and tricky warranties are eliminated by the Magnuson-Moss Act, but there are several other reasons that warranty theory is not the panacea for claimants who have suffered damages or injuries as a result of defective products.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Privity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problem with warranty law (after exclusion and modification of warranties) is that of privity. Privity is the legal term for the direct connection between the seller and buyer, the two contracting parties. For decades, the doctrine of privity has held that one person can sue another only if they are in privity. That worked well in the days when most commerce was local and the connection between seller and buyer was immediate. But in a modern industrial (or postindustrial) economy, the product is transported through a much larger distribution system, as depicted in </w:t>
      </w:r>
      <w:r>
        <w:rPr>
          <w:rFonts w:ascii="Georgia" w:eastAsia="Times New Roman" w:hAnsi="Georgia" w:cs="Calibri"/>
          <w:color w:val="2689C6"/>
          <w:sz w:val="20"/>
          <w:szCs w:val="20"/>
          <w:lang w:val="en"/>
        </w:rPr>
        <w:t>Figure 17.2 "Chain of Distribution"</w:t>
      </w:r>
      <w:r>
        <w:rPr>
          <w:rFonts w:ascii="Georgia" w:eastAsia="Times New Roman" w:hAnsi="Georgia" w:cs="Calibri"/>
          <w:color w:val="333333"/>
          <w:sz w:val="20"/>
          <w:szCs w:val="20"/>
          <w:lang w:val="en"/>
        </w:rPr>
        <w:t>. Two questions arise: (1) Is the manufacturer or wholesaler (as opposed to the retailer) liable to the buyer under warranty theory? and (2) May the buyer’s family or friends assert warranty rights?</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17.2</w:t>
      </w:r>
      <w:r>
        <w:rPr>
          <w:rFonts w:ascii="Georgia" w:eastAsia="Times New Roman" w:hAnsi="Georgia" w:cs="Calibri"/>
          <w:i/>
          <w:iCs/>
          <w:color w:val="BB9966"/>
          <w:sz w:val="21"/>
          <w:szCs w:val="21"/>
          <w:lang w:val="en"/>
        </w:rPr>
        <w:t> Chain of Distribution</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3629025"/>
            <wp:effectExtent l="0" t="0" r="9525" b="9525"/>
            <wp:docPr id="87" name="Picture 18" descr="http://images.flatworldknowledge.com/mayerlawentrep/mayerlawentrep-fig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lawentrep/mayerlawentrep-fig20_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5925" cy="36290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Horizontal Privity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Carl Consumer buys a new lamp for his family’s living room. The lamp is defective: Carl gets a serious electrical shock when he turns it on. Certainly Carl would be covered by the implied warranty of merchantability: he’s in direct privity with the seller. But what if Carl’s spouse Carlene is injured? She didn’t buy the lamp; is she covered? Or suppose Carl’s friend David, visiting for an afternoon, gets zapped. Is David covered? This gets to horizontal privity, noncontracting parties who suffer damages from defective goods, such as nonbuyer users, consumers, and bystanders. Horizontal privity determines to whose benefit the warranty “flows”—who can sue for its breach. In one of its rare instances of nonuniformity, the UCC does not dictate the result. It gives the states three choices, labeled in Section 2-318 as Alternatives A, B, and 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Alternative A says that a seller’s warranty extends “to any natural person who is in the family or household of his buyer or who is a guest in his home” provided (1) it is reasonable to expect the person suffering damages to use, consume, or be affected by the goods and (2) the warranty extends only to damages for personal injury.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Alternative B “extends to any natural person who may reasonably be expected to use, consume, or be affected by the goods, and who is injured in person by breach of the warranty.” It is less restrictive than the first alternative: it extends protection to people beyond those in the buyer’s home. For example, what if Carl took the lamp to a neighbor’s house to illuminate a poker table: under Alternative B, anybody at the neighbor’s house who suffered injury would be covered by the warranty. But this alternative does not extend protection to organizations; “natural person” means a human being.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Alternative C is the same as B except that it applies not only to any “natural person” but “to any person who is injured by breach of the warranty.” This is the most far-reaching alternative because it provides redress for damage to</w:t>
      </w:r>
      <w:r>
        <w:rPr>
          <w:rFonts w:ascii="Georgia" w:eastAsia="Times New Roman" w:hAnsi="Georgia" w:cs="Calibri"/>
          <w:i/>
          <w:iCs/>
          <w:color w:val="333333"/>
          <w:sz w:val="20"/>
          <w:szCs w:val="20"/>
          <w:lang w:val="en"/>
        </w:rPr>
        <w:t>property</w:t>
      </w:r>
      <w:r>
        <w:rPr>
          <w:rFonts w:ascii="Georgia" w:eastAsia="Times New Roman" w:hAnsi="Georgia" w:cs="Calibri"/>
          <w:color w:val="333333"/>
          <w:sz w:val="20"/>
          <w:szCs w:val="20"/>
          <w:lang w:val="en"/>
        </w:rPr>
        <w:t> as well as for </w:t>
      </w:r>
      <w:r>
        <w:rPr>
          <w:rFonts w:ascii="Georgia" w:eastAsia="Times New Roman" w:hAnsi="Georgia" w:cs="Calibri"/>
          <w:i/>
          <w:iCs/>
          <w:color w:val="333333"/>
          <w:sz w:val="20"/>
          <w:szCs w:val="20"/>
          <w:lang w:val="en"/>
        </w:rPr>
        <w:t>personal</w:t>
      </w:r>
      <w:r>
        <w:rPr>
          <w:rFonts w:ascii="Georgia" w:eastAsia="Times New Roman" w:hAnsi="Georgia" w:cs="Calibri"/>
          <w:color w:val="333333"/>
          <w:sz w:val="20"/>
          <w:szCs w:val="20"/>
          <w:lang w:val="en"/>
        </w:rPr>
        <w:t> injury, and it extends protection to corporations and other institutional buyers.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may incidentally note that having three different alternatives for when third-party nonpurchasers can sue a seller or manufacturer for breach of warranty gives rise to unintended consequences. First, different outcomes are produced among jurisdictions, including variations in the common law. Second, the great purpose of the Uniform Commercial Code in promoting national uniformity is undermined. Third, battles over choice of law—where to file the lawsuit—are generated.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UCC, Section 2A-216, provides basically the same alternatives as applicable to the leasing of goods.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Vertical Privity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traditional rule was that remote selling parties were not liable: lack of privity was a defense by the manufacturer or wholesaler to a suit by a buyer with whom these entities did not themselves contract. The buyer could recover damages from the retailer but not from the original manufacturer, who after all made the product and who might be much more financially able to honor the warranty. The UCC takes no position here, but over the last fifty years the judicial trend has been to abolish this vertical privity requirement. (See</w:t>
      </w:r>
      <w:r>
        <w:rPr>
          <w:rFonts w:ascii="Georgia" w:eastAsia="Times New Roman" w:hAnsi="Georgia" w:cs="Calibri"/>
          <w:color w:val="2689C6"/>
          <w:sz w:val="20"/>
          <w:szCs w:val="20"/>
          <w:lang w:val="en"/>
        </w:rPr>
        <w:t>Figure 17.2 "Chain of Distribution"</w:t>
      </w:r>
      <w:r>
        <w:rPr>
          <w:rFonts w:ascii="Georgia" w:eastAsia="Times New Roman" w:hAnsi="Georgia" w:cs="Calibri"/>
          <w:color w:val="333333"/>
          <w:sz w:val="20"/>
          <w:szCs w:val="20"/>
          <w:lang w:val="en"/>
        </w:rPr>
        <w:t>; the entities in the distribution chain are those in vertical privity to the buyer.) It began in 1958, when the Michigan Supreme Court overturned the old theory in an opinion written by Justice John D. Voelker (who also wrote the novel </w:t>
      </w:r>
      <w:r>
        <w:rPr>
          <w:rFonts w:ascii="Georgia" w:eastAsia="Times New Roman" w:hAnsi="Georgia" w:cs="Calibri"/>
          <w:i/>
          <w:iCs/>
          <w:color w:val="333333"/>
          <w:sz w:val="20"/>
          <w:szCs w:val="20"/>
          <w:lang w:val="en"/>
        </w:rPr>
        <w:t>Anatomy of a Murder</w:t>
      </w:r>
      <w:r>
        <w:rPr>
          <w:rFonts w:ascii="Georgia" w:eastAsia="Times New Roman" w:hAnsi="Georgia" w:cs="Calibri"/>
          <w:color w:val="333333"/>
          <w:sz w:val="20"/>
          <w:szCs w:val="20"/>
          <w:lang w:val="en"/>
        </w:rPr>
        <w:t>, under the pen name Robert Traver).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Contributory Negligence, Comparative Negligence, and Assumption of Risk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disclaimers and privity issues are resolved, other possible impediments facing the plaintiff in a products-liability warranty case are issues of assumption of the risk, contributory negligence, and comparative negligence (discussed in</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on torts).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uniformly hold that assumption of risk is a defense for sellers against a claim of breach of warranty, while there is a split of authority over whether comparative and contributory negligence are defenses. However, the courts’ use of this terminology is often conflicting and confusing. The ultimate question is really one of causation: was the seller’s breach of the warranty the cause of the plaintiff’s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is not markedly helpful in clearing away the confusion caused by years of discussion of assumption of risk and contributory negligence. Section 2-715(2)(b) of the UCC says that among the forms of consequential damage for which recovery can be sought is “injury to person or property </w:t>
      </w:r>
      <w:r>
        <w:rPr>
          <w:rFonts w:ascii="Georgia" w:eastAsia="Times New Roman" w:hAnsi="Georgia" w:cs="Calibri"/>
          <w:i/>
          <w:iCs/>
          <w:color w:val="333333"/>
          <w:sz w:val="20"/>
          <w:szCs w:val="20"/>
          <w:lang w:val="en"/>
        </w:rPr>
        <w:t>proximately</w:t>
      </w:r>
      <w:r>
        <w:rPr>
          <w:rFonts w:ascii="Georgia" w:eastAsia="Times New Roman" w:hAnsi="Georgia" w:cs="Calibri"/>
          <w:color w:val="333333"/>
          <w:sz w:val="20"/>
          <w:szCs w:val="20"/>
          <w:lang w:val="en"/>
        </w:rPr>
        <w:t>resulting from any breach of warranty” (emphasis added). But “proximately” is a troublesome word. Indeed, ultimately it is a circular word: it means nothing more than that the defendant must have been a direct enough cause of the damages that the courts will impose liability. Comment 5 to this section says, “Where the injury involved follows the use of goods without discovery of the defect causing the damage, the question of ‘proximate’ turns on whether it was reasonable for the buyer to use the goods without such inspection as would have revealed the defects. If it was not reasonable for him to do so, or if he did in fact discover the defect prior to his use, the injury would not proximately result from the breach of warranty.”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Obviously if a sky diver buys a parachute and then discovers a few holes in it, his family would not likely prevail in court when they sued to recover for his death because the parachute failed to function after he jumped at 5,000 feet. But the general notion that it must have been reasonable for a buyer to use goods without inspection can make a warranty case difficult to prove.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first basis of recovery in products-liability theory is breach of warranty. There are two types of warranties: express and implied. Under the implied category are three major subtypes: the implied warranty of merchantability (only given by merchants), the implied warranty of fitness for a particular purpose, and the implied warranty of title. There are a number of problems with the use of warranty theory: there must have been a sale of the goods; the plaintiff must bring the action within the statute of limitations; and the plaintiff must notify the seller within a reasonable time. The seller may—within the constraints of the Magnuson-Moss Act—limit or exclude express warranties or limit or exclude implied warranties. Privity, or lack of it, between buyer and seller has been significantly eroded as a limitation in warranty theory, but lack of privity may still affect the plaintiff’s recovery; the plaintiff’s assumption of the risk in using defective goods may preclude recovery.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two main types of warranties and the important subtypes?</w:t>
      </w:r>
    </w:p>
    <w:p w:rsidR="00A86150" w:rsidRDefault="00F714D4">
      <w:pPr>
        <w:numPr>
          <w:ilvl w:val="0"/>
          <w:numId w:val="4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can make each type of warranty?</w:t>
      </w:r>
    </w:p>
    <w:p w:rsidR="00A86150" w:rsidRDefault="00F714D4">
      <w:pPr>
        <w:numPr>
          <w:ilvl w:val="0"/>
          <w:numId w:val="4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general problems does a plaintiff have in bringing a products-liability warranty case?</w:t>
      </w:r>
    </w:p>
    <w:p w:rsidR="00A86150" w:rsidRDefault="00F714D4">
      <w:pPr>
        <w:numPr>
          <w:ilvl w:val="0"/>
          <w:numId w:val="4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problems are presented concerning exclusion or manipulative express warranties, and how does the Magnuson-Moss Act address them?</w:t>
      </w:r>
    </w:p>
    <w:p w:rsidR="00A86150" w:rsidRDefault="00F714D4">
      <w:pPr>
        <w:numPr>
          <w:ilvl w:val="0"/>
          <w:numId w:val="42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are implied warranties excluded?</w:t>
      </w:r>
    </w:p>
    <w:p w:rsidR="00A86150" w:rsidRDefault="00F714D4">
      <w:pPr>
        <w:numPr>
          <w:ilvl w:val="0"/>
          <w:numId w:val="42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problem of lack of privity, and how does modern law deal with it?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Rhodes Pharmacal Co. v. Continental Can Co.</w:t>
      </w:r>
      <w:r>
        <w:rPr>
          <w:rFonts w:ascii="Calibri" w:eastAsia="Times New Roman" w:hAnsi="Calibri" w:cs="Calibri"/>
          <w:color w:val="333333"/>
          <w:sz w:val="20"/>
          <w:szCs w:val="20"/>
        </w:rPr>
        <w:t>, 219 N.E.2d 726 (Ill. 1976).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Wat Henry Pontiac Co. v. Bradley</w:t>
      </w:r>
      <w:r>
        <w:rPr>
          <w:rFonts w:ascii="Calibri" w:eastAsia="Times New Roman" w:hAnsi="Calibri" w:cs="Calibri"/>
          <w:color w:val="333333"/>
          <w:sz w:val="20"/>
          <w:szCs w:val="20"/>
        </w:rPr>
        <w:t>, 210 P.2d 348 (Okla. 1949).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Frederickson v. Hackney</w:t>
      </w:r>
      <w:r>
        <w:rPr>
          <w:rFonts w:ascii="Calibri" w:eastAsia="Times New Roman" w:hAnsi="Calibri" w:cs="Calibri"/>
          <w:color w:val="333333"/>
          <w:sz w:val="20"/>
          <w:szCs w:val="20"/>
        </w:rPr>
        <w:t>, 198 N.W. 806 (Minn. 1924).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Menzel v. List</w:t>
      </w:r>
      <w:r>
        <w:rPr>
          <w:rFonts w:ascii="Calibri" w:eastAsia="Times New Roman" w:hAnsi="Calibri" w:cs="Calibri"/>
          <w:color w:val="333333"/>
          <w:sz w:val="20"/>
          <w:szCs w:val="20"/>
        </w:rPr>
        <w:t>, 246 N.E.2d 742 (N.Y. 1969).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A number of states have special laws that limit the use of the UCC implied warranty disclaimer rules in consumer sales. Some of these appear in amendments to the UCC and others are in separate statutes. The broadest approach is that of the nine states that prohibit the disclaimer of implied warranties in consumer sales (Massachusetts, Connecticut, Maine, Vermont, Maryland, the District of Columbia, West Virginia, Kansas, Mississippi, and, with respect to personal injuries only, Alabama). There is a difference in these states whether the rules apply to manufacturers as well as retailers.</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Spence v. Three Rivers Builders &amp; Masonry Supply, Inc.</w:t>
      </w:r>
      <w:r>
        <w:rPr>
          <w:rFonts w:ascii="Calibri" w:eastAsia="Times New Roman" w:hAnsi="Calibri" w:cs="Calibri"/>
          <w:color w:val="333333"/>
          <w:sz w:val="20"/>
          <w:szCs w:val="20"/>
        </w:rPr>
        <w:t>, 90 N.W.2d 873 (Mich. 1958).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17.3 Negligence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24"/>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how the tort theory of negligence may be of use in products-liability suits.</w:t>
      </w:r>
    </w:p>
    <w:p w:rsidR="00A86150" w:rsidRDefault="00F714D4">
      <w:pPr>
        <w:numPr>
          <w:ilvl w:val="0"/>
          <w:numId w:val="424"/>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negligence is often not a satisfactory cause of action in such suits: proof of it may be difficult, and there are powerful defenses to claims of negligence.</w:t>
      </w:r>
    </w:p>
    <w:p w:rsidR="00A86150" w:rsidRDefault="00F714D4">
      <w:pPr>
        <w:shd w:val="clear" w:color="auto" w:fill="FFFFFF"/>
        <w:spacing w:line="439" w:lineRule="atLeast"/>
        <w:ind w:righ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is the second theory raised in the typical products-liability case. It is a tort theory (as compared to breach of warranty, which is of course a contract theory), and it does have this advantage over warranty theory: privity is never relevant. A pedestrian is struck in an intersection by a car whose brakes were defectively manufactured. Under no circumstances would breach of warranty be a useful cause of action for the pedestrian—there is no privity at all. Negligence is considered in detail in the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on torts; it basically means lack of due care.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Typical Negligence Claims: Design Defects and Inadequate Warnings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theory in products liability is most useful in two types of cases: defective design and defective warnings.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Design Defects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Manufacturers can be, and often are, held liable for injuries caused by products that were defectively designed. The question is whether the designer used reasonable care in designing a product reasonably safe for its foreseeable use. The concern over reasonableness and standards of care are elements of negligence theory.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Defective-design cases can pose severe problems for manufacturing and safety engineers. More safety means more cost. Designs altered to improve safety may impair functionality and make the product less desirable to consumers. At what point safety comes into reasonable balance with performance, cost, and desirability (see </w:t>
      </w:r>
      <w:r>
        <w:rPr>
          <w:rFonts w:ascii="Georgia" w:eastAsia="Times New Roman" w:hAnsi="Georgia" w:cs="Calibri"/>
          <w:color w:val="2689C6"/>
          <w:sz w:val="20"/>
          <w:szCs w:val="20"/>
          <w:lang w:val="en"/>
        </w:rPr>
        <w:t>Figure 17.3 "The Reasonable Design Balance"</w:t>
      </w:r>
      <w:r>
        <w:rPr>
          <w:rFonts w:ascii="Georgia" w:eastAsia="Times New Roman" w:hAnsi="Georgia" w:cs="Calibri"/>
          <w:color w:val="333333"/>
          <w:sz w:val="20"/>
          <w:szCs w:val="20"/>
          <w:lang w:val="en"/>
        </w:rPr>
        <w:t>) is impossible to forecast accurately, though some factors can be taken into account. For example, if other manufacturers are marketing comparable products whose design are intrinsically safer, the less-safe products are likely to lose a test of reasonableness in court.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17.3</w:t>
      </w:r>
      <w:r>
        <w:rPr>
          <w:rFonts w:ascii="Georgia" w:eastAsia="Times New Roman" w:hAnsi="Georgia" w:cs="Calibri"/>
          <w:i/>
          <w:iCs/>
          <w:color w:val="BB9966"/>
          <w:sz w:val="21"/>
          <w:szCs w:val="21"/>
          <w:lang w:val="en"/>
        </w:rPr>
        <w:t> The Reasonable Design Balance</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304925"/>
            <wp:effectExtent l="0" t="0" r="0" b="9525"/>
            <wp:docPr id="89" name="Picture 19" descr="http://images.flatworldknowledge.com/mayerlawentrep/mayerlawentrep-fig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lawentrep/mayerlawentrep-fig20_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3049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Warning Defects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noted that a product may be defective if the manufacturer failed to warn the user of potential dangers. Whether a warning should have been affixed is often a question of what is reasonably foreseeable, and the failure to affix a warning will be treated as negligence. The manufacturer of a weed killer with poisonous ingredients is certainly acting negligently when it fails to warn the consumer that the contents are potentially lethal.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governing the necessity to warn and the adequacy of warnings is complex. What is reasonable turns on the degree to which a product is likely to be misused and, as the disturbing </w:t>
      </w:r>
      <w:r>
        <w:rPr>
          <w:rFonts w:ascii="Georgia" w:eastAsia="Times New Roman" w:hAnsi="Georgia" w:cs="Calibri"/>
          <w:i/>
          <w:iCs/>
          <w:color w:val="333333"/>
          <w:sz w:val="20"/>
          <w:szCs w:val="20"/>
          <w:lang w:val="en"/>
        </w:rPr>
        <w:t>Laaperi</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17.6.3 "Failure to Warn"</w:t>
      </w:r>
      <w:r>
        <w:rPr>
          <w:rFonts w:ascii="Georgia" w:eastAsia="Times New Roman" w:hAnsi="Georgia" w:cs="Calibri"/>
          <w:color w:val="333333"/>
          <w:sz w:val="20"/>
          <w:szCs w:val="20"/>
          <w:lang w:val="en"/>
        </w:rPr>
        <w:t>) illustrates, whether the hazard is obvious.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Problems with Negligence Theory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is an ancient cause of action and, as was discussed in the torts chapter, it carries with it a number of well-developed defenses. Two categories may be mentioned: common-law defenses and preemption.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Common-Law Defenses against Negligence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problems confronting a plaintiff with a claim of negligence in products-liability suits (again, these concepts are discussed in the torts chapter) are the following:</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Proving negligence at all: just because a product is defective does not necessarily prove the manufacturer breached a duty of care.</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Proximate cause: even if there was some negligence, the plaintiff must prove her damages flowed proximately from that negligence.</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Contributory and comparative negligence: the plaintiff’s own actions contributed to the damages.</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Subsequent alteration of the product: generally the manufacturer will not be liable if the product has been changed.</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Misuse or abuse of the product: using a lawn mower to trim a hedge or taking too much of a drug are examples.</w:t>
      </w:r>
    </w:p>
    <w:p w:rsidR="00A86150" w:rsidRDefault="00F714D4">
      <w:pPr>
        <w:pStyle w:val="ListParagraph"/>
        <w:numPr>
          <w:ilvl w:val="0"/>
          <w:numId w:val="42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Assumption of the risk: knowingly using the product in a risky way.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Preemption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Preemption (or “pre-emption”) is illustrated by this problem: suppose there is a federal standard concerning the product, and the defendant manufacturer meets it, but the standard is not really very protective. (It is not uncommon, of course, for federal standard makers of all types to be significantly influenced by lobbyists for the industries being regulated by the standards.) Is it enough for the manufacturer to point to its satisfaction of the standard so that such satisfaction preempts (takes over) any common-law negligence claim? “We built the machine to federal standards: we can’t be liable. Our compliance with the federal safety standard is an affirmative defense.”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Preemption is typically raised as a defense in suits about (1) cigarettes, (2) FDA-approved medical devices, (3) motor-boat propellers, (4) pesticides, and (5) motor vehicles. This is a complex area of law. Questions inevitably arise as to whether there was federal preemption, express or implied. Sometimes courts find preemption and the consumer loses; sometimes the courts don’t find preemption and the case goes forward. According to one lawyer who works in this field, there has been “increasing pressure on both the regulatory and congressional fronts to preempt state laws.” That is, the usual defendants (manufacturers) push Congress and the regulatory agencies to state explicitly in the law that the federal standards preempt and defeat state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Negligence is a second possible cause of action for products-liability claimants. A main advantage is that no issues of privity are relevant, but there are often problems of proof; there are a number of robust common-law defenses, and federal preemption is a recurring concern for plaintiffs’ lawyers.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2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two types of products-liability cases are most often brought under negligence?</w:t>
      </w:r>
    </w:p>
    <w:p w:rsidR="00A86150" w:rsidRDefault="00F714D4">
      <w:pPr>
        <w:numPr>
          <w:ilvl w:val="0"/>
          <w:numId w:val="42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could it be said that merely because a person suffers injury as the result of a defective product, proof of negligence is not necessarily made?</w:t>
      </w:r>
    </w:p>
    <w:p w:rsidR="00A86150" w:rsidRDefault="00F714D4">
      <w:pPr>
        <w:numPr>
          <w:ilvl w:val="0"/>
          <w:numId w:val="42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“preemption” and how is it used as a sword to defeat products-liability plaintiffs?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99"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 Richard Newsome and Andrew F. Knopf, “Federal Preemption: Products Lawyers Beware,” </w:t>
      </w:r>
      <w:r>
        <w:rPr>
          <w:rFonts w:ascii="Calibri" w:eastAsia="Times New Roman" w:hAnsi="Calibri" w:cs="Calibri"/>
          <w:i/>
          <w:iCs/>
          <w:color w:val="333333"/>
          <w:sz w:val="20"/>
          <w:szCs w:val="20"/>
        </w:rPr>
        <w:t>Florida Justice Association Journal</w:t>
      </w:r>
      <w:r>
        <w:rPr>
          <w:rFonts w:ascii="Calibri" w:eastAsia="Times New Roman" w:hAnsi="Calibri" w:cs="Calibri"/>
          <w:color w:val="333333"/>
          <w:sz w:val="20"/>
          <w:szCs w:val="20"/>
        </w:rPr>
        <w:t>, July 27, 2007, accessed March 1, 2011,</w:t>
      </w:r>
      <w:hyperlink r:id="rId41" w:tgtFrame="_blank" w:history="1">
        <w:r>
          <w:rPr>
            <w:rStyle w:val="Hyperlink"/>
            <w:rFonts w:ascii="Calibri" w:eastAsia="Times New Roman" w:hAnsi="Calibri" w:cs="Calibri"/>
            <w:color w:val="2689C6"/>
            <w:sz w:val="20"/>
            <w:szCs w:val="20"/>
          </w:rPr>
          <w:t>http://www.newsomelaw.com/resources/articles/federal-preemption-products-lawyers-beware</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17.4 Strict Liability in Tort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27"/>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“strict products liability” means and how it differs from the other two products-liability theories.</w:t>
      </w:r>
    </w:p>
    <w:p w:rsidR="00A86150" w:rsidRDefault="00F714D4">
      <w:pPr>
        <w:numPr>
          <w:ilvl w:val="0"/>
          <w:numId w:val="427"/>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requirements to prove strict products liability.</w:t>
      </w:r>
    </w:p>
    <w:p w:rsidR="00A86150" w:rsidRDefault="00F714D4">
      <w:pPr>
        <w:numPr>
          <w:ilvl w:val="0"/>
          <w:numId w:val="427"/>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See what obstacles to recovery remain with this doctrine.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warranties grounded in the Uniform Commercial Code (UCC) are often ineffective in assuring recovery for a plaintiff’s injuries. The notice requirements and the ability of a seller to disclaim the warranties remain bothersome problems, as does the privity requirement in those states that continue to adhere to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as a products-liability theory obviates any privity problems, but negligence comes with a number of familiar defenses and with the problems of preemption.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overcome the obstacles, judges have gone beyond the commercial statutes and the ancient concepts of negligence. They have fashioned a tort theory of products liability based on the principle of </w:t>
      </w:r>
      <w:r>
        <w:rPr>
          <w:rFonts w:ascii="Georgia" w:eastAsia="Times New Roman" w:hAnsi="Georgia" w:cs="Calibri"/>
          <w:b/>
          <w:bCs/>
          <w:color w:val="333333"/>
          <w:sz w:val="20"/>
          <w:szCs w:val="20"/>
          <w:lang w:val="en"/>
        </w:rPr>
        <w:t>strict products liability</w:t>
      </w:r>
      <w:r>
        <w:rPr>
          <w:rFonts w:ascii="Georgia" w:eastAsia="Times New Roman" w:hAnsi="Georgia" w:cs="Calibri"/>
          <w:color w:val="333333"/>
          <w:sz w:val="20"/>
          <w:szCs w:val="20"/>
          <w:lang w:val="en"/>
        </w:rPr>
        <w:t>. One court expressed the rationale for the development of the concept as follows: “The rule of strict liability for defective products is an example of necessary paternalism judicially shifting risk of loss by application of tort doctrine because [the UCC] scheme fails to adequately cover the situation. Judicial paternalism is to loss shifting what garlic is to a stew—sometimes necessary to give full flavor to statutory law, always distinctly noticeable in its result, overwhelmingly counterproductive if excessive, and never an end in itself.”</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Paternalism or not, strict liability has become a very important legal theory in products-liability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Strict Liability Defined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formulation of strict liability that most courts use is Section 402A of the Restatement of Torts (Second), set out here in full: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One who sells any product in a defective condition unreasonably dangerous to the user or consumer or to his property is subject to liability for physical harm thereby caused to the ultimate user or consumer, or to his property, if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seller is engaged in the business of selling such a product,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it is expected to and does reach the user or consumer without substantial change in the condition in which it is sold.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This rule applies even though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seller has exercised all possible care in the preparation and sale of his product,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user or consumer has not bought the product from or entered into any contractual relation with the seller.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402A of the Restatement avoids the warranty booby traps. It states a rule of law not governed by the UCC, so limitations and exclusions in warranties will not apply to a suit based on the Restatement theory. And the consumer is under no obligation to give notice to the seller within a reasonable time of any injuries. Privity is not a requirement; the language of the Restatement says it applies to “the user or consumer,” but courts have readily found that bystanders in various situations are entitled to bring actions under Restatement, Section 402A. The formulation of strict liability, though, is limited to physical harm. Many courts have held that a person who suffers economic loss must resort to warranty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 liability avoids some negligence traps, too. No proof of negligence is required. See </w:t>
      </w:r>
      <w:r>
        <w:rPr>
          <w:rFonts w:ascii="Georgia" w:eastAsia="Times New Roman" w:hAnsi="Georgia" w:cs="Calibri"/>
          <w:color w:val="2689C6"/>
          <w:sz w:val="20"/>
          <w:szCs w:val="20"/>
          <w:lang w:val="en"/>
        </w:rPr>
        <w:t>Figure 17.4 "Major Difference between Warranty and Strict Liability"</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17.4</w:t>
      </w:r>
      <w:r>
        <w:rPr>
          <w:rFonts w:ascii="Georgia" w:eastAsia="Times New Roman" w:hAnsi="Georgia" w:cs="Calibri"/>
          <w:i/>
          <w:iCs/>
          <w:color w:val="BB9966"/>
          <w:sz w:val="21"/>
          <w:szCs w:val="21"/>
          <w:lang w:val="en"/>
        </w:rPr>
        <w:t> Major Difference between Warranty and Strict Liability</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543050"/>
            <wp:effectExtent l="0" t="0" r="0" b="0"/>
            <wp:docPr id="91" name="Picture 20" descr="http://images.flatworldknowledge.com/mayerlawentrep/mayerlawentrep-fig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mayerlawentrep/mayerlawentrep-fig20_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543050"/>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Section 402A Elements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Product in a Defective Condition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Sales of goods but not sales of services are covered under the Restatement, Section 402A. Furthermore, the plaintiff will not prevail if the product was safe for normal handling and consumption when sold. A glass soda bottle that is properly capped is not in a defective condition merely because it can be broken if the consumer should happen to drop it, making the jagged glass dangerous. Chocolate candy bars are not defective merely because you can become ill by eating too many of them at once. On the other hand, a seller would be liable for a product defectively packaged, so that it could explode or deteriorate and change its chemical composition. A product can also be in a defective condition if there is danger that could come from an anticipated wrongful use, such as a drug that is safe only when taken in limited doses. Under those circumstances, failure to place an adequate dosage warning on the container makes the product defective.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bears the burden of proving that the product is in a defective condition, and this burden can be difficult to meet. Many products are the result of complex feats of engineering. Expert witnesses are necessary to prove that the products were defectively manufactured, and these are not always easy to come by. This difficulty of proof is one reason why many cases raise the failure to warn as the dispositive issue, since in the right case that issue is far easier to prove. The </w:t>
      </w:r>
      <w:r>
        <w:rPr>
          <w:rFonts w:ascii="Georgia" w:eastAsia="Times New Roman" w:hAnsi="Georgia" w:cs="Calibri"/>
          <w:i/>
          <w:iCs/>
          <w:color w:val="333333"/>
          <w:sz w:val="20"/>
          <w:szCs w:val="20"/>
          <w:lang w:val="en"/>
        </w:rPr>
        <w:t>Anderson</w:t>
      </w:r>
      <w:r>
        <w:rPr>
          <w:rFonts w:ascii="Georgia" w:eastAsia="Times New Roman" w:hAnsi="Georgia" w:cs="Calibri"/>
          <w:color w:val="333333"/>
          <w:sz w:val="20"/>
          <w:szCs w:val="20"/>
          <w:lang w:val="en"/>
        </w:rPr>
        <w:t> case (detailed in the exercises at the end of this chapter) demonstrates that the plaintiff cannot prevail under strict liability merely because he was injured. It is not the fact of injury that is dispositive but the defective condition of the product.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Unreasonably Dangerous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 must be not merely dangerous but unreasonably dangerous. Most products have characteristics that make them dangerous in certain circumstances. As the Restatement commentators note, “Good whiskey is not unreasonably dangerous merely because it will make some people drunk, and is especially dangerous to alcoholics; but bad whiskey, containing a dangerous amount of fuel oil, is unreasonably dangerous.…Good butter is not unreasonably dangerous merely because, if such be the case, it deposits cholesterol in the arteries and leads to heart attacks; but bad butter, contaminated with poisonous fish oil, is unreasonably dangerous.”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Under Section 402A, “the article sold must be dangerous to an extent beyond that which would be contemplated by the ordinary consumer who purchases it, with the ordinary knowledge common to the community as to its characteristics. ”</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high risks of danger are not necessarily unreasonable. Some products are unavoidably unsafe; rabies vaccines, for example, can cause dreadful side effects. But the disease itself, almost always fatal, is worse. A product is unavoidably unsafe when it cannot be made safe for its intended purpose given the present state of human knowledge. Because important benefits may flow from the product’s use, its producer or seller ought not to be held liable for its danger.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the failure to warn a potential user of possible hazards can make a product defective under Restatement, Section 402A, whether unreasonably dangerous or even unavoidably unsafe. The dairy farmer need not warn those with common allergies to eggs, because it will be presumed that the person with an allergic reaction to common foodstuffs will be aware of them. But when the product contains an ingredient that could cause toxic effects in a substantial number of people and its danger is not widely known (or if known, is not an ingredient that would commonly be supposed to be in the product), the lack of a warning could make the product unreasonably dangerous within the meaning of Restatement, Section 402A. Many of the suits brought by asbestos workers charged exactly this point; “The utility of an insulation product containing asbestos may outweigh the known or foreseeable risk to the insulation workers and thus justify its marketing. The product could still be unreasonably dangerous, however, if unaccompanied by adequate warnings. An insulation worker, no less than any other product user, has a right to decide whether to expose himself to the risk.”</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This rule of law came to haunt the Manville Corporation: it was so burdened with lawsuits, brought and likely to be brought for its sale of asbestos—a known carcinogen—that it declared Chapter 11 bankruptcy in 1982 and shucked its liability.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Engaged in the Business of Selling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Restatement, Section 402A(1)(a), limits liability to sellers “engaged in the business of selling such a product.” The rule is intended to apply to people and entities engaged in business, not to casual one-time sellers. The business need not be solely in the defective product; a movie theater that sells popcorn with a razor blade inside is no less liable than a grocery store that does so. But strict liability under this rule does not attach to a private individual who sells his own automobile. In this sense, Restatement, Section 402A, is analogous to the UCC’s limitation of the warranty of merchantability to the merchant.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requirement that the defendant be in the business of selling gets to the rationale for the whole concept of strict products liability: businesses should shoulder the cost of injuries because they are in the best position to spread the risk and distribute the expense among the public. This same policy has been the rationale for holding bailors and lessors liable for defective equipment just as if they had been sellers.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Reaches the User without Change in Condition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Restatement, Section 402A(1)(b), limits strict liability to those defective products that are expected to and do reach the user or consumer without substantial change in the condition in which the products are sold. A product that is safe when delivered cannot subject the seller to liability if it is subsequently mishandled or changed. The seller, however, must anticipate in appropriate cases that the product will be stored; faulty packaging or sterilization may be the grounds for liability if the product deteriorates before being used.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Despite Exercise of All Due Care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 liability applies under the Restatement rule even though “the seller has exercised all possible care in the preparation and sale of his product.” This is the crux of “strict liability” and distinguishes it from the conventional theory of negligence. It does not matter how reasonably the seller acted or how exemplary is a manufacturer’s quality control system—what matters is whether the product was defective and the user injured as a result. Suppose an automated bottle factory manufactures 1,000 bottles per hour under exacting standards, with a rigorous and costly quality-control program designed to weed out any bottles showing even an infinitesimal amount of stress. The plant is “state of the art,” and its computerized quality-control operation is the best in the world. It regularly detects the one out of every 10,000 bottles that analysis has shown will be defective. Despite this intense effort, it proves impossible to weed out every defective bottle; one out of one million, say, will still escape detection. Assume that a bottle, filled with soda, finds its way into a consumer’s home, explodes when handled, sends glass shards into his eye, and blinds him. Under negligence, the bottler has no liability; under strict liability, the bottler will be liable to the consumer.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without Contractual Relation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Restatement, Section 402A(2)(b), strict liability applies even though the user has not purchased the product from the seller nor has the user entered into any contractual relation with the seller. In short, privity is abolished and the injured user may use the theory of strict liability against manufacturers and wholesalers as well as retailers. Here, however, the courts have varied in their approaches; the trend has been to allow bystanders recovery. The Restatement explicitly leaves open the question of the bystander’s right to recover under strict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Problems with Strict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 liability is liability without proof of negligence and without privity. It would seem that strict liability is the “holy grail” of products-liability lawyers: the complete answer. Well, no, it’s not the holy grail. It is certainly true that 402A abolishes the contractual problems of warranty. Restatement, Section 402A, Comment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says,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 stated in this Section is not governed by the provisions of the Uniform Commercial Code, as to warranties; and it is not affected by limitations on the scope and content of warranties, or by limitation to “buyer” and “seller” in those statutes. Nor is the consumer required to give notice to the seller of his injury within a reasonable time after it occurs, as provided by the Uniform Act. The consumer’s cause of action does not depend upon the validity of his contract with the person from whom he acquires the product, and it is not affected by any disclaimer or other agreement, whether it be between the seller and his immediate buyer, or attached to and accompanying the product into the consumer’s hands. In short, “warranty” must be given a new and different meaning if it is used in connection with this Section. It is much simpler to regard the liability here stated as merely one of strict liability in tort.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Inherent in the Restatement’s language is the obvious point that if the product has been altered, losses caused by injury are not the manufacturer’s liability. Beyond that there are still some limitations to strict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Disclaimers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specifically says the cause of action under Restatement, Section 402A, is not affected by disclaimer. But in </w:t>
      </w:r>
      <w:r>
        <w:rPr>
          <w:rFonts w:ascii="Georgia" w:eastAsia="Times New Roman" w:hAnsi="Georgia" w:cs="Calibri"/>
          <w:i/>
          <w:iCs/>
          <w:color w:val="333333"/>
          <w:sz w:val="20"/>
          <w:szCs w:val="20"/>
          <w:lang w:val="en"/>
        </w:rPr>
        <w:t>nonconsumer</w:t>
      </w:r>
      <w:r>
        <w:rPr>
          <w:rFonts w:ascii="Georgia" w:eastAsia="Times New Roman" w:hAnsi="Georgia" w:cs="Calibri"/>
          <w:color w:val="333333"/>
          <w:sz w:val="20"/>
          <w:szCs w:val="20"/>
          <w:lang w:val="en"/>
        </w:rPr>
        <w:t> cases, courts have allowed clear and specific disclaimers. In 1969, the Ninth Circuit observed: “In</w:t>
      </w:r>
      <w:r>
        <w:rPr>
          <w:rFonts w:ascii="Georgia" w:eastAsia="Times New Roman" w:hAnsi="Georgia" w:cs="Calibri"/>
          <w:i/>
          <w:iCs/>
          <w:color w:val="333333"/>
          <w:sz w:val="20"/>
          <w:szCs w:val="20"/>
          <w:lang w:val="en"/>
        </w:rPr>
        <w:t>Kaiser Steel Corp.</w:t>
      </w:r>
      <w:r>
        <w:rPr>
          <w:rFonts w:ascii="Georgia" w:eastAsia="Times New Roman" w:hAnsi="Georgia" w:cs="Calibri"/>
          <w:color w:val="333333"/>
          <w:sz w:val="20"/>
          <w:szCs w:val="20"/>
          <w:lang w:val="en"/>
        </w:rPr>
        <w:t> the [California Supreme Court] court upheld the dismissal of a strict liability action when the parties, dealing from positions of relatively equal economic strength, contracted in a commercial setting to limit the defendant’s liability. The court went on to hold that in this situation the strict liability cause of action does not apply at all. In reaching this conclusion, the court in </w:t>
      </w:r>
      <w:r>
        <w:rPr>
          <w:rFonts w:ascii="Georgia" w:eastAsia="Times New Roman" w:hAnsi="Georgia" w:cs="Calibri"/>
          <w:i/>
          <w:iCs/>
          <w:color w:val="333333"/>
          <w:sz w:val="20"/>
          <w:szCs w:val="20"/>
          <w:lang w:val="en"/>
        </w:rPr>
        <w:t>Kaiser</w:t>
      </w:r>
      <w:r>
        <w:rPr>
          <w:rFonts w:ascii="Georgia" w:eastAsia="Times New Roman" w:hAnsi="Georgia" w:cs="Calibri"/>
          <w:color w:val="333333"/>
          <w:sz w:val="20"/>
          <w:szCs w:val="20"/>
          <w:lang w:val="en"/>
        </w:rPr>
        <w:t>reasoned that strict liability ‘is designed to encompass situations in which the principles of sales warranties serve their purpose “fitfully at best.”’ [Citation]” It concluded that in such commercial settings the UCC principles work well and “to apply the tort doctrines of products liability will displace the statutory law rather than bring out its full flavor.”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Plaintiff’s Conduct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Conduct by the plaintiff herself may defeat recovery in two circumstances.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Assumption of Risk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have allowed the defense of assumption of the risk in strict products-liability cases. A plaintiff assumes the risk of injury, thus establishing defense to claim of strict products liability, when he is aware the product is defective, knows the defect makes the product unreasonably dangerous, has reasonable opportunity to elect whether to expose himself to the danger, and nevertheless proceeds to make use of the product. The rule makes sense.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Misuse or Abuse of the Product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the plaintiff does not know a use of the product is dangerous but nevertheless uses for an incorrect purpose, a defense arises, but only if such misuse was not foreseeable. If it was, the manufacturer should warn against that misuse. In </w:t>
      </w:r>
      <w:r>
        <w:rPr>
          <w:rFonts w:ascii="Georgia" w:eastAsia="Times New Roman" w:hAnsi="Georgia" w:cs="Calibri"/>
          <w:i/>
          <w:iCs/>
          <w:color w:val="333333"/>
          <w:sz w:val="20"/>
          <w:szCs w:val="20"/>
          <w:lang w:val="en"/>
        </w:rPr>
        <w:t>Eastman v. Stanley Works</w:t>
      </w:r>
      <w:r>
        <w:rPr>
          <w:rFonts w:ascii="Georgia" w:eastAsia="Times New Roman" w:hAnsi="Georgia" w:cs="Calibri"/>
          <w:color w:val="333333"/>
          <w:sz w:val="20"/>
          <w:szCs w:val="20"/>
          <w:lang w:val="en"/>
        </w:rPr>
        <w:t>, a carpenter used a framing hammer to drive masonry nails; the claw of the hammer broke off, striking him in the eye.</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He sued. The court held that while a defense does exist “where the product is used in a capacity which is unforeseeable by the manufacturer and completely incompatible with the product’s design…misuse of a product suggests a use which was unanticipated or unexpected by the product manufacturer, or unforeseeable and unanticipated [but] it was not the case that reasonable minds could only conclude that appellee misused the [hammer]. Though the plaintiff’s use of the hammer might have been </w:t>
      </w:r>
      <w:r>
        <w:rPr>
          <w:rFonts w:ascii="Georgia" w:eastAsia="Times New Roman" w:hAnsi="Georgia" w:cs="Calibri"/>
          <w:i/>
          <w:iCs/>
          <w:color w:val="333333"/>
          <w:sz w:val="20"/>
          <w:szCs w:val="20"/>
          <w:lang w:val="en"/>
        </w:rPr>
        <w:t>unreasonable</w:t>
      </w:r>
      <w:r>
        <w:rPr>
          <w:rFonts w:ascii="Georgia" w:eastAsia="Times New Roman" w:hAnsi="Georgia" w:cs="Calibri"/>
          <w:color w:val="333333"/>
          <w:sz w:val="20"/>
          <w:szCs w:val="20"/>
          <w:lang w:val="en"/>
        </w:rPr>
        <w:t>, unreasonable use is not a defense to a strict product-liability action or to a negligence action.”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Remedy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says recovery under strict liability is limited to “physical harm thereby caused to the ultimate user or consumer, or to his property,” but not other losses and not economic losses. In </w:t>
      </w:r>
      <w:r>
        <w:rPr>
          <w:rFonts w:ascii="Georgia" w:eastAsia="Times New Roman" w:hAnsi="Georgia" w:cs="Calibri"/>
          <w:i/>
          <w:iCs/>
          <w:color w:val="333333"/>
          <w:sz w:val="20"/>
          <w:szCs w:val="20"/>
          <w:lang w:val="en"/>
        </w:rPr>
        <w:t>Atlas Air v. General Electric</w:t>
      </w:r>
      <w:r>
        <w:rPr>
          <w:rFonts w:ascii="Georgia" w:eastAsia="Times New Roman" w:hAnsi="Georgia" w:cs="Calibri"/>
          <w:color w:val="333333"/>
          <w:sz w:val="20"/>
          <w:szCs w:val="20"/>
          <w:lang w:val="en"/>
        </w:rPr>
        <w:t>, a New York court held that the “economic loss rule” (no recovery for economic losses) barred strict products-liability and negligence claims by the purchaser of a used airplane against the airplane engine manufacturer for damage to the plane caused by an emergency landing necessitated by engine failure, where the purchaser merely alleged economic losses with respect to the plane itself, and not damages for personal injury (recovery for damage to the engine was allowed).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there are exceptions. In </w:t>
      </w:r>
      <w:r>
        <w:rPr>
          <w:rFonts w:ascii="Georgia" w:eastAsia="Times New Roman" w:hAnsi="Georgia" w:cs="Calibri"/>
          <w:i/>
          <w:iCs/>
          <w:color w:val="333333"/>
          <w:sz w:val="20"/>
          <w:szCs w:val="20"/>
          <w:lang w:val="en"/>
        </w:rPr>
        <w:t>Duffin v. Idaho Crop Imp. Ass’n</w:t>
      </w:r>
      <w:r>
        <w:rPr>
          <w:rFonts w:ascii="Georgia" w:eastAsia="Times New Roman" w:hAnsi="Georgia" w:cs="Calibri"/>
          <w:color w:val="333333"/>
          <w:sz w:val="20"/>
          <w:szCs w:val="20"/>
          <w:lang w:val="en"/>
        </w:rPr>
        <w:t>, the court recognized that a party generally owes no duty to exercise due care to avoid purely economic loss, but if there is a “special relationship” between the parties such that it would be equitable to impose such a duty, the duty will be imposed.</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“In other words, there is an extremely limited group of cases where the law of negligence extends its protections to a party’s economic interest.”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Third Restatement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develops. What seemed fitting in 1964 when the Restatement (Second) announced the state of the common-law rules for strict liability in Section 402A seemed, by 1997, not to be tracking common law entirely closely. The American Law Institute came out with the Restatement (Third) in that year. The Restatement changes some things. Most notably it abolishes the “unreasonably dangerous” test and substitutes a “risk-utility test.” That is, a product is not defective unless its riskiness outweighs its utility. More important, the Restatement (Third), Section 2, now requires the plaintiff to provide a reasonable alternative design to the product in question. In advancing a reasonable alternative design, the plaintiff is not required to offer a prototype product. The plaintiff must only show that the proposed alternative design exists and is superior to the product in question. The Restatement (Third) also makes it more difficult for plaintiffs to sue drug companies successfully. One legal scholar commented as follows on the Restatement (Third):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provisions of the Third Restatement, if implemented by the courts, will establish a degree of fairness in the products liability arena. If courts adopt the Third Restatement’s elimination of the “consumer expectations test,” this change alone will strip juries of the ability to render decisions based on potentially subjective, capricious and unscientific opinions that a particular product design is unduly dangerous based on its performance in a single incident. More important, plaintiffs will be required to propose a reasonable alternative design to the product in question. Such a requirement will force plaintiffs to prove that a better product design exists other than in the unproven and untested domain of their experts’ imaginations.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some people put more faith in juries than is evident here. The new Restatement has been adopted by a few jurisdictions and some cases the adopting jurisdictions incorporate some of its ideas, but courts appear reluctant to abandon familiar precedent.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Because the doctrines of breach of warranty and negligence did not provide adequate relief to those suffering damages or injuries in products-liability cases, beginning in the 1960s courts developed a new tort theory: strict products liability, restated in the Second Restatement, section 402A. Basically the doctrine says that if goods sold are unreasonably dangerous or defective, the merchant-seller will be liable for the immediate property loss and personal injuries caused thereby. But there remain obstacles to recovery even under this expanded concept of liability: disclaimers of liability have not completely been dismissed, the plaintiff’s conduct or changes to the goods may limit recovery, and—with some exceptions—the remedies available are limited to personal injury (and damage to the goods themselves); economic loss is not recoverable. Almost forty years of experience with the Second Restatement’s section on strict liability has seen changes in the law, and the Third Restatement introduces those, but it has not been widely accepted yet.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was perceived to be inadequate about warranty and negligence theories that necessitated the development of strict liability?</w:t>
      </w:r>
    </w:p>
    <w:p w:rsidR="00A86150" w:rsidRDefault="00F714D4">
      <w:pPr>
        <w:numPr>
          <w:ilvl w:val="0"/>
          <w:numId w:val="4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Briefly describe the doctrine.</w:t>
      </w:r>
    </w:p>
    <w:p w:rsidR="00A86150" w:rsidRDefault="00F714D4">
      <w:pPr>
        <w:numPr>
          <w:ilvl w:val="0"/>
          <w:numId w:val="4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defects in goods render their sellers strictly liable?</w:t>
      </w:r>
    </w:p>
    <w:p w:rsidR="00A86150" w:rsidRDefault="00F714D4">
      <w:pPr>
        <w:numPr>
          <w:ilvl w:val="0"/>
          <w:numId w:val="42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counts as a liable seller?</w:t>
      </w:r>
    </w:p>
    <w:p w:rsidR="00A86150" w:rsidRDefault="00F714D4">
      <w:pPr>
        <w:numPr>
          <w:ilvl w:val="0"/>
          <w:numId w:val="42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obstacles does a plaintiff have to overcome here, and what limitations are there to recovery?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Kaiser Steel Corp. v. Westinghouse Electric Corp.</w:t>
      </w:r>
      <w:r>
        <w:rPr>
          <w:rFonts w:ascii="Calibri" w:eastAsia="Times New Roman" w:hAnsi="Calibri" w:cs="Calibri"/>
          <w:color w:val="333333"/>
          <w:sz w:val="20"/>
          <w:szCs w:val="20"/>
        </w:rPr>
        <w:t>, 127 Cal. Rptr. 838 (Cal. 1976).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402A(i).</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Borel v. Fibreboard Paper Products Corp.</w:t>
      </w:r>
      <w:r>
        <w:rPr>
          <w:rFonts w:ascii="Calibri" w:eastAsia="Times New Roman" w:hAnsi="Calibri" w:cs="Calibri"/>
          <w:color w:val="333333"/>
          <w:sz w:val="20"/>
          <w:szCs w:val="20"/>
        </w:rPr>
        <w:t>, 493 F.Zd 1076 (5th Cir. 1973).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Johns-Manville Corp.</w:t>
      </w:r>
      <w:r>
        <w:rPr>
          <w:rFonts w:ascii="Calibri" w:eastAsia="Times New Roman" w:hAnsi="Calibri" w:cs="Calibri"/>
          <w:color w:val="333333"/>
          <w:sz w:val="20"/>
          <w:szCs w:val="20"/>
        </w:rPr>
        <w:t>, 36 R.R. 727 (So. Dist. N.Y. 1984).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Martin v. Ryder Rental, Inc.</w:t>
      </w:r>
      <w:r>
        <w:rPr>
          <w:rFonts w:ascii="Calibri" w:eastAsia="Times New Roman" w:hAnsi="Calibri" w:cs="Calibri"/>
          <w:color w:val="333333"/>
          <w:sz w:val="20"/>
          <w:szCs w:val="20"/>
        </w:rPr>
        <w:t>, 353 A.2d 581 (Del. 1976).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Idaho Power Co. v. Westinghouse Electric Corp.</w:t>
      </w:r>
      <w:r>
        <w:rPr>
          <w:rFonts w:ascii="Calibri" w:eastAsia="Times New Roman" w:hAnsi="Calibri" w:cs="Calibri"/>
          <w:color w:val="333333"/>
          <w:sz w:val="20"/>
          <w:szCs w:val="20"/>
        </w:rPr>
        <w:t>, 596 F.2d 924, 9CA (1979).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Eastman v. Stanley Works</w:t>
      </w:r>
      <w:r>
        <w:rPr>
          <w:rFonts w:ascii="Calibri" w:eastAsia="Times New Roman" w:hAnsi="Calibri" w:cs="Calibri"/>
          <w:color w:val="333333"/>
          <w:sz w:val="20"/>
          <w:szCs w:val="20"/>
        </w:rPr>
        <w:t>, 907 N.E.2d 768 (Ohio App. 2009).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Atlas Air v. General Electric</w:t>
      </w:r>
      <w:r>
        <w:rPr>
          <w:rFonts w:ascii="Calibri" w:eastAsia="Times New Roman" w:hAnsi="Calibri" w:cs="Calibri"/>
          <w:color w:val="333333"/>
          <w:sz w:val="20"/>
          <w:szCs w:val="20"/>
        </w:rPr>
        <w:t>, 16 A.D.3d 444 (N.Y.A.D. 2005).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Duffin v. Idaho Crop Imp. Ass’n</w:t>
      </w:r>
      <w:r>
        <w:rPr>
          <w:rFonts w:ascii="Calibri" w:eastAsia="Times New Roman" w:hAnsi="Calibri" w:cs="Calibri"/>
          <w:color w:val="333333"/>
          <w:sz w:val="20"/>
          <w:szCs w:val="20"/>
        </w:rPr>
        <w:t>, 895 P.2d 1195 (Idaho 1995).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Quinlivan Wexler LLP, “The 3rd Restatement of Torts—Shaping the Future of Products Liability Law,” June 1, 1999, accessed March 1, 2011,</w:t>
      </w:r>
      <w:hyperlink r:id="rId43" w:tgtFrame="_blank" w:history="1">
        <w:r>
          <w:rPr>
            <w:rStyle w:val="Hyperlink"/>
            <w:rFonts w:ascii="Calibri" w:eastAsia="Times New Roman" w:hAnsi="Calibri" w:cs="Calibri"/>
            <w:color w:val="2689C6"/>
            <w:sz w:val="20"/>
            <w:szCs w:val="20"/>
          </w:rPr>
          <w:t>http://library.findlaw.com/1999/Jun/1/127691.html</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17.5 Tort Reform</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29"/>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See why tort reform is advocated, why it is opposed, and what interests take each side.</w:t>
      </w:r>
    </w:p>
    <w:p w:rsidR="00A86150" w:rsidRDefault="00F714D4">
      <w:pPr>
        <w:numPr>
          <w:ilvl w:val="0"/>
          <w:numId w:val="429"/>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some of the significant state reforms in the last two decades.</w:t>
      </w:r>
    </w:p>
    <w:p w:rsidR="00A86150" w:rsidRDefault="00F714D4">
      <w:pPr>
        <w:numPr>
          <w:ilvl w:val="0"/>
          <w:numId w:val="429"/>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federal reforms have been instituted.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Cry for Reform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1988, The Conference Board published a study that resulted from a survey of more than 500 chief executive officers from large and small companies regarding the effects of products liability on their firms. The study concluded that US companies are less competitive in international business because of these effects and that products-liability laws must be reformed. The reform effort has been under way ever since, with varying degrees of alarms and finger-pointing as to who is to blame for the “tort crisis,” if there even is one. Business and professional groups beat the drums for tort reform as a means to guarantee “fairness” in the courts as well as spur US economic competitiveness in a global marketplace, while plaintiffs’ attorneys and consumer advocates claim that businesses simply want to externalize costs by denying recovery to victims of greed and carelessness.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Each side vilifies the other in very unseemly language: probusiness advocates call consumer-oriented states “judicial hell-holes” and complain of “well-orchestrated campaign[s] by tort lawyer lobbyists and allies to undo years of tort reform at the state level,”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while pro-plaintiff interests claim that there is “scant evidence” of any tort abuse.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It would be more amusing if it were not so shrill and partisan. Perhaps the most one can say with any certainty is that peoples’ perception of reality is highly colored by their self-interest. In any event, there have been reforms (or, as the detractors say, “deforms”).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Reforms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Prodded by astute lobbying by manufacturing and other business trade associations, state legislatures responded to the cries of manufacturers about the hardships that the judicial transformation of the products-liability lawsuit ostensibly worked on them. Most state legislatures have enacted at least one of some three dozen “reform” proposal pressed on them over the last two decades. Some of these measures do little more than affirm and clarify case law. Among the most that have passed in several states are outlined in the next sections.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Statutes of Repose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nothing so frightens the manufacturer as the occasional reports of cases involving products that were fifty or sixty years old or more at the time they injured the plaintiff. Many states have addressed this problem by enacting the so-called statute of repose. This statute establishes a time period, generally ranging from six to twelve years; the manufacturer is not liable for injuries caused by the product after this time has passed.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State-of-the-Art Defense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Several states have enacted laws that prevent advances in technology from being held against the manufacturer. The fear is that a plaintiff will convince a jury a product was defective because it did not use technology that was later available. Manufacturers have often failed to adopt new advances in technology for fear that the change will be held against them in a products-liability suit. These new statutes declare that a manufacturer has a valid defense if it would have been technologically impossible to have used the new and safer technology at the time the product was manufactured.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Failure to Warn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it is often easier to prove that an injury resulted because the manufacturer failed to warn against a certain use than it is to prove an injury was caused by a defective design, manufacturers are subjected to a considerable degree of hindsight. Some of the state statutes limit the degree to which the failure to warn can be used to connect the product and the injury. For example, the manufacturer has a valid defense if it would have been impossible to foresee that the consumer might misuse the product in a certain way.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Comparative Fault for Consumer Misuse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Contributory negligence is generally not a defense in a strict liability action, while assumption of risk is. In states that have enacted so-called comparative fault statutes, the user’s damages are pegged to the percentage of responsibility for the injury that the defendant bears. Thus if the consumer’s misuse of the product is assessed as having been 20 percent responsible for the accident (or for the extent of the injuries), the consumer is entitled to only 80 percent of damages, the amount for which the defendant manufacturer is responsible.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Criminal Penalties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all state reform is favorable to manufacturers. Under the California Corporate Criminal Liability Act, which took effect twenty years ago, companies and managers must notify a state regulatory agency if they know that a product they are selling in California has a safety defect, and the same rule applies under certain federal standards, as Toyota executives were informed by their lawyers following alarms about sudden acceleration in some Toyota automobiles. Failure to provide notice may result in corporate and individual criminal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Federal Reform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Piecemeal reform of products-liability law in each state has contributed to the basic lack of uniformity from state to state, giving it a crazy-quilt effect. In the nineteenth century, this might have made little difference, but today most manufacturers sell in the national market and are subjected to the varying requirements of the law in every state. For years there has been talk in and out of Congress of enacting a federal products-liability law that would include reforms adopted in many states, as discussed earlier. So far, these efforts have been without much success.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Congressional tort legislation is not the only possible federal action to cope with products-related injuries. In 1972, Congress created the Consumer Product Safety Commission (CPSC) and gave the commission broad power to act to prevent unsafe consumer products. The CPSC can issue mandatory safety standards governing design, construction, contents, performance, packaging, and labeling of more than 10,000 consumer products. It can recall unsafe products, recover costs on behalf of injured consumers, prosecute those who violate standards, and require manufacturers to issue warnings on hazardous products. It also regulates four federal laws previously administered by other departments: the Flammable Fabrics Act, the Hazardous Substances Act, the Poison Prevention Packaging Act, and the Refrigerator Safety Act. In its early years, the CPSC issued standards for bicycles, power mowers, television sets, architectural glass, extension cords, book matches, pool slides, and space heaters. But the list of products is long, and the CPSC’s record is mixed: it has come under fire for being short on regulation and for taking too long to promulgate the relatively few safety standards it has issued in a decade.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Business advocates claim the American tort system—products-liability law included—is broken and corrupted by grasping plaintiffs’ lawyers; plaintiffs’ lawyers say businesses are greedy and careless and need to be smacked into recognition of its responsibilities to be more careful. The debate rages on, decade after decade. But there have been some reforms at the state level, and at the federal level the Consumer Product Safety Act sets out standards for safe products and requires recalls for defective ones. It is regularly castigated for (1) being officious and meddling or (2) being too timid.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3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so difficult to determine if there really is a “tort crisis” in the United States?</w:t>
      </w:r>
    </w:p>
    <w:p w:rsidR="00A86150" w:rsidRDefault="00F714D4">
      <w:pPr>
        <w:numPr>
          <w:ilvl w:val="0"/>
          <w:numId w:val="43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reforms have been made to state tort law?</w:t>
      </w:r>
    </w:p>
    <w:p w:rsidR="00A86150" w:rsidRDefault="00F714D4">
      <w:pPr>
        <w:numPr>
          <w:ilvl w:val="0"/>
          <w:numId w:val="430"/>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federal legislation affects consumer safety?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American Tort Reform Association website, accessed March 1, 2011,</w:t>
      </w:r>
      <w:hyperlink r:id="rId44" w:tgtFrame="_blank" w:history="1">
        <w:r>
          <w:rPr>
            <w:rStyle w:val="Hyperlink"/>
            <w:rFonts w:ascii="Calibri" w:eastAsia="Times New Roman" w:hAnsi="Calibri" w:cs="Calibri"/>
            <w:color w:val="2689C6"/>
            <w:sz w:val="20"/>
            <w:szCs w:val="20"/>
          </w:rPr>
          <w:t>http://www.atra.org</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hyperlink r:id="rId45" w:tgtFrame="_blank" w:history="1">
        <w:r>
          <w:rPr>
            <w:rStyle w:val="Hyperlink"/>
            <w:rFonts w:ascii="Calibri" w:eastAsia="Times New Roman" w:hAnsi="Calibri" w:cs="Calibri"/>
            <w:color w:val="2689C6"/>
            <w:sz w:val="20"/>
            <w:szCs w:val="20"/>
          </w:rPr>
          <w:t>http://www.shragerlaw.com/html/legal_rights.html</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17.6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Implied Warranty of Merchantability and the Requirement of a “Sale”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Sheeskin v. Giant Food,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318 A.2d 874 (Md. App. 1974)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Davidson,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Every Friday for over two years Nathan Seigel, age 73, shopped with his wife at a Giant Food Store. This complex products liability case is before us because on one of these Fridays, 23 October 1970, Mr. Seigel was carrying a six-pack carton of Coca-Cola from a display bin at the Giant to a shopping cart when one or more of the bottles exploded. Mr. Seigel lost his footing, fell to the floor and was injured.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Circuit Court for Montgomery County, Mr. Seigel sued both the Giant Food, Inc., and the Washington Coca-Cola Bottling Company, Inc., for damages resulting from their alleged negligence and breach of an implied warranty. At the conclusion of the trial Judge Walter H. Moorman directed a verdict in favor of each defendant.…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action based on breach of warranty it is necessary for the plaintiff to show the existence of the warranty, the fact that the warranty was broken and that the breach of warranty was the proximate cause of the loss sustained. [UCC] 2-314.…The retailer, Giant Food, Inc., contends that appellant failed to prove that an implied warranty existed between himself and the retailer because he failed to prove that there was a sale by the retailer to him or a contract of sale between the two. The retailer maintains that there was no sale or contract of sale because at the time the bottles exploded Mr. Seigel had not yet paid for them. We do not agree.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[UCC] 2-314(1) states in pertinent part: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excluded or modified, a warranty that the goods shall be merchantable is implied </w:t>
      </w:r>
      <w:r>
        <w:rPr>
          <w:rFonts w:ascii="Georgia" w:eastAsia="Times New Roman" w:hAnsi="Georgia" w:cs="Calibri"/>
          <w:b/>
          <w:bCs/>
          <w:color w:val="333333"/>
          <w:sz w:val="20"/>
          <w:szCs w:val="20"/>
          <w:lang w:val="en"/>
        </w:rPr>
        <w:t>in a contract for their sale</w:t>
      </w:r>
      <w:r>
        <w:rPr>
          <w:rFonts w:ascii="Georgia" w:eastAsia="Times New Roman" w:hAnsi="Georgia" w:cs="Calibri"/>
          <w:color w:val="333333"/>
          <w:sz w:val="20"/>
          <w:szCs w:val="20"/>
          <w:lang w:val="en"/>
        </w:rPr>
        <w:t> if the seller is a merchant with respect to goods of that kind.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(emphasis added)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in order for the implied warranties of 2-314 to be applicable there must be a “contract for sale.” In Maryland it has been recognized that neither a completed ‘sale’ nor a fully executed contract for sale is required. It is enough that there be in existence an executory contract for sale.…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the plaintiff has the burden of showing the existence of the warranty by establishing that at the time the bottles exploded there was a contract for their sale existing between himself and the Giant. [Citation] Mr. Titus, the manager of the Giant, testified that the retailer is a “self-service” store in which “the only way a customer can buy anything is to select it himself and take it to the checkout counter.” He stated that there are occasions when a customer may select an item in the store and then change his mind and put the item back. There was no evidence to show that the retailer ever refused to sell an item to a customer once it had been selected by him or that the retailer did not consider himself bound to sell an item to the customer after the item had been selected. Finally, Mr. Titus said that an employee of Giant placed the six-pack of Coca-Cola selected by Mr. Seigel on the shelf with the purchase price already stamped upon it. Mr. Seigel testified that he picked up the six-pack with the intent to purchase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think that there is sufficient evidence to show that the retailer’s act of placing the bottles upon the shelf with the price stamped upon the six-pack in which they were contained manifested an intent to offer them for sale, the terms of the offer being that it would pass title to the goods when Mr. Seigel presented them at the check-out counter and paid the stated price in cash. We also think that the evidence is sufficient to show that Mr. Seigel’s act of taking physical possession of the goods with the intent to purchase them manifested an intent to accept the offer and a promise to take them to the checkout counter and pay for them there.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[UCC] 2-206 provides in pertinent part: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Unless otherwise unambiguously indicated by the language or circumstances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An offer to make a contract shall be construed as inviting acceptance in any manner and by any medium reasonable in the circumstances.…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Official Comment 1 to this section states: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reasonable manner of acceptance is intended to be regarded as available unless the offeror has made quite clear that it will not be acceptable.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our view the manner by which acceptance was to be accomplished in the transaction herein involved was not indicated by either language or circumstances. The seller did not make it clear that acceptance could not be accomplished by a promise rather than an act. Thus it is equally reasonable under the terms of this specific offer that acceptance could be accomplished in any of three ways: 1) by the act of delivering the goods to the check-out counter and paying for them; 2) by the promise to pay for the goods as evidenced by their physical delivery to the check-out counter; and 3) by the promise to deliver the goods to the check-out counter and to pay for them there as evidenced by taking physical possession of the goods by their removal from the shelf.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 that customers, having once selected goods with the intent to purchase them, are permitted by the seller to return them to the shelves does not preclude the possibility that a selection of the goods, as evidenced by taking physical possession of them, could constitute a reasonable mode of acceptance. Section 2-106(3) provides: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“Termination” occurs when either party pursuant to a power created by agreement or law puts an end to the contract otherwise then for its breach. On “termination” all obligations which are still executory on both sides are discharged but any right based on prior breach or performance survives.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the evidence that the retailer permits the customer to “change his mind” indicates only an agreement between the parties to permit the consumer to end his contract with the retailer irrespective of a breach of the agreement by the retailer. It does not indicate that an agreement does not exist prior to the exercise of this option by the consumer.…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Mr. Seigel testified that all of the circumstances surrounding his selection of the bottles were normal; that the carton in which the bottles came was not defective; that in lifting the carton from the shelf and moving it toward his basket the bottles neither touched nor were touched by anything other than his hand; that they exploded almost instantaneously after he removed them from the shelf; and that as a result of the explosion he fell injuring himself. It is obvious that Coca-Cola bottles which would break under normal handling are not fit for the ordinary use for which they were intended and that the relinquishment of physical control of such a defective bottle to a consumer constitutes a breach of warranty. Thus the evidence was sufficient to show that when the bottles left the retailer’s control they did not conform to the representations of the warranty of merchantability, and that this breach of the warranty was the cause of the loss sustained.…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[Judgment in favor of Giant Foods is reversed and the case remanded for a new trial. Judgment in favor of the bottler is affirmed because the plaintiff failed to prove that the bottles were defective when they were delivered to the retailer.]</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43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warranty did the plaintiff complain was breached here?</w:t>
      </w:r>
    </w:p>
    <w:p w:rsidR="00A86150" w:rsidRDefault="00F714D4">
      <w:pPr>
        <w:numPr>
          <w:ilvl w:val="0"/>
          <w:numId w:val="43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displaying the soda pop, the store made an offer to its customers. How did the court say such offers might be accepted?</w:t>
      </w:r>
    </w:p>
    <w:p w:rsidR="00A86150" w:rsidRDefault="00F714D4">
      <w:pPr>
        <w:numPr>
          <w:ilvl w:val="0"/>
          <w:numId w:val="43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get into the discussion about “termination” of the contract?</w:t>
      </w:r>
    </w:p>
    <w:p w:rsidR="00A86150" w:rsidRDefault="00F714D4">
      <w:pPr>
        <w:numPr>
          <w:ilvl w:val="0"/>
          <w:numId w:val="43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controlling rule of law applied in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Strict Liability and Bystanders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Embs v. Pepsi-Cola Bottling Co. of Lexington, Kentucky,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528 S.W.2d 703 (Ky. 1975)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Jukowsky,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afternoon of July 25, 1970 plaintiff-appellant entered the self-service retail store operated by the defendant-appellee, Stamper’s Cash Market, Inc., for the purpose of “buying soft drinks for the kids.” She went to an upright soft drink cooler, removed five bottles and placed them in a carton. Unnoticed by her, a carton of Seven-Up was sitting on the floor at the edge of the produce counter about one foot from where she was standing. As she turned away from the cooler she heard an explosion that sounded “like a shotgun.” When she looked down she saw a gash in her leg, pop on her leg, green pieces of a bottle on the floor and the Seven-Up carton in the midst of the debris. She did not kick or otherwise come into contact with the carton of Seven-Up prior to the explosion. Her son, who was with her, recognized the green pieces of glass as part of a Seven-Up bottle.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was immediately taken to the hospital by Mrs. Stamper, a managing agent of the store. Mrs. Stamper told her that a Seven-Up bottle had exploded and that several bottles had exploded that week. Before leaving the store Mrs. Stamper instructed one of her children to clean up the mess. Apparently, all of the physical evidence went out with the trash. The location of the Seven-Up carton immediately before the explosion was not a place where such items were ordinarily kept.…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she rested her case, the defendants-appellees moved for a directed verdict in their favor. The trial court granted the motion on the grounds that the doctrine of strict product liability in tort does not extend beyond users and consumers and that the evidence was insufficient to permit an inference by a reasonably prudent man that the bottle was defective or if it was, when it became so.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[Citation] we adopted the view of strict product liability in tort expressed in Section 402 A of the American Law Institute’s Restatement of Torts 2d.</w:t>
      </w:r>
    </w:p>
    <w:p w:rsidR="00A86150" w:rsidRDefault="00F714D4">
      <w:pPr>
        <w:shd w:val="clear" w:color="auto" w:fill="FFFFFF"/>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402 A. Special Liability of Seller of Product for Physical Harm to User or Consumer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One who sells any product in a defective condition unreasonably dangerous to the user or to his property is subject to liability for physical harm thereby caused to the ultimate user or consumer, or to his property, if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seller is engaged in the business of selling such a product,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it is expected to and does reach the user or consumer without substantial change in the condition in which it was sold.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The rule stated in Subsection (1) applies although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the seller has exercised all possible care in the preparation and sale of his product,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user or consumer has not bought the product from or entered into any contractual relation with the seller.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w:t>
      </w:r>
      <w:r>
        <w:rPr>
          <w:rFonts w:ascii="Georgia" w:eastAsia="Times New Roman" w:hAnsi="Georgia" w:cs="Calibri"/>
          <w:i/>
          <w:iCs/>
          <w:color w:val="333333"/>
          <w:sz w:val="20"/>
          <w:szCs w:val="20"/>
          <w:lang w:val="en"/>
        </w:rPr>
        <w:t>f</w:t>
      </w:r>
      <w:r>
        <w:rPr>
          <w:rFonts w:ascii="Georgia" w:eastAsia="Times New Roman" w:hAnsi="Georgia" w:cs="Calibri"/>
          <w:color w:val="333333"/>
          <w:sz w:val="20"/>
          <w:szCs w:val="20"/>
          <w:lang w:val="en"/>
        </w:rPr>
        <w:t> on that section makes it abundantly clear that this rule applies to any person engaged in the business of supplying products for use or consumption, including any manufacturer of such a product and any wholesale or retail dealer or distributor.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w:t>
      </w:r>
      <w:r>
        <w:rPr>
          <w:rFonts w:ascii="Georgia" w:eastAsia="Times New Roman" w:hAnsi="Georgia" w:cs="Calibri"/>
          <w:i/>
          <w:iCs/>
          <w:color w:val="333333"/>
          <w:sz w:val="20"/>
          <w:szCs w:val="20"/>
          <w:lang w:val="en"/>
        </w:rPr>
        <w:t>c</w:t>
      </w:r>
      <w:r>
        <w:rPr>
          <w:rFonts w:ascii="Georgia" w:eastAsia="Times New Roman" w:hAnsi="Georgia" w:cs="Calibri"/>
          <w:color w:val="333333"/>
          <w:sz w:val="20"/>
          <w:szCs w:val="20"/>
          <w:lang w:val="en"/>
        </w:rPr>
        <w:t> points out that on whatever theory, the justification for the rule has been said to be that the seller, by marketing his product for use and consumption, has undertaken and assumed a special responsibility toward any member of the consuming public who may be injured by it; that the public has the right to and does expect that reputable sellers will stand behind their goods; that public policy demands that the burden of accidental injuries caused by products intended for consumption be placed upon those who market them, and be treated as a cost of production against which liability insurance can be obtained; and that the consumer of such products is entitled to the maximum of protection at the hands of someone, and the proper persons to afford it are those who market the products.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caveat to the section provides that the Institute expresses no opinion as to whether the rule may not apply to harm to persons other than users or consumers. Comment on caveat </w:t>
      </w:r>
      <w:r>
        <w:rPr>
          <w:rFonts w:ascii="Georgia" w:eastAsia="Times New Roman" w:hAnsi="Georgia" w:cs="Calibri"/>
          <w:i/>
          <w:iCs/>
          <w:color w:val="333333"/>
          <w:sz w:val="20"/>
          <w:szCs w:val="20"/>
          <w:lang w:val="en"/>
        </w:rPr>
        <w:t>o</w:t>
      </w:r>
      <w:r>
        <w:rPr>
          <w:rFonts w:ascii="Georgia" w:eastAsia="Times New Roman" w:hAnsi="Georgia" w:cs="Calibri"/>
          <w:color w:val="333333"/>
          <w:sz w:val="20"/>
          <w:szCs w:val="20"/>
          <w:lang w:val="en"/>
        </w:rPr>
        <w:t> states the Institute expresses neither approval nor disapproval of expansion of the rule to permit recovery by casual bystanders and others who may come in contact with the product, and admits there may be no essential reason why such plaintiffs should not be brought within the scope of protection afforded, other than they do not have the same reasons for expecting such protection as the consumer who buys a marketed product, and that the social pressure which has been largely responsible for the development of the rule has been a consumer’s pressure, and there is not the same demand for the protection of casual strangers.…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caveat articulates the essential point: Once strict liability is accepted, bystander recovery is fait accompli.</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expressed public policy will be furthered if we minimize the risk of personal injury and property damage by charging the costs of injuries against the manufacturer who can procure liability insurance and distribute its expense among the public as a cost of doing business; and since the risk of harm from defective products exists for mere bystanders and passersby as well as for the purchaser or user, there is no substantial reason for protecting one class of persons and not the other. The same policy requires us to maximize protection for the injured third party and promote the public interest in discouraging the marketing of products having defects that are a menace to the public by imposing strict liability upon retailers and wholesalers in the distributive chain responsible for marketing the defective product which injures the bystander. The imposition of strict liability places no unreasonable burden upon sellers because they can adjust the cost of insurance protection among themselves in the course of their continuing business relationship.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must not shirk from extending the rule to the manufacturer for fear that the retailer or middleman will be impaled on the sword of liability without regard to fault. Their liability was already established under Section 402 A of the Restatement of Torts 2d. As a matter of public policy the retailer or middleman as well as the manufacturer should be liable since the loss for injuries resulting from defective products should be placed on those members of the marketing chain best able to pay the loss, who can then distribute such risk among themselves by means of insurance and indemnity agreements.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 which we reach does not give the bystander a “free ride.” When products and consumers are considered in the aggregate, bystanders, as a class, purchase most of the same products to which they are exposed as bystanders. Thus, as a class, they indirectly subsidize the liability of the manufacturer, middleman and retailer and in this sense do pay for the insurance policy tied to the product.…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sake of clarity we restate the extension of the rule. The protections of Section 402 A of the Restatement of Torts 2d extend to bystanders whose injury from the defective product is reasonably foreseeable.…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is reversed and the cause is remanded to the Clark Circuit Court for further proceedings consistent herewith.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Stephenson, J. (dissenting):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respectfully dissent from the majority opinion to the extent that it subjects the seller to liability. Every rule of law in my mind should have a rational basis. I see none here.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Liability of the seller to the user, or consumer, is based upon warranty. Restatement, Second, Torts s 403A. To extend this liability to injuries suffered by a bystander is to depart from any reasonable basis and impose liability by judicial fiat upon an otherwise innocent defendant. I do not believe that the expression in the majority opinion which justifies this rule for the reason that the seller may procure liability insurance protection is a valid legal basis for imposing liability without fault. I respectfully dissent.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43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didn’t the plaintiff here use warranty as a theory of recovery, as Mr. Seigel did in the previous case?</w:t>
      </w:r>
    </w:p>
    <w:p w:rsidR="00A86150" w:rsidRDefault="00F714D4">
      <w:pPr>
        <w:numPr>
          <w:ilvl w:val="0"/>
          <w:numId w:val="43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offers a rationale for the doctrine of strict products liability. What is it?</w:t>
      </w:r>
    </w:p>
    <w:p w:rsidR="00A86150" w:rsidRDefault="00F714D4">
      <w:pPr>
        <w:numPr>
          <w:ilvl w:val="0"/>
          <w:numId w:val="43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Restatement, Section 402A, by its terms extends protection “to the ultimate user or consumer,” but Mrs. Embs [plaintiff-appellant] was not that. What rationale did the court give for expanding the protection here?</w:t>
      </w:r>
    </w:p>
    <w:p w:rsidR="00A86150" w:rsidRDefault="00F714D4">
      <w:pPr>
        <w:numPr>
          <w:ilvl w:val="0"/>
          <w:numId w:val="43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Among the entities in the vertical distribution chain—manufacturer, wholesaler, retailer—who is liable under this doctrine?</w:t>
      </w:r>
    </w:p>
    <w:p w:rsidR="00A86150" w:rsidRDefault="00F714D4">
      <w:pPr>
        <w:numPr>
          <w:ilvl w:val="0"/>
          <w:numId w:val="43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argument did Judge Stephenson have in dissent? Is it a good one?</w:t>
      </w:r>
    </w:p>
    <w:p w:rsidR="00A86150" w:rsidRDefault="00F714D4">
      <w:pPr>
        <w:numPr>
          <w:ilvl w:val="0"/>
          <w:numId w:val="43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controlling rule of law developed in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Failure to Warn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Laaperi v. Sears, Roebuck &amp; Co.,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787 F.2d 726 C.A.1 (Mass. 1986)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Campbell,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March 1976, plaintiff Albin Laaperi purchased a smoke detector from Sears. The detector, manufactured by the Pittway Corporation, was designed to be powered by AC (electrical) current. Laaperi installed the detector himself in one of the two upstairs bedrooms in his home.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Early in the morning of December 27, 1976, a fire broke out in the Laaperi home. The three boys in one of the upstairs bedrooms were killed in the blaze. Laaperi’s 13-year-old daughter Janet, who was sleeping in the other upstairs bedroom, received burns over 12 percent of her body and was hospitalized for three weeks.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uncontroverted testimony at trial was that the smoke detector did not sound an alarm on the night of the fire. The cause of the fire was later found to be a short circuit in an electrical cord that was located in a cedar closet in the boys’ bedroom. The Laaperi home had two separate electrical circuits in the upstairs bedrooms: one which provided electricity to the outlets and one which powered the lighting fixtures. The smoke detector had been connected to the outlet circuit, which was the circuit that shorted and cut off. Because the circuit was shorted, the AC-operated smoke detector received no power on the night of the fire. Therefore, although the detector itself was in no sense defective (indeed, after the fire the charred detector was tested and found to be operable), no alarm sounded.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Laaperi brought this diversity action against defendants Sears and Pittway, asserting negligent design, negligent manufacture, breach of warranty, and negligent failure to warn of inherent dangers. The parties agreed that the applicable law is that of Massachusetts. Before the claims went to the jury, verdicts were directed in favor of defendants on all theories of liability other than failure to warn.…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Laaperi’s claim under the failure to warn theory was that he was unaware of the danger that the very short circuit which might ignite a fire in his home could, at the same time, incapacitate the smoke detector. He contended that had he been warned of this danger, he would have purchased a battery-powered smoke detector as a back-up or taken some other precaution, such as wiring the detector to a circuit of its own, in order better to protect his family in the event of an electrical fire.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jury returned verdicts in favor of Laaperi in all four actions on the failure to warn claim. The jury assessed damages in the amount of $350,000 [$1,050,000, or about $3,400,000 in 2010 dollars] each of the three actions brought on behalf of the deceased sons, and $750,000 [about $2,500,000 in 2010 dollars] in the action brought on behalf of Janet Laaperi. The defendants’ motions for directed verdict and judgment notwithstanding the verdict were denied, and defendants appealed.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ask us to declare that the risk that an electrical fire could incapacitate an AC-powered smoke detector is so obvious that the average consumer would not benefit from a warning. This is not a trivial argument; in earlier—some might say sounder—days, we might have accepted it.… Our sense of the current state of the tort law in Massachusetts and most other jurisdictions, however, leads us to conclude that, today, the matter before us poses a jury question; that “obviousness” in a situation such as this would be treated by the Massachusetts courts as presenting a question of fact, not of law. To be sure, it would be obvious to anyone that an electrical outage would cause this smoke detector to fail. But the average purchaser might not comprehend the specific danger that a fire-causing electrical problem can simultaneously knock out the circuit into which a smoke detector is wired, causing the detector to fail at the very moment it is needed. Thus, while the failure of a detector to function as the result of an electrical malfunction due, say, to a broken power line or a neighborhood power outage would, we think, be obvious as a matter of law, the failure that occurred here, being associated with the very risk—fire—for which the device was purchased, was not, or so a jury could find.…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defendants contend that the award of $750,000 [$2.5 million in 2010 dollars] in damages to Janet Laaperi was excessive, and should have been overturned by the district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Janet Laaperi testified that on the night of the fire, she woke up and smelled smoke. She woke her friend who was sleeping in her room, and they climbed out to the icy roof of the house. Her father grabbed her from the roof and took her down a ladder. She was taken to the hospital. Although she was in “mild distress,” she was found to be “alert, awake, [and] cooperative.” Her chest was clear. She was diagnosed as having first and second degree burns of her right calf, both buttocks and heels, and her left lower back, or approximately 12 percent of her total body area. She also suffered from a burn of her tracheobronchial mucosa (i.e</w:t>
      </w:r>
      <w:r>
        <w:rPr>
          <w:rFonts w:ascii="Georgia" w:eastAsia="Times New Roman" w:hAnsi="Georgia" w:cs="Calibri"/>
          <w:i/>
          <w:iCs/>
          <w:color w:val="333333"/>
          <w:sz w:val="20"/>
          <w:szCs w:val="20"/>
          <w:lang w:val="en"/>
        </w:rPr>
        <w:t>.,</w:t>
      </w:r>
      <w:r>
        <w:rPr>
          <w:rFonts w:ascii="Georgia" w:eastAsia="Times New Roman" w:hAnsi="Georgia" w:cs="Calibri"/>
          <w:color w:val="333333"/>
          <w:sz w:val="20"/>
          <w:szCs w:val="20"/>
          <w:lang w:val="en"/>
        </w:rPr>
        <w:t> the lining of her airway) due to smoke inhalation, and multiple superficial lacerations on her right hand.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jury undoubtedly, and understandably, felt a great deal of sympathy for a young girl who, at the age of 13, lost three brothers in a tragic fire. But by law the jury was only permitted to compensate her for those damages associated with her own injuries. Her injuries included fright and pain at the time of and after the fire, a three-week hospital stay, some minor discomfort for several weeks after discharge, and a permanent scar on her lower back. Plaintiff has pointed to no cases, and we have discovered none, in which such a large verdict was sustained for such relatively minor injuries, involving no continuing disability.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judgments in favor of Albin Laaperi in his capacity as administrator of the estates of his three sons are affirmed. In the action on behalf of Janet Laaperi, the verdict of the jury is set aside, the judgment of the district court vacated, and the cause remanded to that court for a new trial limited to the issue of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43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“C.A. 1” under the title of the case means it is a US Court of Appeals case from the First Circuit in Massachusetts. Why is this case in federal court?</w:t>
      </w:r>
    </w:p>
    <w:p w:rsidR="00A86150" w:rsidRDefault="00F714D4">
      <w:pPr>
        <w:numPr>
          <w:ilvl w:val="0"/>
          <w:numId w:val="43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court talk about its “sense of the current state of tort law in Massachusetts” and how this case “would be treated by the Massachusetts courts,” as if it were not in the state at all but somehow outside?</w:t>
      </w:r>
    </w:p>
    <w:p w:rsidR="00A86150" w:rsidRDefault="00F714D4">
      <w:pPr>
        <w:numPr>
          <w:ilvl w:val="0"/>
          <w:numId w:val="43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rule of law is in play here as to the defendants’ liability?</w:t>
      </w:r>
    </w:p>
    <w:p w:rsidR="00A86150" w:rsidRDefault="00F714D4">
      <w:pPr>
        <w:numPr>
          <w:ilvl w:val="0"/>
          <w:numId w:val="43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This is a tragic case—three boys died in a house fire. Speaking dispassionately—if not heartlessly—though, did the fire actually cost Mr. Laaperi, or did he lose $3.4 million (in 2010 dollars) as the result of his sons’ deaths? Does it make sense that he should become a millionaire as a result? Who ends up paying this amount? (The lawyers’ fees probably took about half.)</w:t>
      </w:r>
    </w:p>
    <w:p w:rsidR="00A86150" w:rsidRDefault="00F714D4">
      <w:pPr>
        <w:numPr>
          <w:ilvl w:val="0"/>
          <w:numId w:val="43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it likely that smoke-alarm manufactures and sellers changed the instructions as a result of this case?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2-316.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17.7</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Products liability describes a type of claim—for injury caused by a defective product—and not a separate theory of liability. In the typical case, three legal doctrines may be asserted: (1) warranty, (2) negligence, and (3) strict liability.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seller asserts that a product will perform in a certain manner or has certain characteristics, he has given an express warranty, and he will be held liable for damages if the warranty is breached—that is, if the goods do not live up to the warranty. Not every conceivable claim is an express warranty; the courts permit a certain degree of “puffing.”</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implied warranty is one created by law. Goods sold by a merchant-seller carry an implied warranty of merchantability, meaning that they must possess certain characteristics, such as being of average quality for the type described and being fit for the ordinary purposes for which they are intended.</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implied warranty of fitness for a particular purpose is created whenever a seller knows or has reason to know that the buyer is relying on the seller’s knowledge and skill to select a product for the buyer’s particular purposes.</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UCC Article 2, the seller also warrants that he is conveying good title and that the goods are free of any rightful claim by a third person.</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UCC Article 2 permits sellers to exclude or disclaim warranties in whole or in part. Thus a seller may exclude express warranties. He may also disclaim many implied warranties—for example, by noting that the sale is “as is.” The Magnuson-Moss Act sets out certain types of information that must be included in any written warranty. The act requires the manufacturer or seller to label the warranty as either “full” or “limited” depending on what types of defects are covered and what the customer must do to obtain repair or replacement. The act also abolishes “phantom warranties.”</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Privity once stood as a bar to recovery in suits brought by those one or more steps removed in the distribution chain from the party who breached a warranty. But the nearly universal trend in the state courts has been to abolish privity as a defense.</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various impediments stand in the way of warranty suits, courts have adopted a tort theory of strict liability, under which a seller is liable for injuries resulting from the sale of any product in a defective condition if it is unreasonably dangerous to the user or consumer. Typical issues in strict liability cases are these: Is the defendant a seller engaged in the business of selling? Was the product sold in a defective condition? Was it unreasonably dangerous, either on its face or because of a failure to warn? Did the product reach the consumer in an unchanged condition? Strict liability applies regardless of how careful the seller was and regardless of his lack of contractual relation with the consumer or user.</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Manufacturers can also be held liable for negligence—most often for faulty design of products and inadequate warnings about the hazards of using the product.</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products-liability revolution prompted many state legislatures to enact certain laws limiting to some degree the manufacturer’s responsibility for defective products. These laws include statutes of repose and provide a number of other defenses.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Ralph’s Hardware updated its accounting system and agreed to purchase a computer system from a manufacturer, Bits and Bytes (BB). During contract negotiations, BB’s sales representative promised that the system was “A-1” and “perfect.” However, the written contract, which the parties later signed, disclaimed all warranties, express and implied. After installation the computer produced only random numbers and letters, rather than the desired accounting information. Is BB liable for breaching an express warranty?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Kate owned a small grocery store. One day John went to the store and purchased a can of chip dip that was, unknown to Kate or John, adulterated. John became seriously ill after eating the dip and sued Kate for damages on the grounds that she breached an implied warranty of merchantability. Is Kate liable?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Carrie visited a neighborhood store to purchase some ham, which a salesperson cut by machine in the store. The next day she made a ham sandwich. In eating the sandwich, Carrie bit into a piece of cartilage in the ham. As a result, Carrie lost a tooth, had to undergo root canal treatments, and must now wear a full-coverage crown to replace the tooth. Is the store liable for the damage?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Clarence, a business executive, decided to hold a garage sale. At the sale, his neighbor Betty mentioned to Clarence that she was the catcher on her city-league baseball team and was having trouble catching knuckleball pitches, which required a special catcher’s mitt. Clarence pulled an old mitt from a pile of items that were on sale and said, “Here, try this.” Betty purchased the mitt but discovered during her next game that it didn’t work. Has Clarence breached an express or implied warranty?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Sarah purchased several elegant picture frames to hang in her dorm room. She also purchased a package of self-sticking hangers. Late one evening, while Sarah was studying business law in the library, the hangers came loose and her frames came crashing to the floor. After Sarah returned to her room and discovered the rubble, she examined the box in which the hangers were packaged and found the following language: “There are no warranties except for the description on this package and specifically there is NO IMPLIED WARRANTY OF MERCHANTABILITY.” Assuming the hangers are not of fair, average, ordinary quality, would the hanger company be liable for breaching an implied warranty of merchantability?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thirteen-year-old boy received a Golfing Gizmo—a device for training novice golfers—as a gift from his mother. The label on the shipping carton and the cover of the instruction booklet urged players to “drive the ball with full power” and further stated: “COMPLETELY SAFE BALL WILL NOT HIT PLAYER.” But while using the device, the boy was hit in the eye by the ball. Should lack of privity be a defense to the manufacturer? The manufacturer argued that the Gizmo was a “completely safe” training device only when the ball is hit squarely, and—the defendant argued—plaintiffs could not reasonably expect the Gizmo to be “completely safe” under all circumstances, particularly those in which the player hits beneath the ball. What legal argument is this, and is it valid?</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bank repossessed a boat and sold it to Donald. During the negotiations with Donald, Donald stated that he wanted to use the boat for charter service in Florida. The bank officers handling the sale made no representations concerning the boat during negotiations. Donald later discovered that the boat was defective and sued the bank for breach of warranty. Is the bank liable? Why?</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Tom Anderson, the produce manager at the Thriftway Market in Pasco, Washington, removed a box of bananas from the top of a stack of produce. When he reached for a lug of radishes that had been under the bananas, a six-inch spider—</w:t>
      </w:r>
      <w:r>
        <w:rPr>
          <w:rFonts w:ascii="Calibri" w:eastAsia="Times New Roman" w:hAnsi="Calibri" w:cs="Calibri"/>
          <w:i/>
          <w:iCs/>
          <w:color w:val="333333"/>
          <w:sz w:val="20"/>
          <w:szCs w:val="20"/>
        </w:rPr>
        <w:t>Heteropoda venatoria</w:t>
      </w:r>
      <w:r>
        <w:rPr>
          <w:rFonts w:ascii="Calibri" w:eastAsia="Times New Roman" w:hAnsi="Calibri" w:cs="Calibri"/>
          <w:color w:val="333333"/>
          <w:sz w:val="20"/>
          <w:szCs w:val="20"/>
        </w:rPr>
        <w:t>, commonly called a banana spider—leaped from some wet burlap onto his left hand and bit him. Nine months later he died of heart failure. His wife brought an action against Associated Grocers, parent company of Thriftway Market, on theories of (1) strict products liability under Restatement, Section 402(a); (2) breach of the implied warranty of merchantability; and (3) negligence. The trial court ruled against the plaintiff on all three theories. Was that a correct ruling? Explain.</w:t>
      </w:r>
    </w:p>
    <w:p w:rsidR="00A86150" w:rsidRDefault="00F714D4">
      <w:pPr>
        <w:numPr>
          <w:ilvl w:val="0"/>
          <w:numId w:val="43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broken water pipe flooded a switchboard at RCA’s office. The flood tripped the switchboard circuit breakers and deactivated the air-conditioning system. Three employees were assigned to fix it: an electrical technician with twelve years on-the-job training, a licensed electrician, and an electrical engineer with twenty years of experience who had studied power engineering in college. They switched on one of the circuit breakers, although the engineer said he knew that one was supposed to test the operation of a wet switchboard before putting it back into use. There was a “snap” and everyone ran from the room up the stairs and a “big ball of fire” came after them up the stairs. The plaintiffs argued that the manufacturer of the circuit breaker had been negligent in failing to give RCA adequate warnings about the circuit breakers. How should the court rule, and on what theory should it rule?</w:t>
      </w:r>
    </w:p>
    <w:p w:rsidR="00A86150" w:rsidRDefault="00F714D4">
      <w:pPr>
        <w:numPr>
          <w:ilvl w:val="0"/>
          <w:numId w:val="434"/>
        </w:numPr>
        <w:shd w:val="clear" w:color="auto" w:fill="E3EFF7"/>
        <w:tabs>
          <w:tab w:val="clear" w:pos="720"/>
          <w:tab w:val="num" w:pos="144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Plaintiff’s business was to convert vans to RVs, and for this purpose it had used a 3M adhesive to laminate carpeting to the van walls. This adhesive, however, failed to hold the fabric in place in hot weather, so Plaintiff approached Northern Adhesive Co., a manufacturer of adhesives, to find a better one. Plaintiff told Northern why it wanted the adhesive, and Northern—Defendant—sent several samples to Plaintiff to experiment with. Northern told Plaintiff that one of the adhesives, Adhesive 7448, was “a match” for the 3M product that previously failed. Plaintiff tested the samples in a cool plant and determined that Adhesive 7448 was better than the 3M product. Defendant had said nothing except that “what they would ship would be like the sample. It would be the same chemistry.” Plaintiff used the adhesive during the fall and winter; by spring complaints of delamination came in: Adhesive 7448 failed just as the 3M product had. Over 500 vans had to be repaired. How should the court rule on Plaintiff’s claims of breach of (1) express warranty, (2) implied warranty of merchantability, and (3) implied warranty of fitness for a particular purpose?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435"/>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a products-liability case</w:t>
      </w:r>
    </w:p>
    <w:p w:rsidR="00A86150" w:rsidRDefault="00F714D4">
      <w:pPr>
        <w:pStyle w:val="ListParagraph"/>
        <w:numPr>
          <w:ilvl w:val="0"/>
          <w:numId w:val="43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tort theories are typically asserted</w:t>
      </w:r>
    </w:p>
    <w:p w:rsidR="00A86150" w:rsidRDefault="00F714D4">
      <w:pPr>
        <w:pStyle w:val="ListParagraph"/>
        <w:numPr>
          <w:ilvl w:val="0"/>
          <w:numId w:val="43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tort and contract theories are typically asserted</w:t>
      </w:r>
    </w:p>
    <w:p w:rsidR="00A86150" w:rsidRDefault="00F714D4">
      <w:pPr>
        <w:pStyle w:val="ListParagraph"/>
        <w:numPr>
          <w:ilvl w:val="0"/>
          <w:numId w:val="43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strict liability is asserted only when negligence is not asserted</w:t>
      </w:r>
    </w:p>
    <w:p w:rsidR="00A86150" w:rsidRDefault="00F714D4">
      <w:pPr>
        <w:pStyle w:val="ListParagraph"/>
        <w:numPr>
          <w:ilvl w:val="0"/>
          <w:numId w:val="43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breach of warranty is not asserted along with strict liability</w:t>
      </w:r>
    </w:p>
    <w:p w:rsidR="00A86150" w:rsidRDefault="00F714D4">
      <w:pPr>
        <w:numPr>
          <w:ilvl w:val="0"/>
          <w:numId w:val="437"/>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implied warranty of merchantability</w:t>
      </w:r>
    </w:p>
    <w:p w:rsidR="00A86150" w:rsidRDefault="00F714D4">
      <w:pPr>
        <w:pStyle w:val="ListParagraph"/>
        <w:numPr>
          <w:ilvl w:val="0"/>
          <w:numId w:val="43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created by an express warranty</w:t>
      </w:r>
    </w:p>
    <w:p w:rsidR="00A86150" w:rsidRDefault="00F714D4">
      <w:pPr>
        <w:pStyle w:val="ListParagraph"/>
        <w:numPr>
          <w:ilvl w:val="0"/>
          <w:numId w:val="43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created by law</w:t>
      </w:r>
    </w:p>
    <w:p w:rsidR="00A86150" w:rsidRDefault="00F714D4">
      <w:pPr>
        <w:pStyle w:val="ListParagraph"/>
        <w:numPr>
          <w:ilvl w:val="0"/>
          <w:numId w:val="43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impossible for a seller to disclaim</w:t>
      </w:r>
    </w:p>
    <w:p w:rsidR="00A86150" w:rsidRDefault="00F714D4">
      <w:pPr>
        <w:pStyle w:val="ListParagraph"/>
        <w:numPr>
          <w:ilvl w:val="0"/>
          <w:numId w:val="43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be disclaimed by a seller only if the disclaimer is in writing</w:t>
      </w:r>
    </w:p>
    <w:p w:rsidR="00A86150" w:rsidRDefault="00F714D4">
      <w:pPr>
        <w:numPr>
          <w:ilvl w:val="0"/>
          <w:numId w:val="439"/>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possible defense to breach of warranty is</w:t>
      </w:r>
    </w:p>
    <w:p w:rsidR="00A86150" w:rsidRDefault="00F714D4">
      <w:pPr>
        <w:pStyle w:val="ListParagraph"/>
        <w:numPr>
          <w:ilvl w:val="0"/>
          <w:numId w:val="44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lack of privity</w:t>
      </w:r>
    </w:p>
    <w:p w:rsidR="00A86150" w:rsidRDefault="00F714D4">
      <w:pPr>
        <w:pStyle w:val="ListParagraph"/>
        <w:numPr>
          <w:ilvl w:val="0"/>
          <w:numId w:val="44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absence of an express warranty</w:t>
      </w:r>
    </w:p>
    <w:p w:rsidR="00A86150" w:rsidRDefault="00F714D4">
      <w:pPr>
        <w:pStyle w:val="ListParagraph"/>
        <w:numPr>
          <w:ilvl w:val="0"/>
          <w:numId w:val="44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disclaimer of implied warranties</w:t>
      </w:r>
    </w:p>
    <w:p w:rsidR="00A86150" w:rsidRDefault="00F714D4">
      <w:pPr>
        <w:pStyle w:val="ListParagraph"/>
        <w:numPr>
          <w:ilvl w:val="0"/>
          <w:numId w:val="44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441"/>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strict liability rule in Restatement, Section 402A, the seller is liable for all injuries resulting from a product</w:t>
      </w:r>
    </w:p>
    <w:p w:rsidR="00A86150" w:rsidRDefault="00F714D4">
      <w:pPr>
        <w:pStyle w:val="ListParagraph"/>
        <w:numPr>
          <w:ilvl w:val="0"/>
          <w:numId w:val="44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even though all possible care has been exercised</w:t>
      </w:r>
    </w:p>
    <w:p w:rsidR="00A86150" w:rsidRDefault="00F714D4">
      <w:pPr>
        <w:pStyle w:val="ListParagraph"/>
        <w:numPr>
          <w:ilvl w:val="0"/>
          <w:numId w:val="44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regardless of the lack of a contract with the user</w:t>
      </w:r>
    </w:p>
    <w:p w:rsidR="00A86150" w:rsidRDefault="00F714D4">
      <w:pPr>
        <w:pStyle w:val="ListParagraph"/>
        <w:numPr>
          <w:ilvl w:val="0"/>
          <w:numId w:val="44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both of the above situations</w:t>
      </w:r>
    </w:p>
    <w:p w:rsidR="00A86150" w:rsidRDefault="00F714D4">
      <w:pPr>
        <w:pStyle w:val="ListParagraph"/>
        <w:numPr>
          <w:ilvl w:val="0"/>
          <w:numId w:val="44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none of the above situations</w:t>
      </w:r>
    </w:p>
    <w:p w:rsidR="00A86150" w:rsidRDefault="00F714D4">
      <w:pPr>
        <w:numPr>
          <w:ilvl w:val="0"/>
          <w:numId w:val="443"/>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individual selling her car could be liable</w:t>
      </w:r>
    </w:p>
    <w:p w:rsidR="00A86150" w:rsidRDefault="00F714D4">
      <w:pPr>
        <w:pStyle w:val="ListParagraph"/>
        <w:numPr>
          <w:ilvl w:val="0"/>
          <w:numId w:val="44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breaching the implied warranty of merchantability</w:t>
      </w:r>
    </w:p>
    <w:p w:rsidR="00A86150" w:rsidRDefault="00F714D4">
      <w:pPr>
        <w:pStyle w:val="ListParagraph"/>
        <w:numPr>
          <w:ilvl w:val="0"/>
          <w:numId w:val="44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strict liability theory</w:t>
      </w:r>
    </w:p>
    <w:p w:rsidR="00A86150" w:rsidRDefault="00F714D4">
      <w:pPr>
        <w:pStyle w:val="ListParagraph"/>
        <w:numPr>
          <w:ilvl w:val="0"/>
          <w:numId w:val="44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breaching the implied warranty of fitness</w:t>
      </w:r>
    </w:p>
    <w:p w:rsidR="00A86150" w:rsidRDefault="00F714D4">
      <w:pPr>
        <w:pStyle w:val="ListParagraph"/>
        <w:numPr>
          <w:ilvl w:val="0"/>
          <w:numId w:val="444"/>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two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4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numPr>
          <w:ilvl w:val="0"/>
          <w:numId w:val="4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numPr>
          <w:ilvl w:val="0"/>
          <w:numId w:val="4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44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445"/>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18</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3"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Intellectual Property</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446"/>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 kinds of intellectual property</w:t>
      </w:r>
    </w:p>
    <w:p w:rsidR="00A86150" w:rsidRDefault="00F714D4">
      <w:pPr>
        <w:numPr>
          <w:ilvl w:val="0"/>
          <w:numId w:val="446"/>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difference between patents and trade secrets, and why a company might choose to rely on trade secrets rather than obtain a patent</w:t>
      </w:r>
    </w:p>
    <w:p w:rsidR="00A86150" w:rsidRDefault="00F714D4">
      <w:pPr>
        <w:numPr>
          <w:ilvl w:val="0"/>
          <w:numId w:val="446"/>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copyrights are, how to obtain them, and how they differ from trademarks</w:t>
      </w:r>
    </w:p>
    <w:p w:rsidR="00A86150" w:rsidRDefault="00F714D4">
      <w:pPr>
        <w:numPr>
          <w:ilvl w:val="0"/>
          <w:numId w:val="446"/>
        </w:numPr>
        <w:shd w:val="clear" w:color="auto" w:fill="EAE9DC"/>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some “marks” may not be eligible for trademark protection, and how to obtain trademark protection for those that are</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Few businesses of any size could operate without being able to protect their rights to a particular type of intangible personal property: </w:t>
      </w:r>
      <w:r>
        <w:rPr>
          <w:rFonts w:ascii="Georgia" w:eastAsia="Times New Roman" w:hAnsi="Georgia" w:cs="Times New Roman"/>
          <w:color w:val="333333"/>
          <w:sz w:val="20"/>
          <w:szCs w:val="20"/>
        </w:rPr>
        <w:t>intellectual property</w:t>
      </w:r>
      <w:r>
        <w:rPr>
          <w:rFonts w:ascii="Georgia" w:eastAsia="Times New Roman" w:hAnsi="Georgia" w:cs="Times New Roman"/>
          <w:color w:val="333333"/>
          <w:sz w:val="21"/>
          <w:szCs w:val="21"/>
        </w:rPr>
        <w:t>. The major forms of intellectual property are patents, copyrights, and trademarks. Unlike tangible personal property (machines, inventory) or real property (land, office buildings), intellectual property is formless. It is the product of the human intellect that is embodied in the goods and services a company offers and by which the company is known.</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w:t>
      </w:r>
      <w:r>
        <w:rPr>
          <w:rFonts w:ascii="Georgia" w:eastAsia="Times New Roman" w:hAnsi="Georgia" w:cs="Times New Roman"/>
          <w:color w:val="333333"/>
          <w:sz w:val="20"/>
          <w:szCs w:val="20"/>
        </w:rPr>
        <w:t>patent</w:t>
      </w:r>
      <w:r>
        <w:rPr>
          <w:rFonts w:ascii="Georgia" w:eastAsia="Times New Roman" w:hAnsi="Georgia" w:cs="Times New Roman"/>
          <w:color w:val="333333"/>
          <w:sz w:val="21"/>
          <w:szCs w:val="21"/>
        </w:rPr>
        <w:t> is a grant from government that gives an inventor the exclusive right to make, use, and sell an invention for a period of twenty years from the date of filing the application for a patent. A </w:t>
      </w:r>
      <w:r>
        <w:rPr>
          <w:rFonts w:ascii="Georgia" w:eastAsia="Times New Roman" w:hAnsi="Georgia" w:cs="Times New Roman"/>
          <w:color w:val="333333"/>
          <w:sz w:val="20"/>
          <w:szCs w:val="20"/>
        </w:rPr>
        <w:t>copyright</w:t>
      </w:r>
      <w:r>
        <w:rPr>
          <w:rFonts w:ascii="Georgia" w:eastAsia="Times New Roman" w:hAnsi="Georgia" w:cs="Times New Roman"/>
          <w:color w:val="333333"/>
          <w:sz w:val="21"/>
          <w:szCs w:val="21"/>
        </w:rPr>
        <w:t> is the right to exclude others from using or marketing forms of expression. A </w:t>
      </w:r>
      <w:r>
        <w:rPr>
          <w:rFonts w:ascii="Georgia" w:eastAsia="Times New Roman" w:hAnsi="Georgia" w:cs="Times New Roman"/>
          <w:color w:val="333333"/>
          <w:sz w:val="20"/>
          <w:szCs w:val="20"/>
        </w:rPr>
        <w:t>trademark</w:t>
      </w:r>
      <w:r>
        <w:rPr>
          <w:rFonts w:ascii="Georgia" w:eastAsia="Times New Roman" w:hAnsi="Georgia" w:cs="Times New Roman"/>
          <w:color w:val="333333"/>
          <w:sz w:val="21"/>
          <w:szCs w:val="21"/>
        </w:rPr>
        <w:t> is the right to prevent others from using a company’s product name, slogan, or identifying design. Other forms of intellectual property are trade secrets (particular kinds of information of commercial use to a company that created it) and right of publicity (the right to exploit a person’s name or image). Note that the property interest protected in each case is not the tangible copy of the invention or writing—not the machine with a particular serial number or the book lying on someone’s shelf—but the invention or words themselves. That is why intellectual property is said to be intangible: it is a right to exclude any others from gaining economic benefit from your own intellectual creation. In this chapter, we examine how Congress, the courts, and the Patent and Trademark Office have worked to protect the major types of intellectual property.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18.1 Patents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47"/>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Congress would grant exclusive monopolies (patents) for certain periods of time.</w:t>
      </w:r>
    </w:p>
    <w:p w:rsidR="00A86150" w:rsidRDefault="00F714D4">
      <w:pPr>
        <w:numPr>
          <w:ilvl w:val="0"/>
          <w:numId w:val="447"/>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what kinds of things may be patentable and what kinds of things may not be patentable.</w:t>
      </w:r>
    </w:p>
    <w:p w:rsidR="00A86150" w:rsidRDefault="00F714D4">
      <w:pPr>
        <w:numPr>
          <w:ilvl w:val="0"/>
          <w:numId w:val="447"/>
        </w:numPr>
        <w:shd w:val="clear" w:color="auto" w:fill="EAE9DC"/>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procedures for obtaining a patent, and how patent rights may be an issue where the invention is created by an employee.</w:t>
      </w:r>
    </w:p>
    <w:p w:rsidR="00A86150" w:rsidRDefault="00F714D4">
      <w:pPr>
        <w:numPr>
          <w:ilvl w:val="0"/>
          <w:numId w:val="447"/>
        </w:numPr>
        <w:shd w:val="clear" w:color="auto" w:fill="EAE9DC"/>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who can sue for patent infringement, on what basis, and with what potential remedies.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 of Authority and Duration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Patent and copyright law are federal, enacted by Congress under the power given by Article I of the Constitution “to promote the Progress of Science and useful Arts, by securing for limited Times to Authors and Inventors the exclusive Right to their respective Writings and Discoveries.” Under current law, a patent gives an inventor exclusive rights to make, use, or sell an invention for twenty years. (If the patent is a design patent—protecting the appearance rather than the function of an item—the period is fourteen years.) In return for this limited monopoly, the inventor must fully disclose, in papers filed in the US Patent and Trademark Office (PTO), a complete description of the invention.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May Be Patented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patent law says that “any new and useful process, machine, manufacture, or composition of matter, or any new and useful improvement thereof” may be patented.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process is a “process, art or method, and includes a new use of a known process, machine, manufacture, composition of matter, or material.”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A process for making rolled steel, for example, qualifies as a patentable process under the statute. A machine is a particular apparatus for achieving a certain result or carrying out a distinct process—lathes, printing presses, motors, and the cotton gin are all examples of the hundreds of thousands of machines that have received US patents since the first Patent Act in 1790. A manufacture is an article or a product, such as a television, an automobile, a telephone, or a lightbulb. A composition of matter is a new arrangement of elements so that the resulting compound, such as a metal alloy, is not found in nature. In</w:t>
      </w:r>
      <w:r>
        <w:rPr>
          <w:rFonts w:ascii="Georgia" w:eastAsia="Times New Roman" w:hAnsi="Georgia" w:cs="Calibri"/>
          <w:i/>
          <w:iCs/>
          <w:color w:val="333333"/>
          <w:sz w:val="20"/>
          <w:szCs w:val="20"/>
          <w:lang w:val="en"/>
        </w:rPr>
        <w:t>Commissioner of Patents v. Chakrabarty</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Supreme Court said that even living organisms—in particular, a new “genetically engineered” bacterium that could “eat” oil spills—could be patented. The </w:t>
      </w:r>
      <w:r>
        <w:rPr>
          <w:rFonts w:ascii="Georgia" w:eastAsia="Times New Roman" w:hAnsi="Georgia" w:cs="Calibri"/>
          <w:i/>
          <w:iCs/>
          <w:color w:val="333333"/>
          <w:sz w:val="20"/>
          <w:szCs w:val="20"/>
          <w:lang w:val="en"/>
        </w:rPr>
        <w:t>Chakrabarty</w:t>
      </w:r>
      <w:r>
        <w:rPr>
          <w:rFonts w:ascii="Georgia" w:eastAsia="Times New Roman" w:hAnsi="Georgia" w:cs="Calibri"/>
          <w:color w:val="333333"/>
          <w:sz w:val="20"/>
          <w:szCs w:val="20"/>
          <w:lang w:val="en"/>
        </w:rPr>
        <w:t> decision has spawned innovation: a variety of small biotechnology firms have attracted venture capitalists and other investors.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the PTO, gene sequences are patentable subject matter, provided they are isolated from their natural state and processed in a way that separates them from other molecules naturally occurring with them. Gene patenting, always controversial, generated new controversy when the PTO issued a patent to Human Genome Sciences, Inc. for a gene found to serve as a platform from which the AIDS virus can infect cells of the body. Critics faulted the PTO for allowing “ownership” of a naturally occurring human gene and for issuing patents without requiring a showing of the gene’s utility. New guidelines from the PTO followed in 2000; these focused on requiring the applicant to make a strong showing on the utility aspect of patentability and somewhat diminished the rush of biotech patent requests.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still other categories of patentable subjects. An improvement is an alteration of a process, machine, manufacture, or composition of matter that satisfies one of the tests for patentability given later in this section. New, original ornamental designs for articles of manufacture are patentable (e.g., the shape of a lamp); works of art are not patentable but are protected under the copyright law. New varieties of cultivated or hybridized plants are also patentable, as are genetically modified strains of soybean, corn, or other crops.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May Not Be Patented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things can be patented, but not (1) the laws of nature, (2) natural phenomena, and (3) abstract ideas, including algorithms (step-by-step formulas for accomplishing a specific task).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frequently asked question is whether patents can be issued for computer software. The PTO was reluctant to do so at first, based on the notion that computer programs were not “novel”—the software program either incorporated automation of manual processes or used mathematical equations (which were not patentable). But in 1998, the Supreme Court held in </w:t>
      </w:r>
      <w:r>
        <w:rPr>
          <w:rFonts w:ascii="Georgia" w:eastAsia="Times New Roman" w:hAnsi="Georgia" w:cs="Calibri"/>
          <w:i/>
          <w:iCs/>
          <w:color w:val="333333"/>
          <w:sz w:val="20"/>
          <w:szCs w:val="20"/>
          <w:lang w:val="en"/>
        </w:rPr>
        <w:t>Diamond v. Diehr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that patents could be obtained for a process that incorporated a computer program if the process itself was patentable.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business process can also be patentable, as the US Court of Appeals for the Federal Circuit ruled in 1998 in </w:t>
      </w:r>
      <w:r>
        <w:rPr>
          <w:rFonts w:ascii="Georgia" w:eastAsia="Times New Roman" w:hAnsi="Georgia" w:cs="Calibri"/>
          <w:i/>
          <w:iCs/>
          <w:color w:val="333333"/>
          <w:sz w:val="20"/>
          <w:szCs w:val="20"/>
          <w:lang w:val="en"/>
        </w:rPr>
        <w:t>State Street Bank and Trust v. Signature Financial Group, Inc</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Signature Financial had a patent for a computerized accounting system that determined share prices through a series of mathematical calculations that would help manage mutual funds. State Street sued to challenge that patent. Signature argued that its model and process was protected, and the court of appeals upheld it as a “practical application of a mathematical, algorithm, formula, or calculation,” because it produces a “useful, concrete and tangible result.” Since </w:t>
      </w:r>
      <w:r>
        <w:rPr>
          <w:rFonts w:ascii="Georgia" w:eastAsia="Times New Roman" w:hAnsi="Georgia" w:cs="Calibri"/>
          <w:i/>
          <w:iCs/>
          <w:color w:val="333333"/>
          <w:sz w:val="20"/>
          <w:szCs w:val="20"/>
          <w:lang w:val="en"/>
        </w:rPr>
        <w:t>State Street</w:t>
      </w:r>
      <w:r>
        <w:rPr>
          <w:rFonts w:ascii="Georgia" w:eastAsia="Times New Roman" w:hAnsi="Georgia" w:cs="Calibri"/>
          <w:color w:val="333333"/>
          <w:sz w:val="20"/>
          <w:szCs w:val="20"/>
          <w:lang w:val="en"/>
        </w:rPr>
        <w:t>, many other firms have applied for business process patents. For example, Amazon.com obtained a business process patent for its “one-click” ordering system, a method of processing credit-card orders securely. (But see </w:t>
      </w:r>
      <w:r>
        <w:rPr>
          <w:rFonts w:ascii="Georgia" w:eastAsia="Times New Roman" w:hAnsi="Georgia" w:cs="Calibri"/>
          <w:i/>
          <w:iCs/>
          <w:color w:val="333333"/>
          <w:sz w:val="20"/>
          <w:szCs w:val="20"/>
          <w:lang w:val="en"/>
        </w:rPr>
        <w:t>Amazon.com v. Barnesandnoble.com</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in which the court of appeals rejected Amazon’s challenge to Barnesandnoble.com using its Express Land one-click ordering system.)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Tests for Patentability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because an invention falls within one of the categories of patentable subjects, it is not necessarily patentable. The Patent Act and judicial interpretations have established certain tests that must first be met. To approve a patent application, the PTO (as part of the Department of Commerce) will require that the invention, discovery, or process be novel, useful, and nonobvious in light of current technology.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the most significant test of patentability is that of obviousness. The act says that no invention may be patented “if the differences between the subject matter sought to be patented and the prior art are such that the subject matter as a whole would have been obvious at the time the invention was made to a person having ordinary skill in the art to which said subject matter pertains.” This provision of the law has produced innumerable court cases, especially over improvement patents, when those who wish to use an invention on which a patent has been issued have refused to pay royalties on the grounds that the invention was obvious to anyone who looked.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Procedures for Obtaining a Patent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the United States (unlike many other countries) grants a patent right to the first person to invent a product or process rather than to the first person to file for a patent on that product or process. As a practical matter, however, someone who invents a product or process but does not file immediately should keep detailed research notes or other evidence that would document the date of invention. An inventor who fails to apply for a patent within a year of that date would forfeit the rights granted to an inventor who had published details of the invention or offered it for sale. But until the year has passed, the PTO may not issue a patent to X if Y has described the invention in a printed publication here or abroad or the invention has been in public use or on sale in this country.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inventor cannot obtain a patent automatically; obtaining a patent is an expensive and time-consuming process, and the inventor will need the services of a patent attorney, a highly specialized practitioner. The attorney will help develop the required specification, a description of the invention that gives enough detail so that one skilled in the art will be able to make and use the invention. After receiving an application, a PTO examiner will search the records and accept or reject the claim. Usually, the attorney will negotiate with the examiner and will rewrite and refine the application until it is accepted. A rejection may be appealed, first to the PTO’s Board of Appeals and then, if that fails, to the federal district court in the District of Columbia or to the US Court of Appeals for the Federal Circuit, the successor court to the old US Court of Customs and Patent Appeals.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patent application has been filed, the inventor or a company to which she has assigned the invention may put the words “patent pending” on the invention. These words have no legal effect. Anyone is free to make the invention as long as the patent has not yet been issued. But they do put others on notice that a patent has been applied for. Once the patent has been granted, infringers may be sued even if the infringed has made the product and offered it for sale before the patent was granted.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today’s global market, obtaining a US patent is important but is not usually sufficient protection. The inventor will often need to secure patent protection in other countries as well. Under the Paris Convention for the Protection of Industrial Property (1883), parties in one country can file for patent or trademark protection in any of the other member countries (172 countries as of 2011). The World Trade Organization’s Agreement on Trade-Related Aspects of Intellectual Property Rights (TRIPS) established standards for protecting intellectual property rights (patents, trademarks, and copyrights) and provides that each member nation must have laws that protect intellectual property rights with effective access to judicial systems for pursuing civil and criminal penalties for violations of such rights.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 Ownership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patent holder is entitled to make and market the invention and to exclude others from doing so. Because the patent is a species of property, it may be transferred. The inventor may assign part or all of his interest in the patent or keep the property interest and license others to manufacture or use the invention in return for payments known as royalties. The license may be exclusive with one licensee, or the inventor may license many to exploit the invention. One important limitation on the inventor’s right to the patent interest is the so-called shop right. This is a right created by state courts on equitable grounds giving employers a nonexclusive royalty-free license to use any invention made by an employee on company time and with company materials. The shop right comes into play only when a company has no express or implied understanding with its employees. Most corporate laboratories have contractual agreements with employees about who owns the invention and what royalties will be paid.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Infringement and Invalidity Suits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Suits for patent infringement can arise in three ways: (1) the patent holder may seek damages and an injunction against the infringer in federal court, requesting damages for royalties and lost profits as well; (2) even before being sued, the accused party may take the patent holder to court under the federal Declaratory Judgment Act, seeking a court declaration that the patent is invalid; (3) the patent holder may sue a licensee for royalties claimed to be due, and the licensee may counterclaim that the patent is invalid. Such a suit, if begun in state court, may be removed to federal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federal patent infringement lawsuit, the court may grant the winning party reimbursement for attorneys’ fees and costs. If the infringement is adjudged to be intentional, the court can triple the amount of damages awarded. Prior to 2006, courts were typically granting permanent injunctions to prevent future infringement. Citing </w:t>
      </w:r>
      <w:r>
        <w:rPr>
          <w:rFonts w:ascii="Georgia" w:eastAsia="Times New Roman" w:hAnsi="Georgia" w:cs="Calibri"/>
          <w:i/>
          <w:iCs/>
          <w:color w:val="333333"/>
          <w:sz w:val="20"/>
          <w:szCs w:val="20"/>
          <w:lang w:val="en"/>
        </w:rPr>
        <w:t>eBay, Inc. v. Merc Exchange, LLC</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the Supreme Court ruled that patent holders are not automatically entitled to a permanent injunction against infringement during the life of the patent. Courts have the discretion to determine whether justice requires a permanent injunction, and they may conclude that the public interest and equitable principles may be better satisfied with compensatory damages only.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Proving infringement can be a difficult task. Many companies employ engineers to “design around” a patent product—that is, to seek ways to alter the product to such an extent that the substitute product no longer consists of enough of the elements of the invention safeguarded by the patent. However, infringing products, processes, or machines need not be identical; as the Supreme Court said in </w:t>
      </w:r>
      <w:r>
        <w:rPr>
          <w:rFonts w:ascii="Georgia" w:eastAsia="Times New Roman" w:hAnsi="Georgia" w:cs="Calibri"/>
          <w:i/>
          <w:iCs/>
          <w:color w:val="333333"/>
          <w:sz w:val="20"/>
          <w:szCs w:val="20"/>
          <w:lang w:val="en"/>
        </w:rPr>
        <w:t>Sanitary Refrigerator Co. v. Winers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“one device is an infringement of another…if two devices do the same work in substantially the same way, and accomplish substantially the same result…even though they differ in name, form, or shape.” This is known as the doctrine of equivalents. In an infringement suit, the court must choose between these two extremes: legitimate “design around” and infringement through some equivalent product.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infringement suit can often be dangerous because the defendant will almost always assert in its answer that the patent is invalid. The plaintiff patent holder thus runs the risk that his entire patent will be taken away from him if the court agrees. In ruling on validity, the court may consider all the tests, such as prior art and obviousness, discussed in </w:t>
      </w:r>
      <w:r>
        <w:rPr>
          <w:rFonts w:ascii="Georgia" w:eastAsia="Times New Roman" w:hAnsi="Georgia" w:cs="Calibri"/>
          <w:color w:val="2689C6"/>
          <w:sz w:val="20"/>
          <w:szCs w:val="20"/>
          <w:lang w:val="en"/>
        </w:rPr>
        <w:t>Section 18.1.2 "Patentability"</w:t>
      </w:r>
      <w:r>
        <w:rPr>
          <w:rFonts w:ascii="Georgia" w:eastAsia="Times New Roman" w:hAnsi="Georgia" w:cs="Calibri"/>
          <w:color w:val="333333"/>
          <w:sz w:val="20"/>
          <w:szCs w:val="20"/>
          <w:lang w:val="en"/>
        </w:rPr>
        <w:t> and rule on these independently of the conclusions drawn by the PTO.</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 Misuse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 patent is a monopoly granted to the inventor or his assignee or licensee, the monopoly power is legally limited. An owner who misuses the patent may find that he will lose an infringement suit. One common form of misuse is to tie the patented good to some unpatented one—for example, a patented movie projector that will not be sold unless the buyer agrees to rent films supplied only by the manufacturer of the movie projector, or a copier manufacturer that requires buyers to purchase plain paper from it. Various provisions of the federal antitrust laws, including, specifically, Section 3 of the Clayton Act, outlaw certain kinds of tying arrangements. Another form of patent misuse is a provision in the licensing agreement prohibiting the manufacturer from also making competing products. Although the courts have held against several other types of misuse, the general principle is that the owner may not use his patent to restrain trade in unpatented goods.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Many different “things” are patentable, include gene sequences, business processes, and any other “useful invention.” The US Patent and Trademark Office acts on initial applications and may grant a patent to an applicant. The patent, which allows a limited-time monopoly, is for twenty years. The categories of patentable things include processes, machines, manufactures, compositions of matter, and improvements. Ideas, mental processes, naturally occurring substances, methods of doing business, printed matter, and scientific principles cannot be patented. Patent holders may sue for infringement and royalties from an infringer user.</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4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Calera, Inc. discovers a way to capture carbon dioxide emissions at a California power plant and use them to make cement. This is a win for the power company, which needs to reduce its carbon dioxide emissions, and a win for Calera. Calera decides to patent this invention. What kind of patent would this be? A machine? A composition of matter? A manufacture?</w:t>
      </w:r>
    </w:p>
    <w:p w:rsidR="00A86150" w:rsidRDefault="00F714D4">
      <w:pPr>
        <w:numPr>
          <w:ilvl w:val="0"/>
          <w:numId w:val="44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your opinion, what is the benefit of allowing companies to isolate genetic material and claim a patent? What kind of patent would this be? A machine? A composition of matter? A manufacture?</w:t>
      </w:r>
    </w:p>
    <w:p w:rsidR="00A86150" w:rsidRDefault="00F714D4">
      <w:pPr>
        <w:numPr>
          <w:ilvl w:val="0"/>
          <w:numId w:val="44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could a “garage inventor,” working on her own, protect a patentable invention while yet demonstrating it to a large company that could bring the invention to market?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35 United States Code, Section 101.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35 United States Code, Section 101.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Commissioner of Patents v. Chakrabarty</w:t>
      </w:r>
      <w:r>
        <w:rPr>
          <w:rFonts w:ascii="Calibri" w:eastAsia="Times New Roman" w:hAnsi="Calibri" w:cs="Calibri"/>
          <w:color w:val="333333"/>
          <w:sz w:val="20"/>
          <w:szCs w:val="20"/>
        </w:rPr>
        <w:t>, 444 U.S. 1028 (1980).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Diamond v. Diehr</w:t>
      </w:r>
      <w:r>
        <w:rPr>
          <w:rFonts w:ascii="Calibri" w:eastAsia="Times New Roman" w:hAnsi="Calibri" w:cs="Calibri"/>
          <w:color w:val="333333"/>
          <w:sz w:val="20"/>
          <w:szCs w:val="20"/>
        </w:rPr>
        <w:t>, 450 U.S. 175 (1981).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State Street Bank and Trust v. Signature Financial Group, Inc.</w:t>
      </w:r>
      <w:r>
        <w:rPr>
          <w:rFonts w:ascii="Calibri" w:eastAsia="Times New Roman" w:hAnsi="Calibri" w:cs="Calibri"/>
          <w:color w:val="333333"/>
          <w:sz w:val="20"/>
          <w:szCs w:val="20"/>
        </w:rPr>
        <w:t>, 149 F.3d 1368 (Fed. Cir. 1998).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Amazon.com v. Barnesandnoble.com, Inc.</w:t>
      </w:r>
      <w:r>
        <w:rPr>
          <w:rFonts w:ascii="Calibri" w:eastAsia="Times New Roman" w:hAnsi="Calibri" w:cs="Calibri"/>
          <w:color w:val="333333"/>
          <w:sz w:val="20"/>
          <w:szCs w:val="20"/>
        </w:rPr>
        <w:t>, 239 F.3d 1343 (Fed. Cir. 2001).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eBay, Inc. v. Merc Exchange, LLC</w:t>
      </w:r>
      <w:r>
        <w:rPr>
          <w:rFonts w:ascii="Calibri" w:eastAsia="Times New Roman" w:hAnsi="Calibri" w:cs="Calibri"/>
          <w:color w:val="333333"/>
          <w:sz w:val="20"/>
          <w:szCs w:val="20"/>
        </w:rPr>
        <w:t>, 546 U.S. 388 (2006).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Sanitary Refrigerator Co. v. Winers</w:t>
      </w:r>
      <w:r>
        <w:rPr>
          <w:rFonts w:ascii="Calibri" w:eastAsia="Times New Roman" w:hAnsi="Calibri" w:cs="Calibri"/>
          <w:color w:val="333333"/>
          <w:sz w:val="20"/>
          <w:szCs w:val="20"/>
        </w:rPr>
        <w:t>, 280 U.S. 30 (1929).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18.2 Trade Secrets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49"/>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difference between trade secrets and patents, and explain why a firm might prefer keeping a trade secret rather than obtaining a patent.</w:t>
      </w:r>
    </w:p>
    <w:p w:rsidR="00A86150" w:rsidRDefault="00F714D4">
      <w:pPr>
        <w:numPr>
          <w:ilvl w:val="0"/>
          <w:numId w:val="449"/>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dimensions of corporate espionage and the impact of the federal Economic Espionage 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of Trade Secrets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patent is an invention publicly disclosed in return for a monopoly. A trade secret is a means to a monopoly that a company hopes to maintain by preventing public disclosure. Why not always take out a patent? There are several reasons. The trade secret might be one that is not patentable, such as a customer list or an improvement that does not meet the tests of novelty or nonobviousness. A patent can be designed around; but if the trade secret is kept, its owner will be the exclusive user of it. Patents are expensive to obtain, and the process is extremely time consuming. Patent protection expires in twenty years, after which anyone is free to use the invention, but a trade secret can be maintained for as long as the secret is kept.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a trade secret is valuable only so long as it is kept secret. Once it is publicly revealed, by whatever means, anyone is free to use it. The critical distinction between a patent and a trade secret is this: a patent gives its owner the right to enjoin anyone who infringes it from making use of it, whereas a trade secret gives its “owner” the right to sue only the person who improperly took it or revealed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the Restatement of Torts, Section 757, Comment b, a trade secret may consist of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customers.…A trade secret is a process or device for continuous use in the operation of a business. Generally it relates to the production of goods, as, for example, a machine or formula for the production of an article.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types of trade secrets are customer information, pricing data, marketing methods, sources of supply, and secret technical know-how.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Elements of Trade Secrets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entitled to protection, a trade secret must be (1) original and (2) secret.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Originality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trade secret must have a certain degree of originality, although not as much as would be necessary to secure a patent. For example, a principle or technique that is common knowledge does not become a protectable trade secret merely because a particular company taught it to one of its employees who now wants to leave to work for a competitor.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Secrecy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types of information are obviously secret, like the chemical formula that is jealously guarded through an elaborate security system within the company. But other kinds of information might not be secret, even though essential to a company’s business. For instance, a list of suppliers that can be devised easily by reading through the telephone directory is not secret. Nor is a method secret simply because someone develops and uses it, if no steps are taken to guard it. A company that circulates a product description in its catalog may not claim a trade secret in the design of the product if the description permits someone to do “reverse engineering.” A company that hopes to keep its processes and designs secret should affirmatively attempt to do so—for example, by requiring employees to sign a nondisclosure agreement covering the corporate trade secrets with which they work. However, a company need not go to every extreme to guard a trade secret.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Trade-secrets espionage has become a big business. To protect industrial secrets, US corporations spend billions on security arrangements. The line between competitive intelligence gathering and espionage can sometimes be difficult to draw. The problem is by no means confined to the United States; companies and nations all over the world have become concerned about theft of trade secrets to gain competitive advantage, and foreign governments are widely believed to be involved in espionage and cyberattacks.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Economic Espionage 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Economic Espionage Act (EEA) of 1996 makes the theft or misappropriation of a trade secret a federal crime. The act is aimed at protecting commercial information rather than classified national defense information. Two sorts of activities are criminalized. The first section of the 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criminalizes the misappropriation of trade secrets (including conspiracy to misappropriate trade secrets and the subsequent acquisition of such misappropriated trade secrets) with the knowledge or intent that the theft will benefit a foreign power. Penalties for violation are fines of up to US$500,000 per offense and imprisonment of up to fifteen years for individuals, and fines of up to US$10 million for organizations.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section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criminalizes the misappropriation of trade secrets related to or included in a product that is produced for or placed in interstate (including international) commerce, with the knowledge or intent that the misappropriation will injure the owner of the trade secret. Penalties for violation are imprisonment for up to ten years for individuals (no fines) and fines of up to US$5 million for organizations.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these specific penalties, the fourth section of the EEA</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also requires criminal forfeiture of (1) any proceeds of the crime and property derived from proceeds of the crime and (2) any property used, or intended to be used, in commission of the crime.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EEA authorizes civil proceedings by the Department of Justice to enjoin violations of the act but does not create a private cause of action. This means that anyone believing they have been victimized must go through the US attorney general in order to obtain an injunction.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EEA is limited to the United States and has no extraterritorial application unless (1) the offender is a US company or a citizen operating from abroad against a US company or (2) an act in furtherance of the espionage takes place in the United States. Other nations lack such legislation, and some may actively support industrial espionage using both their national intelligence services. The US Office of the National Counterintelligence Executive publishes an annual report, mandated by the US Congress, on foreign economic collection and industrial espionage, which outlines these espionage activities of many foreign nations.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Right of Employees to Use Trade Secrets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perennial source of lawsuits in the trade secrets arena is the employee who is hired away by a competitor, allegedly taking trade secrets along with him. Companies frequently seek to prevent piracy by requiring employees to sign confidentiality agreements. An agreement not to disclose particular trade secrets learned or developed on the job is generally enforceable. Even without an agreement, an employer can often prevent disclosure under principles of agency law. Sections 395 and 396 of the Restatement (Second) of Agency suggest that it is an actionable breach of duty to disclose to third persons information given confidentially during the course of the agency. However, every person is held to have a right to earn a living. If the rule were strictly applied, a highly skilled person who went to another company might be barred from using his knowledge and skills. The courts do not prohibit people from using elsewhere the general knowledge and skills they developed on the job. Only specific trade secrets are protected.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get around this difficulty, some companies require their employees to sign agreements not to compete. But unless the agreements are limited in scope and duration to protect a company against only specific misuse of trade secrets, they are unenforceable.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Trade secrets, if they can be kept, have indefinite duration and thus greater potential value than patents. Trade secrets can be any formula, pattern, device, process, or compilation of information to be used in a business. Customer information, pricing data, marketing methods, sources of supply, and technical know-how could all be trade secrets. State law has protected trade secrets, and federal law has provided criminal sanctions for theft of trade secrets. With the importance of digitized information, methods of theft now include computer hacking; theft of corporate secrets is a burgeoning global business that often involves cyberattacks.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50"/>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Wu Dang, based in Hong Kong, hacks into the Hewlett-Packard database and “steals” plans and specifications for HP’s latest products. The HP server is located in the United States. He sells this information to a Chinese company in Shanghai. Has he violated the US Economic Espionage Act?</w:t>
      </w:r>
    </w:p>
    <w:p w:rsidR="00A86150" w:rsidRDefault="00F714D4">
      <w:pPr>
        <w:numPr>
          <w:ilvl w:val="0"/>
          <w:numId w:val="450"/>
        </w:numPr>
        <w:shd w:val="clear" w:color="auto" w:fill="E3EFF7"/>
        <w:tabs>
          <w:tab w:val="clear" w:pos="720"/>
          <w:tab w:val="num" w:pos="13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advantages of keeping a formula as a trade secret rather than getting patent protection?</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Economic Espionage Act, 18 United States Code, Section 1831(a) (1996)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Economic Espionage Act, 18 United States Code, Section 1832 (1996).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Economic Espionage Act, 18 United States Code, Section 1834 (1996).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18.3 Copyright</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51"/>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explain copyrights, how to obtain one, and how they differ from trademarks.</w:t>
      </w:r>
    </w:p>
    <w:p w:rsidR="00A86150" w:rsidRDefault="00F714D4">
      <w:pPr>
        <w:numPr>
          <w:ilvl w:val="0"/>
          <w:numId w:val="451"/>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fair use and describe its limits.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and Duration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Copyright is the legal protection given to “authors” for their “writings.” Copyright law is federal; like patent law, its source lies in the Constitution. Copyright protects the expression of ideas in some tangible form, but it does not protect the ideas themselves. Under the 1976 Copyright Act as amended, a copyright in any work created after January 1, 1978, begins when the work is fixed in tangible form—for example, when a book is written down or a picture is painted—and generally lasts for the life of the author plus 70 years after his or her death. This is similar to copyright protection in many countries, but in some countries, the length of copyright protection is the life of the author plus 50 years. For copyrights owned by publishing houses, done as works for hire, common copyright expires 95 years from the date of publication or 120 years from the date of creation, whichever is first. For works created before 1978, such as many of Walt Disney’s movies and cartoons, the US Sonny Bono Copyright Term Extension Act of 1998 provided additional protection of up to 95 years from publication date. Thus works created in 1923 by Disney would not enter the public domain until 2019 or after, unless the copyright had expired prior to 1998 or unless the Disney company released the work into the public domain. In general, after expiration of the copyright, the work enters thepublic domain.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1989, the United States signed the Berne Convention, an international copyright treaty. This law eliminated the need to place the symbol © or the word </w:t>
      </w: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or the abbreviation </w:t>
      </w:r>
      <w:r>
        <w:rPr>
          <w:rFonts w:ascii="Georgia" w:eastAsia="Times New Roman" w:hAnsi="Georgia" w:cs="Calibri"/>
          <w:i/>
          <w:iCs/>
          <w:color w:val="333333"/>
          <w:sz w:val="20"/>
          <w:szCs w:val="20"/>
          <w:lang w:val="en"/>
        </w:rPr>
        <w:t>Copr.</w:t>
      </w:r>
      <w:r>
        <w:rPr>
          <w:rFonts w:ascii="Georgia" w:eastAsia="Times New Roman" w:hAnsi="Georgia" w:cs="Calibri"/>
          <w:color w:val="333333"/>
          <w:sz w:val="20"/>
          <w:szCs w:val="20"/>
          <w:lang w:val="en"/>
        </w:rPr>
        <w:t> on the work itself. Copyrights can be registered with the US Copyright Office in Washington, DC.</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Protected Expression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Copyright Act protects a variety of “writings,” some of which may not seem written at all. These include literary works (books, newspapers, and magazines), music, drama, choreography, films, art, sculpture, and sound recordings. Since copyright covers the expression and not the material or physical object, a book may be copyrighted whether it is on paper, microfilm, tape, or computer disk.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Rights Protected by the Copyright 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Preventing Copying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copyright gives its holder the right to prevent others from copying his or her work. The copyright holder has the exclusive right to reproduce the work in any medium (paper, film, sound recording), to perform it (e.g., in the case of a play), or to display it (a painting or film). A copyright also gives its holder the exclusive right to prepare derivative works based on the copyrighted work. Thus a playwright could not adapt to the stage a novelist’s book without the latter’s permission.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Fair 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major exception to the exclusivity of copyrights is the fair use doctrine. Section 107 of the Copyright Act provides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Fair use of a copyrighted work, including such use by reproduction in copies or phonorecords or by any other means specified by section 106 of the copyright,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 purpose and character of the use, including whether such use is of a commercial nature or is for nonprofit educational purposes;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the nature of the copyrighted work;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the amount and substantiality of the portion used in relation to the copyrighted work as a whole;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the effect of the use upon the potential market for or value of the copyrighted work.</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are broad guidelines. Accordingly, any copying could be infringement, and fair use could become a question of fact on a case-by-case basis. In determining fair use, however, courts have often considered the fourth factor (effect of the use upon the potential market for the copyrighted work) to be the most important.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Clear examples of fair use would be when book reviewers or writers quote passages from copyrighted books. Without fair use, most writing would be useless because it could not readily be discussed. But the doctrine of fair use grew more troublesome with the advent of plain-paper copiers and is now even more troublesome with electronic versions of copyrighted materials that are easily copied and distributed. The 1976 act took note of the new copier technology, listing “teaching (including multiple copies for classroom use)” as one application of fair use. The Copyright Office follows guidelines specifying just how far the copying may go—for example, multiple copies of certain works may be made for classroom use, but copies may not be used to substitute for copyrighted anthologies.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Infringement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Verbatim use of a copyrighted work is easily provable. The more difficult question arises when the copyrighted work is altered in some way. As in patent law, the standard is one of substantial similarity.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Copyrightability Standards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subject to copyright, the writing must be “fixed” in some “tangible medium of expression.” A novelist who composes a chapter of her next book in her mind and tells it to a friend before putting it on paper could not stop the friend from rushing home, writing it down, and selling it (at least the federal copyright law would offer no protection; some states might independently offer a legal remedy, however).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work also must be creative, at least to a minimal degree. Words and phrases, such as names, titles, and slogans, are not copyrightable; nor are symbols or designs familiar to the public. But an author who contributes her own creativity—like taking a photograph of nature—may copyright the resulting work, even if the basic elements of the composition were not of her making.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the work must be “original,” which means simply that it must have originated with the author. The law does not require that it be novel or unique. This requirement was summarized pithily by Judge Learned Hand: “If by some magic a man who had never known it were to compose anew Keats’s Ode on a Grecian Urn, he would be an author, and, if he copyrighted it, others might not copy that poem, though they might of course copy Keats’s.”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Sometimes the claim is made that a composer, for example, just happened to compose a tune identical or strikingly similar to a copyrighted song; rather than assume the unlikely coincidence that Judge Hand hypothesized, the courts will look for evidence that the alleged copier had access to the copyrighted song. If he did—for example, the song was frequently played on the air—he cannot defend the copying with the claim that it was unconscious, because the work would not then have been original.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102 of the Copyright Act excludes copyright protection for any “idea, procedure, process, system, method of operation, concept, principle, or discovery, regardless of the form in which it is described, explained, illustrated, or embodied.”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Einstein copyrighted books and monographs he wrote on the theory of relativity, but he could not copyright the famous formula </w:t>
      </w:r>
      <w:r>
        <w:rPr>
          <w:rFonts w:ascii="Georgia" w:eastAsia="Times New Roman" w:hAnsi="Georgia" w:cs="Calibri"/>
          <w:i/>
          <w:iCs/>
          <w:color w:val="333333"/>
          <w:sz w:val="20"/>
          <w:szCs w:val="20"/>
          <w:lang w:val="en"/>
        </w:rPr>
        <w:t>E = mc</w:t>
      </w:r>
      <w:r>
        <w:rPr>
          <w:rFonts w:ascii="Georgia" w:eastAsia="Times New Roman" w:hAnsi="Georgia" w:cs="Calibri"/>
          <w:color w:val="333333"/>
          <w:sz w:val="15"/>
          <w:szCs w:val="15"/>
          <w:vertAlign w:val="superscript"/>
          <w:lang w:val="en"/>
        </w:rPr>
        <w:t>2</w:t>
      </w:r>
      <w:r>
        <w:rPr>
          <w:rFonts w:ascii="Georgia" w:eastAsia="Times New Roman" w:hAnsi="Georgia" w:cs="Calibri"/>
          <w:color w:val="333333"/>
          <w:sz w:val="20"/>
          <w:szCs w:val="20"/>
          <w:lang w:val="en"/>
        </w:rPr>
        <w:t>, nor could he prevent others from writing about the theory. But he could protect the particular way in which his ideas were expressed. In general, facts widely known by the public are not copyrightable, and mathematical calculations are not copyrightable. Compilations of facts may be copyrightable, if the way that they are coordinated or arranged results in a work that shows some originality. For example, compiled information about yachts listed for sale may qualify for copyright protection.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troublesome recent questions concerning expression versus ideas is whether a computer program may be copyrighted. After some years of uncertainty, the courts have accepted the copyrightability of computer programs.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Now the courts are wrestling with the more difficult question of the scope of protection: what constitutes an “idea” and what constitutes its mere “expression” in a program.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far the copyright law will protect particular software products is a hotly debated topic, sparked by a federal district court’s ruling in 1990 that the “look and feel” of Lotus 1-2-3’s menu system is copyrightable and was in fact infringed by Paperback Software’s VP-Planner, a competing spreadsheet.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 case has led some analysts to “fear that legal code, rather than software code, is emerging as the factor that will determine which companies and products will dominate the 1990s.”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May Obtain a Copyright?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one important exception, only the author may hold the initial copyright, although the author may assign it or license any one or more of the rights conveyed by the copyright. This is a simple principle when the author has written a book or painted a picture. But the law is unclear in the case of a motion picture or a sound recording. Is the author the script writer, the producer, the performer, the director, the engineer, or someone else? As a practical matter, all parties involved spell out their rights by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exception, which frequently covers the difficulties just enumerated, is for works for hire. Any person employed to write—a journalist or an advertising jingle writer, for example—is not the “author.” For purposes of the statute, the employer is the author and may take out the copyright. When the employee is in fact an “independent contractor” and the work in question involves any one of nine types (book, movies, etc.) spelled out in the Copyright Act, the employer and the creator must spell out their entitlement to the copyright in a written agreement.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Obtaining a Copyright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1978, a work could not be copyrighted unless it was registered in the Copyright Office or was published and unless each copy of the work carried a copyright notice, consisting of the word </w:t>
      </w: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the abbreviation </w:t>
      </w:r>
      <w:r>
        <w:rPr>
          <w:rFonts w:ascii="Georgia" w:eastAsia="Times New Roman" w:hAnsi="Georgia" w:cs="Calibri"/>
          <w:i/>
          <w:iCs/>
          <w:color w:val="333333"/>
          <w:sz w:val="20"/>
          <w:szCs w:val="20"/>
          <w:lang w:val="en"/>
        </w:rPr>
        <w:t>Copr.</w:t>
      </w:r>
      <w:r>
        <w:rPr>
          <w:rFonts w:ascii="Georgia" w:eastAsia="Times New Roman" w:hAnsi="Georgia" w:cs="Calibri"/>
          <w:color w:val="333333"/>
          <w:sz w:val="20"/>
          <w:szCs w:val="20"/>
          <w:lang w:val="en"/>
        </w:rPr>
        <w:t>, or the common symbol ©, together with the date of first publication and the name of the copyright owner. Under the 1976 act, copyright became automatic whenever the work was fixed in a tangible medium of expression (e.g., words on paper, images on film or videotape, sound on tape or compact disc), even if the work remained unpublished or undistributed. However, to retain copyright protection, the notice had to be affixed once the work was “published” and copies circulated to the public. After the United States entered the Berne Convention, an international treaty governing copyrights, Congress enacted the Berne Implementation Act, declaring that, effective in 1989, notice, even after publication, was no longer required.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does, however, confer certain benefits. In the absence of notice, a copyright holder loses the right to receive statutory damages (an amount stated in the Copyright Act and not required to be proved) if someone infringes the work. Also, although it is no longer required, an application and two copies of the work (for deposit in the Library of Congress) filed with the Copyright Office, in Washington, DC, will enable the copyright holder to file suit should the copyright be infringed. Unlike patent registration, which requires elaborate searching of Patent and Trademark Office (PTO) records, copyright registration does not require a reading of the work to determine whether it is an original creation or an infringement of someone else’s prior work. But copyright registration does not immunize the holder from an infringement suit. If a second work has been unlawfully copied from an earlier work, the second author’s copyright will not bar the infringed author from collecting damages and obtaining an injunction.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Computer Downloads and the Digital Millennium Copyright Act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ubiquity of the Internet and the availability of personal computers with large capacities have greatly impacted the music business. Sharing of music files took off in the late 1990s with Napster, which lost a legal battle on copyright and had to cease doing business. By providing the means by which individuals could copy music that had been purchased, major record labels were losing substantial profits. Grokster, a privately owned software company based in the West Indies, provided peer-to-peer file sharing from 2001 to 2005 until the US Supreme Court’s decision in </w:t>
      </w:r>
      <w:r>
        <w:rPr>
          <w:rFonts w:ascii="Georgia" w:eastAsia="Times New Roman" w:hAnsi="Georgia" w:cs="Calibri"/>
          <w:i/>
          <w:iCs/>
          <w:color w:val="333333"/>
          <w:sz w:val="20"/>
          <w:szCs w:val="20"/>
          <w:lang w:val="en"/>
        </w:rPr>
        <w:t>MGM Studios, Inc. v. Grokster, Ltd.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computers with the Microsoft operating system, the Court disallowed the peer-to-peer file sharing, even though Grokster claimed it did not violate any copyright laws because no files passed through its computers. (Grokster had assigned certain user computers as “root supernodes” that acted as music hubs for the company and was not directly involved in controlling any specific music-file downloads.)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Grokster had argued, based on </w:t>
      </w:r>
      <w:r>
        <w:rPr>
          <w:rFonts w:ascii="Georgia" w:eastAsia="Times New Roman" w:hAnsi="Georgia" w:cs="Calibri"/>
          <w:i/>
          <w:iCs/>
          <w:color w:val="333333"/>
          <w:sz w:val="20"/>
          <w:szCs w:val="20"/>
          <w:lang w:val="en"/>
        </w:rPr>
        <w:t>Sony v. Universal Studios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that the sale of its copying equipment (like the Betamax videocassette recorders at issue in that case) did not constitute contributory infringement “if the product is widely used for legitimate, unobjectionable purposes.” Plaintiffs successfully argued that the Sony safe-harbor concept requires proof that the noninfringing use is the primary use in terms of the product’s utility.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Digital Millennium Copyright Act (DMCA), passed into law in 1998, implements two 1996 treaties of the World Intellectual Property Organization. It criminalizes production and sale of devices or services intended to get around protective measures that control access to copyrighted works. In addition, the DMCA heightens the penalties for copyright infringement on the Internet. The DMCA amended Title 17 of the United States Code to extend the reach of copyright, while limiting the liability of the providers of online services for copyright infringement by their users.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Copyright is the legal protection given to “authors” for their “writings.” It protects ideas in fixed, tangible form, not ideas themselves. Copyright protection can extend as long as 120 years from the date of creation or publication. Expression found in literary works, music, drama, film, art, sculpture, sound recordings, and the like may be copyrighted. The fair use doctrine limits the exclusivity of copyright in cases where scholars, critics, or teachers use only selected portions of the copyrighted material in a way that is unlikely to affect the potential market for or value of the copyrighted work.</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52"/>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list could be copyrightable.</w:t>
      </w:r>
    </w:p>
    <w:p w:rsidR="00A86150" w:rsidRDefault="00F714D4">
      <w:pPr>
        <w:numPr>
          <w:ilvl w:val="0"/>
          <w:numId w:val="4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author wrote a novel, </w:t>
      </w:r>
      <w:r>
        <w:rPr>
          <w:rFonts w:ascii="Calibri" w:eastAsia="Times New Roman" w:hAnsi="Calibri" w:cs="Calibri"/>
          <w:i/>
          <w:iCs/>
          <w:color w:val="333333"/>
          <w:sz w:val="20"/>
          <w:szCs w:val="20"/>
          <w:lang w:val="en"/>
        </w:rPr>
        <w:t>Brunch at Bruno’s</w:t>
      </w:r>
      <w:r>
        <w:rPr>
          <w:rFonts w:ascii="Calibri" w:eastAsia="Times New Roman" w:hAnsi="Calibri" w:cs="Calibri"/>
          <w:color w:val="333333"/>
          <w:sz w:val="20"/>
          <w:szCs w:val="20"/>
          <w:lang w:val="en"/>
        </w:rPr>
        <w:t>, in 1961. She died in 1989, and her heirs now own the copyright. When do the rights of the heirs come to an end? That is, when does </w:t>
      </w:r>
      <w:r>
        <w:rPr>
          <w:rFonts w:ascii="Calibri" w:eastAsia="Times New Roman" w:hAnsi="Calibri" w:cs="Calibri"/>
          <w:i/>
          <w:iCs/>
          <w:color w:val="333333"/>
          <w:sz w:val="20"/>
          <w:szCs w:val="20"/>
          <w:lang w:val="en"/>
        </w:rPr>
        <w:t>Brunch at Bruno’s</w:t>
      </w:r>
      <w:r>
        <w:rPr>
          <w:rFonts w:ascii="Calibri" w:eastAsia="Times New Roman" w:hAnsi="Calibri" w:cs="Calibri"/>
          <w:color w:val="333333"/>
          <w:sz w:val="20"/>
          <w:szCs w:val="20"/>
          <w:lang w:val="en"/>
        </w:rPr>
        <w:t> enter the public domain?</w:t>
      </w:r>
    </w:p>
    <w:p w:rsidR="00A86150" w:rsidRDefault="00F714D4">
      <w:pPr>
        <w:numPr>
          <w:ilvl w:val="0"/>
          <w:numId w:val="45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Keith Bradsher writes a series of articles on China for the </w:t>
      </w:r>
      <w:r>
        <w:rPr>
          <w:rFonts w:ascii="Calibri" w:eastAsia="Times New Roman" w:hAnsi="Calibri" w:cs="Calibri"/>
          <w:i/>
          <w:iCs/>
          <w:color w:val="333333"/>
          <w:sz w:val="20"/>
          <w:szCs w:val="20"/>
          <w:lang w:val="en"/>
        </w:rPr>
        <w:t>New York Times</w:t>
      </w:r>
      <w:r>
        <w:rPr>
          <w:rFonts w:ascii="Calibri" w:eastAsia="Times New Roman" w:hAnsi="Calibri" w:cs="Calibri"/>
          <w:color w:val="333333"/>
          <w:sz w:val="20"/>
          <w:szCs w:val="20"/>
          <w:lang w:val="en"/>
        </w:rPr>
        <w:t> and is paid for doing so. Suppose he wants to leave the employ of the </w:t>
      </w:r>
      <w:r>
        <w:rPr>
          <w:rFonts w:ascii="Calibri" w:eastAsia="Times New Roman" w:hAnsi="Calibri" w:cs="Calibri"/>
          <w:i/>
          <w:iCs/>
          <w:color w:val="333333"/>
          <w:sz w:val="20"/>
          <w:szCs w:val="20"/>
          <w:lang w:val="en"/>
        </w:rPr>
        <w:t>Times</w:t>
      </w:r>
      <w:r>
        <w:rPr>
          <w:rFonts w:ascii="Calibri" w:eastAsia="Times New Roman" w:hAnsi="Calibri" w:cs="Calibri"/>
          <w:color w:val="333333"/>
          <w:sz w:val="20"/>
          <w:szCs w:val="20"/>
          <w:lang w:val="en"/>
        </w:rPr>
        <w:t> and be a freelance writer. Can he compile his best articles into a book, </w:t>
      </w:r>
      <w:r>
        <w:rPr>
          <w:rFonts w:ascii="Calibri" w:eastAsia="Times New Roman" w:hAnsi="Calibri" w:cs="Calibri"/>
          <w:i/>
          <w:iCs/>
          <w:color w:val="333333"/>
          <w:sz w:val="20"/>
          <w:szCs w:val="20"/>
          <w:lang w:val="en"/>
        </w:rPr>
        <w:t>Changing Times in China</w:t>
      </w:r>
      <w:r>
        <w:rPr>
          <w:rFonts w:ascii="Calibri" w:eastAsia="Times New Roman" w:hAnsi="Calibri" w:cs="Calibri"/>
          <w:color w:val="333333"/>
          <w:sz w:val="20"/>
          <w:szCs w:val="20"/>
          <w:lang w:val="en"/>
        </w:rPr>
        <w:t>, and publish it without the </w:t>
      </w:r>
      <w:r>
        <w:rPr>
          <w:rFonts w:ascii="Calibri" w:eastAsia="Times New Roman" w:hAnsi="Calibri" w:cs="Calibri"/>
          <w:i/>
          <w:iCs/>
          <w:color w:val="333333"/>
          <w:sz w:val="20"/>
          <w:szCs w:val="20"/>
          <w:lang w:val="en"/>
        </w:rPr>
        <w:t>New York Times</w:t>
      </w:r>
      <w:r>
        <w:rPr>
          <w:rFonts w:ascii="Calibri" w:eastAsia="Times New Roman" w:hAnsi="Calibri" w:cs="Calibri"/>
          <w:color w:val="333333"/>
          <w:sz w:val="20"/>
          <w:szCs w:val="20"/>
          <w:lang w:val="en"/>
        </w:rPr>
        <w:t>’s permission? Does it matter that he uses the word </w:t>
      </w:r>
      <w:r>
        <w:rPr>
          <w:rFonts w:ascii="Calibri" w:eastAsia="Times New Roman" w:hAnsi="Calibri" w:cs="Calibri"/>
          <w:i/>
          <w:iCs/>
          <w:color w:val="333333"/>
          <w:sz w:val="20"/>
          <w:szCs w:val="20"/>
          <w:lang w:val="en"/>
        </w:rPr>
        <w:t>Times</w:t>
      </w:r>
      <w:r>
        <w:rPr>
          <w:rFonts w:ascii="Calibri" w:eastAsia="Times New Roman" w:hAnsi="Calibri" w:cs="Calibri"/>
          <w:color w:val="333333"/>
          <w:sz w:val="20"/>
          <w:szCs w:val="20"/>
          <w:lang w:val="en"/>
        </w:rPr>
        <w:t> in his proposed title?</w:t>
      </w:r>
    </w:p>
    <w:p w:rsidR="00A86150" w:rsidRDefault="00F714D4">
      <w:pPr>
        <w:numPr>
          <w:ilvl w:val="0"/>
          <w:numId w:val="45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 of file sharing of music is now entirely legal? Shaunese Collins buys a Yonder Mountain String Band CD at a concert at Red Rocks in Morrison, Colorado. With her iMac, she makes a series of CDs for her friends. She does this six times. Has she committed six copyright violations?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17 United States Code, Section 107.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Sheldon v. Metro-Goldwyn Pictures Corp.</w:t>
      </w:r>
      <w:r>
        <w:rPr>
          <w:rFonts w:ascii="Calibri" w:eastAsia="Times New Roman" w:hAnsi="Calibri" w:cs="Calibri"/>
          <w:color w:val="333333"/>
          <w:sz w:val="20"/>
          <w:szCs w:val="20"/>
        </w:rPr>
        <w:t>, 81 F.2d 49 (2d Cir. 1936).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17 United States Code, Section 102.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 International Corp. v. International Yacht Council, Ltd.</w:t>
      </w:r>
      <w:r>
        <w:rPr>
          <w:rFonts w:ascii="Calibri" w:eastAsia="Times New Roman" w:hAnsi="Calibri" w:cs="Calibri"/>
          <w:color w:val="333333"/>
          <w:sz w:val="20"/>
          <w:szCs w:val="20"/>
        </w:rPr>
        <w:t>, 489 F.3d 1129 (11th Cir. 2007).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Apple Computer, Inc. v. Franklin Computer Corp.</w:t>
      </w:r>
      <w:r>
        <w:rPr>
          <w:rFonts w:ascii="Calibri" w:eastAsia="Times New Roman" w:hAnsi="Calibri" w:cs="Calibri"/>
          <w:color w:val="333333"/>
          <w:sz w:val="20"/>
          <w:szCs w:val="20"/>
        </w:rPr>
        <w:t>, 714 F.2d 1240 (3d Cir. 1983).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Lotus Development Corp. v. Paperback Software International</w:t>
      </w:r>
      <w:r>
        <w:rPr>
          <w:rFonts w:ascii="Calibri" w:eastAsia="Times New Roman" w:hAnsi="Calibri" w:cs="Calibri"/>
          <w:color w:val="333333"/>
          <w:sz w:val="20"/>
          <w:szCs w:val="20"/>
        </w:rPr>
        <w:t>, 740 F.Supp. 37 (D. Mass. 1990).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Peter H. Lewis, “When Computing Power Is Generated by the Lawyers,”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July 22 1990.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Community for Creative Non-Violence v. Reid</w:t>
      </w:r>
      <w:r>
        <w:rPr>
          <w:rFonts w:ascii="Calibri" w:eastAsia="Times New Roman" w:hAnsi="Calibri" w:cs="Calibri"/>
          <w:color w:val="333333"/>
          <w:sz w:val="20"/>
          <w:szCs w:val="20"/>
        </w:rPr>
        <w:t>, 109 S.Ct. 2166 (1989).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MGM Studios, Inc. v. Grokster, Ltd.</w:t>
      </w:r>
      <w:r>
        <w:rPr>
          <w:rFonts w:ascii="Calibri" w:eastAsia="Times New Roman" w:hAnsi="Calibri" w:cs="Calibri"/>
          <w:color w:val="333333"/>
          <w:sz w:val="20"/>
          <w:szCs w:val="20"/>
        </w:rPr>
        <w:t>, 545 U.S. 913 (2005).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Sony v. Universal Studios</w:t>
      </w:r>
      <w:r>
        <w:rPr>
          <w:rFonts w:ascii="Calibri" w:eastAsia="Times New Roman" w:hAnsi="Calibri" w:cs="Calibri"/>
          <w:color w:val="333333"/>
          <w:sz w:val="20"/>
          <w:szCs w:val="20"/>
        </w:rPr>
        <w:t>, 464 U.S. 417 (1984).</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18.4 Trademarks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53"/>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a trademark is and why it deserves protection.</w:t>
      </w:r>
    </w:p>
    <w:p w:rsidR="00A86150" w:rsidRDefault="00F714D4">
      <w:pPr>
        <w:numPr>
          <w:ilvl w:val="0"/>
          <w:numId w:val="453"/>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why some “marks” may not be eligible for trademark protection, and how to obtain trademark protection for those that are.</w:t>
      </w:r>
    </w:p>
    <w:p w:rsidR="00A86150" w:rsidRDefault="00F714D4">
      <w:pPr>
        <w:numPr>
          <w:ilvl w:val="0"/>
          <w:numId w:val="453"/>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“blurring” and “tarnishment” are and what remedies are available to the holder of the mark.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Definitions of Trademarks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trademark is defined in the federal Lanham Act of 1946 as “any word, name, symbol, or device or any combination thereof adopted and used by a manufacturer or merchant to identify his goods and distinguish them from goods manufactured or sold by others.”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Examples of well-known trademarks are Coca-Cola, Xerox, and Apple. Aservice mark is used in the sale or advertising of services to identify the services of one person and distinguish them from the services of others. Examples of service marks are McDonald’s, BP, and Hilton. Acertification mark is used in connection with many products “to certify regional or other origin, material, mode of manufacture, quality, accuracy or other characteristics of such goods or services or that the work or labor on the goods or services was performed by members of a union or other organization.” Examples are the Good Housekeeping Seal of Approval and UL (Underwriters Laboratories, Inc., approval mark). Unlike other forms of trademark, the owner of the certification mark (e.g., Good Housekeeping, or the Forest Stewardship Council’s FSC mark) is not the owner of the underlying product.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Extent of Trademark Protection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Kinds of Marks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Trademarks and other kinds of marks may consist of words and phrases, pictures, symbols, shapes, numerals, letters, slogans, and sounds. Trademarks are a part of our everyday world: the sounds of a radio or television network announcing itself (NBC, BBC), the shape of a whiskey bottle (Haig &amp; Haig’s Pinch Bottle), a series of initials (GE, KPMG, IBM), or an animal’s warning growl (MGM’s lion).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Limitations on Marks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trademarks abound, the law limits the subjects that may fall into one of the defined categories. Not every word or shape or symbol will be protected in an infringement action. To qualify for protection, a trademark must be used to identify and distinguish. The courts employ a four-part test: (1) Is the mark so arbitrary and fanciful that it merits the widest protection? (2) Is it “suggestive” enough to warrant protection without proof of secondary meaning? (3) Is it “descriptive,” warranting protection if secondary meaning is proved? (4) Is the mark generic and thus unprotectable?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tests do not have mechanical answers; they call for judgment. Some marks are wholly fanciful, clearly identify origin of goods, and distinguish them from others—Kodak, for example. Other marks may not be so arbitrary but may nevertheless be distinctive, either when adopted or as a result of advertising—for example, Crest, as the name of a toothpaste.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Marks that are merely descriptive of the product are entitled to protection only if it can be shown that the mark has acquired secondary meaning. This term reflects a process of identification on the mark in the public mind with the originator of the product. Holiday Inn was initially deemed too descriptive: an inn where people might go on holiday. But over time, travelers came to identify the source of the Great Sign and the name Holiday Inn as the Holiday Inn Corporation in Memphis, and secondary meaning was granted. Holiday Inn could thus protect its mark against other innkeepers, hoteliers, and such; however, the trademark protection for the words Holiday Inn was limited to the corporation’s hotel and motel business, and no other.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words and phrases may not qualify at all for trademark protection. These include generic terms like “straw broom” (for a broom made of straw) and ordinary words like “fast food.” In one case, a federal appeals court held that the word “Lite” is generic and cannot be protected by a beer manufacturer to describe a low-calorie brew.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Donald Trump’s effort to trademark “You’re fired!” and Paris Hilton’s desire to trademark “That’s hot!” were also dismissed as being generic.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Deceptive words will not be accepted for registration. Thus the US Patent and Trademark Office (PTO) denied registration to the word </w:t>
      </w:r>
      <w:r>
        <w:rPr>
          <w:rFonts w:ascii="Georgia" w:eastAsia="Times New Roman" w:hAnsi="Georgia" w:cs="Calibri"/>
          <w:i/>
          <w:iCs/>
          <w:color w:val="333333"/>
          <w:sz w:val="20"/>
          <w:szCs w:val="20"/>
          <w:lang w:val="en"/>
        </w:rPr>
        <w:t>Vynahyde</w:t>
      </w:r>
      <w:r>
        <w:rPr>
          <w:rFonts w:ascii="Georgia" w:eastAsia="Times New Roman" w:hAnsi="Georgia" w:cs="Calibri"/>
          <w:color w:val="333333"/>
          <w:sz w:val="20"/>
          <w:szCs w:val="20"/>
          <w:lang w:val="en"/>
        </w:rPr>
        <w:t> because it suggested that the plastic material to which it was applied came from animal skin. Geographic terms are descriptive words and may not be used as protected trademarks unless they have acquired a secondary meaning, such as Hershey when used for chocolates. (Hershey’s chocolates are made in Hershey, Pennsylvania.) A design that reflects a common style cannot be protected in a trademark to exclude other similar designs in the same tradition. Thus the courts have ruled that a silverware pattern that is a “functional feature” of the “baroque style” does not qualify for trademark protection. Finally, the Lanham Act denies federal registration to certain marks that fall within categories of words and shapes, including the following: the flag; the name, portrait, or signature of any living person without consent, or of a deceased US president during the lifetime of his widow; and immoral, deceptive, or scandalous matter (in an earlier era, the phrase “Bubby Trap” for brassieres was denied registration).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Dilution, Tarnishment, and Blurring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federal Trademark Dilution Act of 1995, companies with marks that dilute the value of a senior mark may be liable for damages. The act provides that owners of marks of significant value have property rights that should not be eroded, blurred, tarnished, or diluted in any way by another. But as a plaintiff, the holder of the mark must show (1) that it is a famous mark, (2) that the use of a similar mark is commercial, and (3) that such use causes dilution of the distinctive quality of the mark. Thus a T-shirt maker who promotes a red-and-white shirt bearing the mark Buttweiser may be liable to Anheuser-Busch, or a pornographic site called Candyland could be liable to Parker Brothers, the board game company. Interesting cases have already been brought under this act, including a case brought by Victoria’s Secret against a small adult store in Kentucky called Victor’s Little Secret. Notice that unlike most prior trademark law, the purpose is not to protect the consumer from confusion as to the source or origin of the goods or services being sold; for example, no one going to the Candyland site would think that Parker Brothers was the source.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Acquiring Trademark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first time in more than forty years, Congress, in 1988, changed the way in which trademarks can be secured. Under the Lanham Act, the fundamental means of obtaining a trademark was through use. The manufacturer or distributor actually must have placed the mark on its product—or on related displays, labels, shipping containers, advertisements, and the like—and then have begun selling the product. If the product was sold in interstate commerce, the trademark was entitled to protection under the Lanham Act (or if not, to protection under the common law of the state in which the product was sold).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Trademark Law Revision Act of 1988, which went into effect in 1989, trademarks can be obtained in advance by registering with the PTO an intention to use the mark within six months (the applicant can gain extensions of up to thirty more months to put the mark into use). Once obtained, the trademark will be protected for ten years (before the 1988 revision, a federal trademark remained valid for twenty years); if after that time the mark is still being used, the registration can be renewed. Obtaining a trademark registration lies between obtaining patents and obtaining copyrights in difficulty. The PTO will not routinely register a trademark; it searches its records to ensure that the mark meets several statutory tests and does not infringe another mark. Those who feel that their own marks would be hurt by registration of a proposed mark may file an opposition proceeding with the PTO. Until 1990, the office received about 77,000 applications each year. With the change in procedure, some experts predicted that applications would rise by 30 percent.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foreign countries, use need not be shown to obtain trademark registration. It is common for some people in these countries to register marks that they expect to be valuable so that they can sell the right to use the mark to the company that established the mark’s value. Companies that expect to market abroad should register their marks early.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Loss of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Trademark owners may lose their rights if they abandon the mark, if a patent or copyright expires on which the mark is based, or if the mark becomes generic. A mark is abandoned if a company goes out of business and ceases selling the product. Some marks are based on design patents; when the patent expires, the patent holder will not be allowed to extend the patent’s duration by arguing that the design or name linked with the design is a registrable trademark.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widespread difficulty that a trademark holder faces is the prospect of too much success: if a trademark comes to stand generically for the product itself, it may lose exclusivity in the mark. Famous examples are aspirin, escalator, and cellophane. The threat is a continual one. Trademark holders can protect themselves from their marks’ becoming generic in several ways.</w:t>
      </w:r>
    </w:p>
    <w:p w:rsidR="00A86150" w:rsidRDefault="00F714D4">
      <w:pPr>
        <w:pStyle w:val="ListParagraph"/>
        <w:numPr>
          <w:ilvl w:val="0"/>
          <w:numId w:val="45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Use a descriptive term along with the trademark. Look on a jar of Vaseline and you will see that the label refers to the contents as Vaseline petroleum jelly.</w:t>
      </w:r>
    </w:p>
    <w:p w:rsidR="00A86150" w:rsidRDefault="00F714D4">
      <w:pPr>
        <w:pStyle w:val="ListParagraph"/>
        <w:numPr>
          <w:ilvl w:val="0"/>
          <w:numId w:val="45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Protest generic use of the mark in all publications by writing letters and taking out advertisements.</w:t>
      </w:r>
    </w:p>
    <w:p w:rsidR="00A86150" w:rsidRDefault="00F714D4">
      <w:pPr>
        <w:pStyle w:val="ListParagraph"/>
        <w:numPr>
          <w:ilvl w:val="0"/>
          <w:numId w:val="454"/>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Always put the words Trademark, Registered Trademark, or the symbol ® (meaning “registered”) next to the mark itself, which should be capitalized.</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Trademark protection is federal, under the Lanham Act. Branding of corporate logos, names, and products is essential to business success, and understanding trademarks is pivotal to branding. A “mark” must be distinctive, arbitrary, or fanciful to merit protection: this means that it must not be generic or descriptive. Marks can be words, symbols, pictures, slogans, sounds, phrases, and even shapes. In the United States, rights to marks are obtained by registration and intent to use in commerce and must be renewed every ten years.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5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will Google protect its trademark, assuming that people begin using “google” as a verb substitute for “Internet search,” just like people began using the word “cellophane” for all brands of plastic wrap?</w:t>
      </w:r>
    </w:p>
    <w:p w:rsidR="00A86150" w:rsidRDefault="00F714D4">
      <w:pPr>
        <w:numPr>
          <w:ilvl w:val="0"/>
          <w:numId w:val="455"/>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a small amount of web searching and find out what “trade dress” protection is, and how it differs from trademark protection.</w:t>
      </w:r>
    </w:p>
    <w:p w:rsidR="00A86150" w:rsidRDefault="00F714D4">
      <w:pPr>
        <w:numPr>
          <w:ilvl w:val="0"/>
          <w:numId w:val="455"/>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LexisNexis is a brand for a database collection offered by Mead Data Central. Lexus is a high-end automobile. Can Lexus succeed in getting Mead Data Central to stop using “Lexis” as a mark?</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15 United States Code, Section 1127.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Miller Brewing Co. v. Falstaff Brewing Corp.</w:t>
      </w:r>
      <w:r>
        <w:rPr>
          <w:rFonts w:ascii="Calibri" w:eastAsia="Times New Roman" w:hAnsi="Calibri" w:cs="Calibri"/>
          <w:color w:val="333333"/>
          <w:sz w:val="20"/>
          <w:szCs w:val="20"/>
        </w:rPr>
        <w:t>, 655 F.2d 5 (1st Cir. 1981).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18.5</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Fair Use in Copyright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Elvis Presley Enterprises et al. v. Passport Video et 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349 F.3d 622 (9th Circuit Court of Appeals, 2003)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TALLMAN, CIRCUIT JUDGE: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are a group of companies and individuals holding copyrights in various materials relating to Elvis Presley. For example, plaintiff SOFA Entertainment, Inc., is the registered owner of several Elvis appearances on </w:t>
      </w:r>
      <w:r>
        <w:rPr>
          <w:rFonts w:ascii="Georgia" w:eastAsia="Times New Roman" w:hAnsi="Georgia" w:cs="Calibri"/>
          <w:i/>
          <w:iCs/>
          <w:color w:val="333333"/>
          <w:sz w:val="20"/>
          <w:szCs w:val="20"/>
        </w:rPr>
        <w:t>The Ed Sullivan Show</w:t>
      </w:r>
      <w:r>
        <w:rPr>
          <w:rFonts w:ascii="Georgia" w:eastAsia="Times New Roman" w:hAnsi="Georgia" w:cs="Calibri"/>
          <w:color w:val="333333"/>
          <w:sz w:val="20"/>
          <w:szCs w:val="20"/>
        </w:rPr>
        <w:t>. Plaintiff Promenade Trust owns the copyright to two television specials featuring Elvis: </w:t>
      </w:r>
      <w:r>
        <w:rPr>
          <w:rFonts w:ascii="Georgia" w:eastAsia="Times New Roman" w:hAnsi="Georgia" w:cs="Calibri"/>
          <w:i/>
          <w:iCs/>
          <w:color w:val="333333"/>
          <w:sz w:val="20"/>
          <w:szCs w:val="20"/>
        </w:rPr>
        <w:t>The Elvis 1968 Comeback Special</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Elvis Aloha from Hawaii</w:t>
      </w:r>
      <w:r>
        <w:rPr>
          <w:rFonts w:ascii="Georgia" w:eastAsia="Times New Roman" w:hAnsi="Georgia" w:cs="Calibri"/>
          <w:color w:val="333333"/>
          <w:sz w:val="20"/>
          <w:szCs w:val="20"/>
        </w:rPr>
        <w:t>.…Many Plaintiffs are in the business of licensing their copyrights. For example, SOFA Entertainment charges $10,000 per minute for use of Elvis’ appearances on </w:t>
      </w:r>
      <w:r>
        <w:rPr>
          <w:rFonts w:ascii="Georgia" w:eastAsia="Times New Roman" w:hAnsi="Georgia" w:cs="Calibri"/>
          <w:i/>
          <w:iCs/>
          <w:color w:val="333333"/>
          <w:sz w:val="20"/>
          <w:szCs w:val="20"/>
        </w:rPr>
        <w:t>The Ed Sullivan Show</w:t>
      </w:r>
      <w:r>
        <w:rPr>
          <w:rFonts w:ascii="Georgia" w:eastAsia="Times New Roman" w:hAnsi="Georgia" w:cs="Calibri"/>
          <w:color w:val="333333"/>
          <w:sz w:val="20"/>
          <w:szCs w:val="20"/>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Passport Entertainment and its related entities (collectively “Passport”) produced and sold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a 16-hour video documentary about the life of Elvis Presley. </w:t>
      </w:r>
      <w:r>
        <w:rPr>
          <w:rFonts w:ascii="Georgia" w:eastAsia="Times New Roman" w:hAnsi="Georgia" w:cs="Calibri"/>
          <w:i/>
          <w:iCs/>
          <w:color w:val="333333"/>
          <w:sz w:val="20"/>
          <w:szCs w:val="20"/>
        </w:rPr>
        <w:t>The Definitive Elvi</w:t>
      </w:r>
      <w:r>
        <w:rPr>
          <w:rFonts w:ascii="Georgia" w:eastAsia="Times New Roman" w:hAnsi="Georgia" w:cs="Calibri"/>
          <w:color w:val="333333"/>
          <w:sz w:val="20"/>
          <w:szCs w:val="20"/>
        </w:rPr>
        <w:t>s sold for $99 at retail. Plaintiffs allege that thousands of copies were sent to retail outlets and other distributors. On its box,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describes itself as an all-encompassing, in-depth look at the life and career of a man whose popularity is unrivaled in the history of show business and who continues to attract millions of new fans each year.…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uses Plaintiffs’ copyrighted materials in a variety of ways. With the video footage, the documentary often uses shots of Elvis appearing on television while a narrator or interviewee talks over the film. These clips range from only a few seconds in length to portions running as long as 30 seconds. In some instances, the clips are the subject of audio commentary, while in other instances they would more properly be characterized as video “filler” because the commentator is discussing a subject different from or more general than Elvis’ performance on a particular television show. But also significant is the frequency with which the copyrighted video footage is used.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employs these clips, in many instances, repeatedly. In total, at least 5% to 10% of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uses Plaintiffs’ copyrighted materials.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Use of the video footage, however, is not limited to brief clips.…Thirty-five percent of his appearances on </w:t>
      </w:r>
      <w:r>
        <w:rPr>
          <w:rFonts w:ascii="Georgia" w:eastAsia="Times New Roman" w:hAnsi="Georgia" w:cs="Calibri"/>
          <w:i/>
          <w:iCs/>
          <w:color w:val="333333"/>
          <w:sz w:val="20"/>
          <w:szCs w:val="20"/>
        </w:rPr>
        <w:t>The Ed Sullivan Show</w:t>
      </w:r>
      <w:r>
        <w:rPr>
          <w:rFonts w:ascii="Georgia" w:eastAsia="Times New Roman" w:hAnsi="Georgia" w:cs="Calibri"/>
          <w:color w:val="333333"/>
          <w:sz w:val="20"/>
          <w:szCs w:val="20"/>
        </w:rPr>
        <w:t> is replayed, as well as three minutes from </w:t>
      </w:r>
      <w:r>
        <w:rPr>
          <w:rFonts w:ascii="Georgia" w:eastAsia="Times New Roman" w:hAnsi="Georgia" w:cs="Calibri"/>
          <w:i/>
          <w:iCs/>
          <w:color w:val="333333"/>
          <w:sz w:val="20"/>
          <w:szCs w:val="20"/>
        </w:rPr>
        <w:t>The 1968 Comeback Special</w:t>
      </w:r>
      <w:r>
        <w:rPr>
          <w:rFonts w:ascii="Georgia" w:eastAsia="Times New Roman" w:hAnsi="Georgia" w:cs="Calibri"/>
          <w:color w:val="333333"/>
          <w:sz w:val="20"/>
          <w:szCs w:val="20"/>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sued Passport for copyright infringement.…Passport, however, asserts that its use of the copyrighted materials was “fair use” under 17 U.S.C. § 107. Plaintiffs moved for a preliminary injunction, which was granted by the district court after a hearing. The district court found that Passport’s use of Plaintiffs’ copyrighted materials was likely not fair use. The court enjoined Passport from selling or distributing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Passport timely appeals.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first address the purpose and character of Passport’s use of Plaintiffs’ copyrighted materials. Although not controlling, the fact that a new use is commercial as opposed to non-profit weighs against a finding of fair use. </w:t>
      </w:r>
      <w:r>
        <w:rPr>
          <w:rFonts w:ascii="Georgia" w:eastAsia="Times New Roman" w:hAnsi="Georgia" w:cs="Calibri"/>
          <w:i/>
          <w:iCs/>
          <w:color w:val="333333"/>
          <w:sz w:val="20"/>
          <w:szCs w:val="20"/>
        </w:rPr>
        <w:t>Harper &amp; Row Publishers, Inc. v. Nation Enters</w:t>
      </w:r>
      <w:r>
        <w:rPr>
          <w:rFonts w:ascii="Georgia" w:eastAsia="Times New Roman" w:hAnsi="Georgia" w:cs="Calibri"/>
          <w:color w:val="333333"/>
          <w:sz w:val="20"/>
          <w:szCs w:val="20"/>
        </w:rPr>
        <w:t>., 471 U.S. 539, 562, 85 L. Ed. 2d 588, 105 S.Ct. 2218 (1985). And the degree to which the new user exploits the copyright for commercial gain—as opposed to incidental use as part of a commercial enterprise—affects the weight we afford commercial nature as a factor. More importantly for the first fair-use factor, however, is the “transformative” nature of the new work. Specifically, we ask “whether the new work…merely supersedes the objects of the original creation, or instead adds something new, with a further purpose or different character, altering the first with new expression, meaning, or message.…” The more transformative a new work, the less significant other inquiries, such as commercialism, become.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below found that the purpose and character of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will likely weigh against a finding of fair use. We cannot say, based on this record, that the district court abused its discretion.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Passport’s use, while a biography, is clearly commercial in nature. But more significantly, Passport seeks to profit directly from the copyrights it uses without a license. One of the most salient selling points on the box of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 is that “Every Film and Television Appearance is represented.” Passport is not advertising a scholarly critique or historical analysis, but instead seeks to profit at least in part from the inherent entertainment value of Elvis’ appearances on such shows as </w:t>
      </w:r>
      <w:r>
        <w:rPr>
          <w:rFonts w:ascii="Georgia" w:eastAsia="Times New Roman" w:hAnsi="Georgia" w:cs="Calibri"/>
          <w:i/>
          <w:iCs/>
          <w:color w:val="333333"/>
          <w:sz w:val="20"/>
          <w:szCs w:val="20"/>
        </w:rPr>
        <w:t>The Steve Allen Show</w:t>
      </w:r>
      <w:r>
        <w:rPr>
          <w:rFonts w:ascii="Georgia" w:eastAsia="Times New Roman" w:hAnsi="Georgia" w:cs="Calibri"/>
          <w:color w:val="333333"/>
          <w:sz w:val="20"/>
          <w:szCs w:val="20"/>
        </w:rPr>
        <w:t>, </w:t>
      </w:r>
      <w:r>
        <w:rPr>
          <w:rFonts w:ascii="Georgia" w:eastAsia="Times New Roman" w:hAnsi="Georgia" w:cs="Calibri"/>
          <w:i/>
          <w:iCs/>
          <w:color w:val="333333"/>
          <w:sz w:val="20"/>
          <w:szCs w:val="20"/>
        </w:rPr>
        <w:t>The Ed Sullivan Show</w:t>
      </w:r>
      <w:r>
        <w:rPr>
          <w:rFonts w:ascii="Georgia" w:eastAsia="Times New Roman" w:hAnsi="Georgia" w:cs="Calibri"/>
          <w:color w:val="333333"/>
          <w:sz w:val="20"/>
          <w:szCs w:val="20"/>
        </w:rPr>
        <w:t>, and</w:t>
      </w:r>
      <w:r>
        <w:rPr>
          <w:rFonts w:ascii="Georgia" w:eastAsia="Times New Roman" w:hAnsi="Georgia" w:cs="Calibri"/>
          <w:i/>
          <w:iCs/>
          <w:color w:val="333333"/>
          <w:sz w:val="20"/>
          <w:szCs w:val="20"/>
        </w:rPr>
        <w:t>The 1968 Comeback Special</w:t>
      </w:r>
      <w:r>
        <w:rPr>
          <w:rFonts w:ascii="Georgia" w:eastAsia="Times New Roman" w:hAnsi="Georgia" w:cs="Calibri"/>
          <w:color w:val="333333"/>
          <w:sz w:val="20"/>
          <w:szCs w:val="20"/>
        </w:rPr>
        <w:t>. Passport’s claim that this is scholarly research containing biographical comments on the life of Elvis is not dispositive of the fair use inquiry.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 Passport’s use of Plaintiffs’ copyrights is not consistently transformative. True, Passport’s use of many of the television clips is transformative because the clips play for only a few seconds and are used for reference purposes while a narrator talks over them or interviewees explain their context in Elvis’ career. But voice-overs do not necessarily transform a work.…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would be impossible to produce a biography of Elvis without showing some of his most famous television appearances for reference purposes. But some of the clips are played without much interruption, if any. The purpose of showing these clips likely goes beyond merely making a reference for a biography, but instead serves the same intrinsic entertainment value that is protected by Plaintiffs’ copyrights.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third factor is the amount and substantiality of the portion used in relation to the copyrighted work as a whole. This factor evaluates both the quantity of the work taken and the quality and importance of the portion taken. Regarding the quantity, copying “may not be excused merely because it is insubstantial with respect to the </w:t>
      </w:r>
      <w:r>
        <w:rPr>
          <w:rFonts w:ascii="Georgia" w:eastAsia="Times New Roman" w:hAnsi="Georgia" w:cs="Calibri"/>
          <w:i/>
          <w:iCs/>
          <w:color w:val="333333"/>
          <w:sz w:val="20"/>
          <w:szCs w:val="20"/>
        </w:rPr>
        <w:t>infringing</w:t>
      </w:r>
      <w:r>
        <w:rPr>
          <w:rFonts w:ascii="Georgia" w:eastAsia="Times New Roman" w:hAnsi="Georgia" w:cs="Calibri"/>
          <w:color w:val="333333"/>
          <w:sz w:val="20"/>
          <w:szCs w:val="20"/>
        </w:rPr>
        <w:t> work.” </w:t>
      </w:r>
      <w:r>
        <w:rPr>
          <w:rFonts w:ascii="Georgia" w:eastAsia="Times New Roman" w:hAnsi="Georgia" w:cs="Calibri"/>
          <w:i/>
          <w:iCs/>
          <w:color w:val="333333"/>
          <w:sz w:val="20"/>
          <w:szCs w:val="20"/>
        </w:rPr>
        <w:t>Harper &amp; Row</w:t>
      </w:r>
      <w:r>
        <w:rPr>
          <w:rFonts w:ascii="Georgia" w:eastAsia="Times New Roman" w:hAnsi="Georgia" w:cs="Calibri"/>
          <w:color w:val="333333"/>
          <w:sz w:val="20"/>
          <w:szCs w:val="20"/>
        </w:rPr>
        <w:t>, 471 U.S. at 565 (emphasis in original). But if the amount used is substantial with respect to the infringing work, it is evidence of the value of the copy-righted work.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Passport’s use of clips from television appearances, although in most cases of short duration, were repeated numerous times throughout the tapes. While using a small number of clips to reference an event for biographical purposes seems fair, using a clip over and over will likely no longer serve a biographical purpose. Additionally, some of the clips were not short in length. Passport’s use of Elvis’ appearance on </w:t>
      </w:r>
      <w:r>
        <w:rPr>
          <w:rFonts w:ascii="Georgia" w:eastAsia="Times New Roman" w:hAnsi="Georgia" w:cs="Calibri"/>
          <w:i/>
          <w:iCs/>
          <w:color w:val="333333"/>
          <w:sz w:val="20"/>
          <w:szCs w:val="20"/>
        </w:rPr>
        <w:t>The Steve Allen Show</w:t>
      </w:r>
      <w:r>
        <w:rPr>
          <w:rFonts w:ascii="Georgia" w:eastAsia="Times New Roman" w:hAnsi="Georgia" w:cs="Calibri"/>
          <w:color w:val="333333"/>
          <w:sz w:val="20"/>
          <w:szCs w:val="20"/>
        </w:rPr>
        <w:t> plays for over a minute and many more clips play for more than just a few seconds.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Additionally, although the clips are relatively short when compared to the entire shows that are copyrighted, they are in many instances the heart of the work. What makes these copyrighted works valuable is Elvis’ appearance on the shows, in many cases singing the most familiar passages of his most popular songs. Plaintiffs are in the business of licensing these copyrights. Taking key portions extracts the most valuable part of Plaintiffs’ copyrighted works. With respect to the photographs, the entire picture is often used. The music, admittedly, is usually played only for a few seconds.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last, and “undoubtedly the single most important” of all the factors, is the effect the use will have on the potential market for and value of the copyrighted works. </w:t>
      </w:r>
      <w:r>
        <w:rPr>
          <w:rFonts w:ascii="Georgia" w:eastAsia="Times New Roman" w:hAnsi="Georgia" w:cs="Calibri"/>
          <w:i/>
          <w:iCs/>
          <w:color w:val="333333"/>
          <w:sz w:val="20"/>
          <w:szCs w:val="20"/>
        </w:rPr>
        <w:t>Harper &amp; Row</w:t>
      </w:r>
      <w:r>
        <w:rPr>
          <w:rFonts w:ascii="Georgia" w:eastAsia="Times New Roman" w:hAnsi="Georgia" w:cs="Calibri"/>
          <w:color w:val="333333"/>
          <w:sz w:val="20"/>
          <w:szCs w:val="20"/>
        </w:rPr>
        <w:t>, 471 U.S. at 566. We must “consider not only the extent of market harm caused by the particular actions of the alleged infringer, but also whether unrestricted and widespread conduct of the sort engaged in by the defendant…would result in a substantially adverse impact on the potential market for the original.” </w:t>
      </w:r>
      <w:r>
        <w:rPr>
          <w:rFonts w:ascii="Georgia" w:eastAsia="Times New Roman" w:hAnsi="Georgia" w:cs="Calibri"/>
          <w:i/>
          <w:iCs/>
          <w:color w:val="333333"/>
          <w:sz w:val="20"/>
          <w:szCs w:val="20"/>
        </w:rPr>
        <w:t>Campbell</w:t>
      </w:r>
      <w:r>
        <w:rPr>
          <w:rFonts w:ascii="Georgia" w:eastAsia="Times New Roman" w:hAnsi="Georgia" w:cs="Calibri"/>
          <w:color w:val="333333"/>
          <w:sz w:val="20"/>
          <w:szCs w:val="20"/>
        </w:rPr>
        <w:t>, 510 U.S. at 590. The more transformative the new work, the less likely the new work’s use of copyrighted materials will affect the market for the materials. Finally, if the purpose of the new work is commercial in nature, “the likelihood [of market harm] may be presumed.” </w:t>
      </w:r>
      <w:r>
        <w:rPr>
          <w:rFonts w:ascii="Georgia" w:eastAsia="Times New Roman" w:hAnsi="Georgia" w:cs="Calibri"/>
          <w:i/>
          <w:iCs/>
          <w:color w:val="333333"/>
          <w:sz w:val="20"/>
          <w:szCs w:val="20"/>
        </w:rPr>
        <w:t>A&amp;M Records</w:t>
      </w:r>
      <w:r>
        <w:rPr>
          <w:rFonts w:ascii="Georgia" w:eastAsia="Times New Roman" w:hAnsi="Georgia" w:cs="Calibri"/>
          <w:color w:val="333333"/>
          <w:sz w:val="20"/>
          <w:szCs w:val="20"/>
        </w:rPr>
        <w:t>, 239 F.3d at 1016 (quoting </w:t>
      </w:r>
      <w:r>
        <w:rPr>
          <w:rFonts w:ascii="Georgia" w:eastAsia="Times New Roman" w:hAnsi="Georgia" w:cs="Calibri"/>
          <w:i/>
          <w:iCs/>
          <w:color w:val="333333"/>
          <w:sz w:val="20"/>
          <w:szCs w:val="20"/>
        </w:rPr>
        <w:t>Sony</w:t>
      </w:r>
      <w:r>
        <w:rPr>
          <w:rFonts w:ascii="Georgia" w:eastAsia="Times New Roman" w:hAnsi="Georgia" w:cs="Calibri"/>
          <w:color w:val="333333"/>
          <w:sz w:val="20"/>
          <w:szCs w:val="20"/>
        </w:rPr>
        <w:t>, 464 U.S. at 451).</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found that Passport’s use of Plaintiffs’ copyrighted materials likely does affect the market for those materials. This conclusion was not clearly erroneous.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Passport’s use is commercial in nature, and thus we can assume market harm. Second, Passport has expressly advertised that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contains the television appearances for which Plaintiffs normally charge a licensing fee. If this type of use became wide-spread, it would likely undermine the market for selling Plaintiffs’ copyrighted material. This conclusion, however, does not apply to the music and still photographs. It seems unlikely that someone in the market for these materials would purchase </w:t>
      </w:r>
      <w:r>
        <w:rPr>
          <w:rFonts w:ascii="Georgia" w:eastAsia="Times New Roman" w:hAnsi="Georgia" w:cs="Calibri"/>
          <w:i/>
          <w:iCs/>
          <w:color w:val="333333"/>
          <w:sz w:val="20"/>
          <w:szCs w:val="20"/>
        </w:rPr>
        <w:t>The Definitive Elvis</w:t>
      </w:r>
      <w:r>
        <w:rPr>
          <w:rFonts w:ascii="Georgia" w:eastAsia="Times New Roman" w:hAnsi="Georgia" w:cs="Calibri"/>
          <w:color w:val="333333"/>
          <w:sz w:val="20"/>
          <w:szCs w:val="20"/>
        </w:rPr>
        <w:t>instead of a properly licensed product. Third, Passport’s use of the television appearances was, in some instances, not transformative, and therefore these uses are likely to affect the market because they serve the same purpose as Plaintiffs’ original works.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emphasize that our holding today is not intended to express how we would rule were we examining the case </w:t>
      </w:r>
      <w:r>
        <w:rPr>
          <w:rFonts w:ascii="Georgia" w:eastAsia="Times New Roman" w:hAnsi="Georgia" w:cs="Calibri"/>
          <w:i/>
          <w:iCs/>
          <w:color w:val="333333"/>
          <w:sz w:val="20"/>
          <w:szCs w:val="20"/>
        </w:rPr>
        <w:t>ab initio</w:t>
      </w:r>
      <w:r>
        <w:rPr>
          <w:rFonts w:ascii="Georgia" w:eastAsia="Times New Roman" w:hAnsi="Georgia" w:cs="Calibri"/>
          <w:color w:val="333333"/>
          <w:sz w:val="20"/>
          <w:szCs w:val="20"/>
        </w:rPr>
        <w:t> as district judges. Instead, we confine our review to whether the district court abused its discretion when it weighed the four statutory fair-use factors together and determined that Plaintiffs would likely succeed on the merits. Although we might view this case as closer than the district court saw it, we hold there was no abuse of discretion in the court’s decision to grant Plaintiffs’ requested relief.</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5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would you weigh the four factors in this case? If the trial court had found fair use, would the appeals court have overturned its ruling?</w:t>
      </w:r>
    </w:p>
    <w:p w:rsidR="00A86150" w:rsidRDefault="00F714D4">
      <w:pPr>
        <w:numPr>
          <w:ilvl w:val="0"/>
          <w:numId w:val="45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 you think that the fourth factor is especially important?</w:t>
      </w:r>
    </w:p>
    <w:p w:rsidR="00A86150" w:rsidRDefault="00F714D4">
      <w:pPr>
        <w:numPr>
          <w:ilvl w:val="0"/>
          <w:numId w:val="456"/>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significance of the discussion on “transformative” aspects of the defendant’s product?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Trademark Infringement and Dilution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Playboy Enterprises v. Welles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279 F.3d 796 (9th Circuit Court of Appeals, 2001)</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 G. NELSON, Circuit Judge: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Terri Welles was on the cover of Playboy in 1981 and was chosen to be the Playboy Playmate of the Year for 1981. Her use of the title “Playboy Playmate of the Year 1981,” and her use of other trademarked terms on her website are at issue in this suit. During the relevant time period, Welles’ website offered information about and free photos of Welles, advertised photos for sale, advertised memberships in her photo club, and promoted her services as a spokesperson. A biographical section described Welles’ selection as Playmate of the Year in 1981 and her years modeling for PEI. The site included a disclaimer that read as follows: “This site is neither endorsed, nor sponsored, nor affiliated with Playboy Enterprises, Inc. PLAYBOY tm PLAYMATE OF THE YEAR tm AND PLAYMATE OF THE MONTH tm are registered trademarks of Playboy Enterprises,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Wells used (1) the terms “Playboy ”and “Playmate” in the metatags of the website; (2) the phrase “Playmate of the Year 1981” on the masthead of the website; (3) the phrases “Playboy Playmate of the Year 1981” and “Playmate of the Year 1981” on various banner ads, which may be transferred to other websites; and (4) the repeated use of the abbreviation “PMOY ’81” as the watermark on the pages of the website. PEI claimed that these uses of its marks constituted trademark infringement, dilution, false designation of origin, and unfair competition. The district court granted defendants’ motion for summary judgment. PEI appeals the grant of summary judgment on its infringement and dilution claims. We affirm in part and reverse in part.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Trademark Infringement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Except for the use of PEI’s protected terms in the wallpaper of Welles’ website, we conclude that Welles’ uses of PEI’s trademarks are permissible, nominative uses. They imply no current sponsorship or endorsement by PEI. Instead, they serve to identify Welles as a past PEI “Playmate of the Year.”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articulated the test for a permissible, nominative use in </w:t>
      </w:r>
      <w:r>
        <w:rPr>
          <w:rFonts w:ascii="Georgia" w:eastAsia="Times New Roman" w:hAnsi="Georgia" w:cs="Calibri"/>
          <w:i/>
          <w:iCs/>
          <w:color w:val="333333"/>
          <w:sz w:val="20"/>
          <w:szCs w:val="20"/>
        </w:rPr>
        <w:t>New Kids On The Block v. New America Publishing, Inc</w:t>
      </w:r>
      <w:r>
        <w:rPr>
          <w:rFonts w:ascii="Georgia" w:eastAsia="Times New Roman" w:hAnsi="Georgia" w:cs="Calibri"/>
          <w:color w:val="333333"/>
          <w:sz w:val="20"/>
          <w:szCs w:val="20"/>
        </w:rPr>
        <w:t>. The band, New Kids On The Block, claimed trademark infringement arising from the use of their trademarked name by several newspapers. The newspapers had conducted polls asking which member of the band New Kids On The Block was the best and most popular. The papers’ use of the trademarked term did not fall within the traditional fair use doctrine. Unlike a traditional fair use scenario, the defendant newspaper was using the trademarked term to describe not its own product, but the plaintiff’s. Thus, the factors used to evaluate fair use were inapplicable. The use was nonetheless permissible, we concluded, based on its nominative nature.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adopted the following test for nominative use: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the product or service in question must be one not readily identifiable without use of the trademark; second, only so much of the mark or marks may be used as is reasonably necessary to identify the product or service; and third, the user must do nothing that would, in conjunction with the mark, suggest sponsorship or endorsement by the trademark holder.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group the uses of PEI’s trademarked terms into three for the purpose of applying the test for nominative use.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Headlines and banner advertisements.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properly identified Welles’ situation as one which must… be excepted. No descriptive substitute exists for PEI’s trademarks in this context.…Just as the newspapers in </w:t>
      </w:r>
      <w:r>
        <w:rPr>
          <w:rFonts w:ascii="Georgia" w:eastAsia="Times New Roman" w:hAnsi="Georgia" w:cs="Calibri"/>
          <w:i/>
          <w:iCs/>
          <w:color w:val="333333"/>
          <w:sz w:val="20"/>
          <w:szCs w:val="20"/>
        </w:rPr>
        <w:t>New Kids</w:t>
      </w:r>
      <w:r>
        <w:rPr>
          <w:rFonts w:ascii="Georgia" w:eastAsia="Times New Roman" w:hAnsi="Georgia" w:cs="Calibri"/>
          <w:color w:val="333333"/>
          <w:sz w:val="20"/>
          <w:szCs w:val="20"/>
        </w:rPr>
        <w:t> could only identify the band clearly by using its trademarked name, so can Welles only identify herself clearly by using PEI’s trademarked title.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part of the nominative use test requires that “only so much of the mark or marks may be used as is reasonably necessary to identify the product or service[.]” </w:t>
      </w:r>
      <w:r>
        <w:rPr>
          <w:rFonts w:ascii="Georgia" w:eastAsia="Times New Roman" w:hAnsi="Georgia" w:cs="Calibri"/>
          <w:i/>
          <w:iCs/>
          <w:color w:val="333333"/>
          <w:sz w:val="20"/>
          <w:szCs w:val="20"/>
        </w:rPr>
        <w:t>New Kids</w:t>
      </w:r>
      <w:r>
        <w:rPr>
          <w:rFonts w:ascii="Georgia" w:eastAsia="Times New Roman" w:hAnsi="Georgia" w:cs="Calibri"/>
          <w:color w:val="333333"/>
          <w:sz w:val="20"/>
          <w:szCs w:val="20"/>
        </w:rPr>
        <w:t> provided the following examples to explain this element: “[A] soft drink competitor would be entitled to compare its product to Coca-Cola or Coke, but would not be entitled to use Coca-Cola’s distinctive lettering.” Similarly, in a past case, an auto shop was allowed to use the trademarked term “Volkswagen” on a sign describing the cars it repaired, in part because the shop “did not use Volkswagen’s distinctive lettering style or color scheme, nor did he display the encircled ‘VW’ emblem.” Welles’ banner advertisements and headlines satisfy this element because they use only the trademarked words, not the font or symbols associated with the trademarks.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third element requires that the user do “nothing that would, in conjunction with the mark, suggest sponsorship or endorsement by the trademark holder.” As to this element, we conclude that aside from the wallpaper, which we address separately, Welles does nothing in conjunction with her use of the marks to suggest sponsorship or endorsement by PEI. The marks are clearly used to describe the title she received from PEI in 1981, a title that helps describe who she is. It would be unreasonable to assume that the Chicago Bulls sponsored a website of Michael Jordan’s simply because his name appeared with the appellation “former Chicago Bull.” Similarly, in this case, it would be unreasonable to assume that PEI currently sponsors or endorses someone who describes herself as a “Playboy Playmate of the Year in 1981.” The designation of the year, in our case, serves the same function as the “former” in our example. It shows that any sponsorship or endorsement occurred in the past.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 foregoing reasons, we conclude that Welles’ use of PEI’s marks in her headlines and banner advertisements is a nominative use excepted from the law of trademark infringement.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Metatags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Welles includes the terms “playboy” and “playmate” in her metatags. Metatags describe the contents of a website using keywords. Some search engines search metatags to identify websites relevant to a search. Thus, when an internet searcher enters “playboy” or “playmate” into a search engine that uses metatags, the results will include Welles’ site. Because Welles’ metatags do not repeat the terms extensively, her site will not be at the top of the list of search results. Applying the three-factor test for nominative use, we conclude that the use of the trademarked terms in Welles’ metatags is nominative.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discussed above with regard to the headlines and banner advertisements, Welles has no practical way of describing herself without using trademarked terms. In the context of metatags, we conclude that she has no practical way of identifying the content of her website without referring to PEI’s trademarks.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Precluding their use would have the unwanted effect of hindering the free flow of information on the internet, something which is certainly not a goal of trademark law. Accordingly, the use of trademarked terms in the metatags meets the first part of the test for nominative use.…We conclude that the metatags satisfy the second and third elements of the test as well. The metatags use only so much of the marks as reasonably necessary and nothing is done in conjunction with them to suggest sponsorship or endorsement by the trademark holder. We note that our decision might differ if the metatags listed the trademarked term so repeatedly that Welles’ site would regularly appear above PEI’s in searches for one of the trademarked terms.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 Wallpaper/watermark.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background, or wallpaper, of Welles’ site consists of the repeated abbreviation “PMOY ’81,” which stands for “Playmate of the Year 1981.” Welles’ name or likeness does not appear before or after “PMOY ’81.” The pattern created by the repeated abbreviation appears as the background of the various pages of the website. Accepting, for the purposes of this appeal, that the abbreviation “PMOY” is indeed entitled to protection, we conclude that the repeated, stylized use of this abbreviation fails the nominative use test.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repeated depiction of “PMOY ‘81” is not necessary to describe Welles. “Playboy Playmate of the Year 1981” is quite adequate. Moreover, the term does not even appear to describe Welles—her name or likeness do not appear before or after each “PMOY ’81.” Because the use of the abbreviation fails the first prong of the nominative use test, we need not apply the next two prongs of the test.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defense of nominative use fails here, and we have already determined that the doctrine of fair use does not apply, we remand to the district court. The court must determine whether trademark law protects the abbreviation “PMOY,” as used in the wallpaper.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Trademark Dilution [At this point, the court considers and rejects PEI’s claim for trademark dilution.]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Conclusion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 foregoing reasons, we affirm the district court’s grant of summary judgment as to PEI’s claims for trademark infringement and trademark dilution, with the sole exception of the use of the abbreviation “PMOY.” We reverse as to the abbreviation and remand for consideration of whether it merits protection under either an infringement or a dilution theory.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5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 you agree with the court’s decision that there is no dilution here?</w:t>
      </w:r>
    </w:p>
    <w:p w:rsidR="00A86150" w:rsidRDefault="00F714D4">
      <w:pPr>
        <w:numPr>
          <w:ilvl w:val="0"/>
          <w:numId w:val="45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PMOY is not a registered trademark, why does the court discuss it?</w:t>
      </w:r>
    </w:p>
    <w:p w:rsidR="00A86150" w:rsidRDefault="00F714D4">
      <w:pPr>
        <w:numPr>
          <w:ilvl w:val="0"/>
          <w:numId w:val="45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“nominative use” mean in the context of this case?</w:t>
      </w:r>
    </w:p>
    <w:p w:rsidR="00A86150" w:rsidRDefault="00F714D4">
      <w:pPr>
        <w:numPr>
          <w:ilvl w:val="0"/>
          <w:numId w:val="45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business terms, why would PEI even think that it was losing money, or could lose money, based on Welles’s use of its identifying marks?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18.6</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products of the human mind are at the root of all business, but they are legally protectable only to a certain degree. Inventions that are truly novel may qualify for a twenty-year patent; the inventor may then prohibit anyone from using the art (machine, process, manufacture, and the like) or license it on his own terms. A business may sue a person who improperly gives away its legitimate trade secrets, but it may not prevent others from using the unpatented trade secret once publicly disclosed. Writers or painters, sculptors, composers, and other creative artists may generally protect the expression of their ideas for the duration of their lives plus seventy years, as long as the ideas are fixed in some tangible medium. That means that they may prevent others from copying their words (or painting, etc.), but they may not prevent anyone from talking about or using their ideas. Finally, one who markets a product or service may protect its trademark or service or other mark that is distinctive or has taken on a secondary meaning, but may lose it if the mark becomes the generic term for the goods or services.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5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Samuel Morse filed claims in the US Patent Office for his invention of the telegraph and also for the “use of the motive power of the electric or galvanic current…however developed, for marking or printing intelligible characters, signs or letters at any distances.” For which claim, if any, was he entitled to a patent? Why?</w:t>
      </w:r>
    </w:p>
    <w:p w:rsidR="00A86150" w:rsidRDefault="00F714D4">
      <w:pPr>
        <w:numPr>
          <w:ilvl w:val="0"/>
          <w:numId w:val="458"/>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1957, an inventor dreamed up and constructed a certain new kind of computer. He kept his invention a secret. Two years later, another inventor who conceived the same machine filed a patent application. The first inventor, learning of the patent application, filed for his own patent in 1963. Who is entitled to the patent, assuming that the invention was truly novel and not obvious? Why?</w:t>
      </w:r>
    </w:p>
    <w:p w:rsidR="00A86150" w:rsidRDefault="00F714D4">
      <w:pPr>
        <w:numPr>
          <w:ilvl w:val="0"/>
          <w:numId w:val="45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large company discovered that a small company was infringing one of its patents. It wrote the small company and asked it to stop. The small company denied that it was infringing. Because of personnel changes in the large company, the correspondence file was lost and only rediscovered eight years later. The large company sued. What would be the result? Why?</w:t>
      </w:r>
    </w:p>
    <w:p w:rsidR="00A86150" w:rsidRDefault="00F714D4">
      <w:pPr>
        <w:numPr>
          <w:ilvl w:val="0"/>
          <w:numId w:val="45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Clifford Witter was a dance instructor at the Arthur Murray Dance Studios in Cleveland. As a condition of employment, he signed a contract not to work for a competitor. Subsequently, he was hired by the Fred Astaire Dancing Studios, where he taught the method that he had learned at Arthur Murray. Arthur Murray sued to enforce the noncompete contract. What would be result? What additional information, if any, would you need to know to decide the case?</w:t>
      </w:r>
    </w:p>
    <w:p w:rsidR="00A86150" w:rsidRDefault="00F714D4">
      <w:pPr>
        <w:numPr>
          <w:ilvl w:val="0"/>
          <w:numId w:val="45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Greenberg worked for Buckingham Wax as its chief chemist, developing chemical formulas for products by testing other companies’ formulas and modifying them. Brite Products bought Buckingham’s goods and resold them under its own name. Greenberg went to work for Brite, where he helped Brite make chemicals substantially similar to the ones it had been buying from Buckingham. Greenberg had never made any written or oral commitment to Buckingham restricting his use of the chemical formulas he developed. May Buckingham stop Greenberg from working for Brite? May it stop him from working on formulas learned while working at Buckingham? Why?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459"/>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of the following cannot be protected under patent, copyright, or trademark law?</w:t>
      </w:r>
    </w:p>
    <w:p w:rsidR="00A86150" w:rsidRDefault="00F714D4">
      <w:pPr>
        <w:pStyle w:val="ListParagraph"/>
        <w:numPr>
          <w:ilvl w:val="0"/>
          <w:numId w:val="46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synthesized molecule</w:t>
      </w:r>
    </w:p>
    <w:p w:rsidR="00A86150" w:rsidRDefault="00F714D4">
      <w:pPr>
        <w:pStyle w:val="ListParagraph"/>
        <w:numPr>
          <w:ilvl w:val="0"/>
          <w:numId w:val="46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one-line book title</w:t>
      </w:r>
    </w:p>
    <w:p w:rsidR="00A86150" w:rsidRDefault="00F714D4">
      <w:pPr>
        <w:pStyle w:val="ListParagraph"/>
        <w:numPr>
          <w:ilvl w:val="0"/>
          <w:numId w:val="46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one-line advertising jingle</w:t>
      </w:r>
    </w:p>
    <w:p w:rsidR="00A86150" w:rsidRDefault="00F714D4">
      <w:pPr>
        <w:pStyle w:val="ListParagraph"/>
        <w:numPr>
          <w:ilvl w:val="0"/>
          <w:numId w:val="46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one-word company name</w:t>
      </w:r>
    </w:p>
    <w:p w:rsidR="00A86150" w:rsidRDefault="00F714D4">
      <w:pPr>
        <w:numPr>
          <w:ilvl w:val="0"/>
          <w:numId w:val="461"/>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of the following does not expire by law?</w:t>
      </w:r>
    </w:p>
    <w:p w:rsidR="00A86150" w:rsidRDefault="00F714D4">
      <w:pPr>
        <w:pStyle w:val="ListParagraph"/>
        <w:numPr>
          <w:ilvl w:val="0"/>
          <w:numId w:val="46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closely guarded trade secret not released to the public</w:t>
      </w:r>
    </w:p>
    <w:p w:rsidR="00A86150" w:rsidRDefault="00F714D4">
      <w:pPr>
        <w:pStyle w:val="ListParagraph"/>
        <w:numPr>
          <w:ilvl w:val="0"/>
          <w:numId w:val="46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patent granted by the US Patent and Trademark Office</w:t>
      </w:r>
    </w:p>
    <w:p w:rsidR="00A86150" w:rsidRDefault="00F714D4">
      <w:pPr>
        <w:pStyle w:val="ListParagraph"/>
        <w:numPr>
          <w:ilvl w:val="0"/>
          <w:numId w:val="46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copyright registered in the US Copyright Office</w:t>
      </w:r>
    </w:p>
    <w:p w:rsidR="00A86150" w:rsidRDefault="00F714D4">
      <w:pPr>
        <w:pStyle w:val="ListParagraph"/>
        <w:numPr>
          <w:ilvl w:val="0"/>
          <w:numId w:val="46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federal trademark registered under the Lanham Act</w:t>
      </w:r>
    </w:p>
    <w:p w:rsidR="00A86150" w:rsidRDefault="00F714D4">
      <w:pPr>
        <w:numPr>
          <w:ilvl w:val="0"/>
          <w:numId w:val="463"/>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sculptor casts a marble statue of a three-winged bird. To protect against copying, the sculptor can obtain which of the following?</w:t>
      </w:r>
    </w:p>
    <w:p w:rsidR="00A86150" w:rsidRDefault="00F714D4">
      <w:pPr>
        <w:pStyle w:val="ListParagraph"/>
        <w:numPr>
          <w:ilvl w:val="0"/>
          <w:numId w:val="46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patent</w:t>
      </w:r>
    </w:p>
    <w:p w:rsidR="00A86150" w:rsidRDefault="00F714D4">
      <w:pPr>
        <w:pStyle w:val="ListParagraph"/>
        <w:numPr>
          <w:ilvl w:val="0"/>
          <w:numId w:val="46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trademark</w:t>
      </w:r>
    </w:p>
    <w:p w:rsidR="00A86150" w:rsidRDefault="00F714D4">
      <w:pPr>
        <w:pStyle w:val="ListParagraph"/>
        <w:numPr>
          <w:ilvl w:val="0"/>
          <w:numId w:val="46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copyright</w:t>
      </w:r>
    </w:p>
    <w:p w:rsidR="00A86150" w:rsidRDefault="00F714D4">
      <w:pPr>
        <w:pStyle w:val="ListParagraph"/>
        <w:numPr>
          <w:ilvl w:val="0"/>
          <w:numId w:val="46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465"/>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stock analyst discovers a new system for increasing the value of a stock portfolio. He may protect against use of his system by other people by securing</w:t>
      </w:r>
    </w:p>
    <w:p w:rsidR="00A86150" w:rsidRDefault="00F714D4">
      <w:pPr>
        <w:pStyle w:val="ListParagraph"/>
        <w:numPr>
          <w:ilvl w:val="0"/>
          <w:numId w:val="46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patent</w:t>
      </w:r>
    </w:p>
    <w:p w:rsidR="00A86150" w:rsidRDefault="00F714D4">
      <w:pPr>
        <w:pStyle w:val="ListParagraph"/>
        <w:numPr>
          <w:ilvl w:val="0"/>
          <w:numId w:val="46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copyright</w:t>
      </w:r>
    </w:p>
    <w:p w:rsidR="00A86150" w:rsidRDefault="00F714D4">
      <w:pPr>
        <w:pStyle w:val="ListParagraph"/>
        <w:numPr>
          <w:ilvl w:val="0"/>
          <w:numId w:val="46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trademark</w:t>
      </w:r>
    </w:p>
    <w:p w:rsidR="00A86150" w:rsidRDefault="00F714D4">
      <w:pPr>
        <w:pStyle w:val="ListParagraph"/>
        <w:numPr>
          <w:ilvl w:val="0"/>
          <w:numId w:val="46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467"/>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company prints up its customer list for use by its sales staff. The cover page carries a notice that says “confidential.” A rival salesman gets a copy of the list. The company can sue to recover the list because the list is</w:t>
      </w:r>
    </w:p>
    <w:p w:rsidR="00A86150" w:rsidRDefault="00F714D4">
      <w:pPr>
        <w:pStyle w:val="ListParagraph"/>
        <w:numPr>
          <w:ilvl w:val="0"/>
          <w:numId w:val="46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patented</w:t>
      </w:r>
    </w:p>
    <w:p w:rsidR="00A86150" w:rsidRDefault="00F714D4">
      <w:pPr>
        <w:pStyle w:val="ListParagraph"/>
        <w:numPr>
          <w:ilvl w:val="0"/>
          <w:numId w:val="46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copyrighted</w:t>
      </w:r>
    </w:p>
    <w:p w:rsidR="00A86150" w:rsidRDefault="00F714D4">
      <w:pPr>
        <w:pStyle w:val="ListParagraph"/>
        <w:numPr>
          <w:ilvl w:val="0"/>
          <w:numId w:val="46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trade secret</w:t>
      </w:r>
    </w:p>
    <w:p w:rsidR="00A86150" w:rsidRDefault="00F714D4">
      <w:pPr>
        <w:pStyle w:val="ListParagraph"/>
        <w:numPr>
          <w:ilvl w:val="0"/>
          <w:numId w:val="468"/>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4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numPr>
          <w:ilvl w:val="0"/>
          <w:numId w:val="4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A86150" w:rsidRDefault="00F714D4">
      <w:pPr>
        <w:numPr>
          <w:ilvl w:val="0"/>
          <w:numId w:val="4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4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46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19</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8"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Insurance</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470"/>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terms and distinctions in the law of insurance</w:t>
      </w:r>
    </w:p>
    <w:p w:rsidR="00A86150" w:rsidRDefault="00F714D4">
      <w:pPr>
        <w:numPr>
          <w:ilvl w:val="0"/>
          <w:numId w:val="470"/>
        </w:numPr>
        <w:shd w:val="clear" w:color="auto" w:fill="EAE9DC"/>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types of insurance for property, liability, and life</w:t>
      </w:r>
    </w:p>
    <w:p w:rsidR="00A86150" w:rsidRDefault="00F714D4">
      <w:pPr>
        <w:numPr>
          <w:ilvl w:val="0"/>
          <w:numId w:val="470"/>
        </w:numPr>
        <w:shd w:val="clear" w:color="auto" w:fill="EAE9DC"/>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defenses to claims against insurance companies by the insured: representation, concealment, and warranties</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conclude our discussions about property with a focus on insurance law, not only because insurance is a means of compensating an owner for property losses but also because the insurance contract itself represents a property right. In this chapter, we begin by examining regulation of the insurance industry. We then look at legal issues relating to specific types of insurance. Finally, we examine defenses that insurance companies might raise to avoid making payments under insurance policies.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19.1</w:t>
      </w:r>
      <w:r>
        <w:rPr>
          <w:rFonts w:ascii="Calibri" w:eastAsia="Times New Roman" w:hAnsi="Calibri" w:cs="Calibri"/>
          <w:b/>
          <w:bCs/>
          <w:color w:val="333333"/>
          <w:sz w:val="36"/>
          <w:szCs w:val="36"/>
        </w:rPr>
        <w:t> Definitions and Types of Insurance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471"/>
        </w:numPr>
        <w:shd w:val="clear" w:color="auto" w:fill="EAE9DC"/>
        <w:tabs>
          <w:tab w:val="clear" w:pos="720"/>
          <w:tab w:val="num" w:pos="16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basic types of insurance for individuals.</w:t>
      </w:r>
    </w:p>
    <w:p w:rsidR="00A86150" w:rsidRDefault="00F714D4">
      <w:pPr>
        <w:numPr>
          <w:ilvl w:val="0"/>
          <w:numId w:val="471"/>
        </w:numPr>
        <w:shd w:val="clear" w:color="auto" w:fill="EAE9DC"/>
        <w:tabs>
          <w:tab w:val="clear" w:pos="720"/>
          <w:tab w:val="num" w:pos="1320"/>
        </w:tabs>
        <w:spacing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Name and describe the various kinds of business insurance.</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Certain terms are usefully defined at the outset. </w:t>
      </w:r>
      <w:r>
        <w:rPr>
          <w:rFonts w:ascii="Georgia" w:eastAsia="Times New Roman" w:hAnsi="Georgia" w:cs="Times New Roman"/>
          <w:color w:val="333333"/>
          <w:sz w:val="20"/>
          <w:szCs w:val="20"/>
        </w:rPr>
        <w:t>Insurance</w:t>
      </w:r>
      <w:r>
        <w:rPr>
          <w:rFonts w:ascii="Georgia" w:eastAsia="Times New Roman" w:hAnsi="Georgia" w:cs="Times New Roman"/>
          <w:color w:val="333333"/>
          <w:sz w:val="21"/>
          <w:szCs w:val="21"/>
        </w:rPr>
        <w:t> is a contract of reimbursement. For example, it reimburses for losses from specified perils, such as fire, hurricane, and earthquake. An </w:t>
      </w:r>
      <w:r>
        <w:rPr>
          <w:rFonts w:ascii="Georgia" w:eastAsia="Times New Roman" w:hAnsi="Georgia" w:cs="Times New Roman"/>
          <w:color w:val="333333"/>
          <w:sz w:val="20"/>
          <w:szCs w:val="20"/>
        </w:rPr>
        <w:t>insurer</w:t>
      </w:r>
      <w:r>
        <w:rPr>
          <w:rFonts w:ascii="Georgia" w:eastAsia="Times New Roman" w:hAnsi="Georgia" w:cs="Times New Roman"/>
          <w:color w:val="333333"/>
          <w:sz w:val="21"/>
          <w:szCs w:val="21"/>
        </w:rPr>
        <w:t> is the company or person who promises to reimburse. The </w:t>
      </w:r>
      <w:r>
        <w:rPr>
          <w:rFonts w:ascii="Georgia" w:eastAsia="Times New Roman" w:hAnsi="Georgia" w:cs="Times New Roman"/>
          <w:color w:val="333333"/>
          <w:sz w:val="20"/>
          <w:szCs w:val="20"/>
        </w:rPr>
        <w:t>insured</w:t>
      </w:r>
      <w:r>
        <w:rPr>
          <w:rFonts w:ascii="Georgia" w:eastAsia="Times New Roman" w:hAnsi="Georgia" w:cs="Times New Roman"/>
          <w:color w:val="333333"/>
          <w:sz w:val="21"/>
          <w:szCs w:val="21"/>
        </w:rPr>
        <w:t> (sometimes called the assured) is the one who receives the payment, except in the case of life insurance, where payment goes to the beneficiary named in the life insurance contract. The </w:t>
      </w:r>
      <w:r>
        <w:rPr>
          <w:rFonts w:ascii="Georgia" w:eastAsia="Times New Roman" w:hAnsi="Georgia" w:cs="Times New Roman"/>
          <w:b/>
          <w:bCs/>
          <w:color w:val="333333"/>
          <w:sz w:val="20"/>
          <w:szCs w:val="20"/>
        </w:rPr>
        <w:t>premium</w:t>
      </w:r>
      <w:r>
        <w:rPr>
          <w:rFonts w:ascii="Georgia" w:eastAsia="Times New Roman" w:hAnsi="Georgia" w:cs="Times New Roman"/>
          <w:color w:val="333333"/>
          <w:sz w:val="21"/>
          <w:szCs w:val="21"/>
        </w:rPr>
        <w:t> is the consideration paid by the insured—usually annually or semiannually—for the insurer’s promise to reimburse. The contract itself is called the </w:t>
      </w:r>
      <w:r>
        <w:rPr>
          <w:rFonts w:ascii="Georgia" w:eastAsia="Times New Roman" w:hAnsi="Georgia" w:cs="Times New Roman"/>
          <w:color w:val="333333"/>
          <w:sz w:val="20"/>
          <w:szCs w:val="20"/>
        </w:rPr>
        <w:t>policy</w:t>
      </w:r>
      <w:r>
        <w:rPr>
          <w:rFonts w:ascii="Georgia" w:eastAsia="Times New Roman" w:hAnsi="Georgia" w:cs="Times New Roman"/>
          <w:color w:val="333333"/>
          <w:sz w:val="21"/>
          <w:szCs w:val="21"/>
        </w:rPr>
        <w:t>. The events insured against are known as </w:t>
      </w:r>
      <w:r>
        <w:rPr>
          <w:rFonts w:ascii="Georgia" w:eastAsia="Times New Roman" w:hAnsi="Georgia" w:cs="Times New Roman"/>
          <w:color w:val="333333"/>
          <w:sz w:val="20"/>
          <w:szCs w:val="20"/>
        </w:rPr>
        <w:t>risks</w:t>
      </w:r>
      <w:r>
        <w:rPr>
          <w:rFonts w:ascii="Georgia" w:eastAsia="Times New Roman" w:hAnsi="Georgia" w:cs="Times New Roman"/>
          <w:color w:val="333333"/>
          <w:sz w:val="21"/>
          <w:szCs w:val="21"/>
        </w:rPr>
        <w:t> or </w:t>
      </w:r>
      <w:r>
        <w:rPr>
          <w:rFonts w:ascii="Georgia" w:eastAsia="Times New Roman" w:hAnsi="Georgia" w:cs="Times New Roman"/>
          <w:color w:val="333333"/>
          <w:sz w:val="20"/>
          <w:szCs w:val="20"/>
        </w:rPr>
        <w:t>perils</w:t>
      </w:r>
      <w:r>
        <w:rPr>
          <w:rFonts w:ascii="Georgia" w:eastAsia="Times New Roman" w:hAnsi="Georgia" w:cs="Times New Roman"/>
          <w:color w:val="333333"/>
          <w:sz w:val="21"/>
          <w:szCs w:val="21"/>
        </w:rPr>
        <w:t>.</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Regulation of insurance is left mainly in the hands of state, rather than federal, authorities. Under the McCarran-Ferguson Act, Congress exempted state-regulated insurance companies from the federal antitrust laws. Every state now has an insurance department that oversees insurance rates, policy standards, reserves, and other aspects of the industry. Over the years, these departments have come under fire in many states for being ineffective and “captives” of the industry. Moreover, large insurers operate in all states, and both they and consumers must contend with fifty different state regulatory schemes that provide very different degrees of protection. From time to time, attempts have been made to bring insurance under federal regulation, but none have been successful.</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begin with an overview of the types of insurance, from both a consumer and a business perspective. Then we examine in greater detail the three most important types of insurance: property, liability, and life.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Public and Private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a distinction is made between public and private insurance. Public (or social) insurance includes Social Security, Medicare, temporary disability insurance, and the like, funded through government plans. Private insurance plans, by contrast, are all types of coverage offered by private corporations or organizations. The focus of this chapter is private insurance.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Insurance for the Individual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Life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Life insurance provides for your family or some other named beneficiaries on your death. Two general types are available: term insurance provides coverage only during the term of the policy and pays off only on the insured’s death; whole-life insurance provides savings as well as insurance and can let the insured collect before death.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Health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Health insurance covers the cost of hospitalization, visits to the doctor’s office, and prescription medicines. The most useful policies, provided by many employers, are those that cover 100 percent of the costs of being hospitalized and 80 percent of the charges for medicine and a doctor’s services. Usually, the policy will contain a deductible amount; the insurer will not make payments until after the deductible amount has been reached. Twenty years ago, the deductible might have been the first $100 or $250 of charges; today, it is often much higher.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Disability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disability policy pays a certain percentage of an employee’s wages (or a fixed sum) weekly or monthly if the employee becomes unable to work through illness or an accident. Premiums are lower for policies with longer waiting periods before payments must be made: a policy that begins to pay a disabled worker within thirty days might cost twice as much as one that defers payment for six months.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Homeowner’s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homeowner’s policy provides insurance for damages or losses due to fire, theft, and other named perils. No policy routinely covers all perils. The homeowner must assess his needs by looking to the likely risks in his area—earthquake, hailstorm, flooding, and so on. Homeowner’s policies provide for reduced coverage if the property is not insured for at least 80 percent of its replacement costs. In inflationary times, this requirement means that the owner must adjust the policy limits upward each year or purchase a rider that automatically adjusts for inflation. Where property values have dropped substantially, the owner of a home (or a commercial building) might find savings in lowering the policy’s insured amount.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Automobile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Automobile insurance is perhaps the most commonly held type of insurance. Automobile policies are required in at least minimum amounts in all states. The typical automobile policy covers liability for bodily injury and property damage, medical payments, damage to or loss of the car itself, and attorneys’ fees in case of a lawsuit.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Other Liability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litigious society, a person can be sued for just about anything: a slip on the walk, a harsh and untrue word spoken in anger, an accident on the ball field. A personal liability policy covers many types of these risks and can give coverage in excess of that provided by homeowner’s and automobile insurance. Such umbrella coverage is usually fairly inexpensive, perhaps $250 a year for $1 million in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Business Insurance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Workers’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Almost every business in every state must insure against injury to workers on the job. Some may do this through self-insurance—that is, by setting aside certain reserves for this contingency. Most smaller businesses purchase workers’ compensation policies, available through commercial insurers, trade associations, or state funds.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Automobile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Any business that uses motor vehicles should maintain at least a minimum automobile insurance policy on the vehicles, covering personal injury, property damage, and general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Property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business should take a chance of leaving unprotected its buildings, permanent fixtures, machinery, inventory, and the like. Various property policies cover damage or loss to a company’s own property or to property of others stored on the premises.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Malpractice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Professionals such as doctors, lawyers, and accountants will often purchase malpractice insurance to protect against claims made by disgruntled patients or clients. For doctors, the cost of such insurance has been rising over the past thirty years, largely because of larger jury awards against physicians who are negligent in the practice of their profession.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Business Interruption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Depending on the size of the business and its vulnerability to losses resulting from damage to essential operating equipment or other property, a company may wish to purchase insurance that will cover loss of earnings if the business operations are interrupted in some way—by a strike, loss of power, loss of raw material supply, and so 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Liability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Businesses face a host of risks that could result in substantial liabilities. Many types of policies are available, including policies for owners, landlords, and tenants (covering liability incurred on the premises); for manufacturers and contractors (for liability incurred on all premises); for a company’s products and completed operations (for liability that results from warranties on products or injuries caused by products); for owners and contractors (protective liability for damages caused by independent contractors engaged by the insured); and for contractual liability (for failure to abide by performances required by specific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years ago, different types of individual and business coverage had to be purchased separately and often from different companies. Today, most insurance is available on a package basis, through single policies that cover the most important risks. These are often called multiperil policies.</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Although insurance is a need for every US business, and many businesses operate in all fifty states, regulation of insurance has remained at the state level. There are several forms of public insurance (Social Security, disability, Medicare) and many forms of private insurance. Both individuals and businesses have significant needs for various types of insurance, to provide protection for health care, for their property, and for legal claims made against them by others.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72"/>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Theresa Conley is joining the accounting firm of Hunter and Patton in Des Moines, Iowa. She is a certified public accountant. What kind of insurance will she (or the firm, on her behalf) need to buy because of her professional activities?</w:t>
      </w:r>
    </w:p>
    <w:p w:rsidR="00A86150" w:rsidRDefault="00F714D4">
      <w:pPr>
        <w:numPr>
          <w:ilvl w:val="0"/>
          <w:numId w:val="472"/>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Nate Johnson has just signed a franchise agreement with Papa Luigi’s Pizza and will be operating his own Papa Luigi’s store in Lubbock, Texas. The franchise agreement requires that he personally contract for “all necessary insurance” for the successful operation of the franchise. He expects to have twelve employees, five full-time and seven part-time (the delivery people), at his location, which will be on a busy boulevard in Lubbock and will offer take-out only. Pizza delivery employees will be using their own automobiles to deliver orders. What kinds of insurance will be “necessary”?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19.2</w:t>
      </w:r>
      <w:r>
        <w:rPr>
          <w:rFonts w:ascii="Calibri" w:eastAsia="Times New Roman" w:hAnsi="Calibri" w:cs="Calibri"/>
          <w:b/>
          <w:bCs/>
          <w:color w:val="333333"/>
          <w:sz w:val="36"/>
          <w:szCs w:val="36"/>
        </w:rPr>
        <w:t> Property Insurance, Liability Insurance, and Life Insurance</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473"/>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and define the basic types of insurance for property, liability, and life.</w:t>
      </w:r>
    </w:p>
    <w:p w:rsidR="00A86150" w:rsidRDefault="00F714D4">
      <w:pPr>
        <w:numPr>
          <w:ilvl w:val="0"/>
          <w:numId w:val="473"/>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concepts of subrogation and assignment.</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turn now to a more detailed discussion of the law relating to the three most common types of insurance: property, liability, and life insurance.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Property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sometimes said that property is the foundation for a system of free market capitalism. If so, then protecting property is a necessary part of being part of that system, whether as an individual or as a business entity.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Coverage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noted, property insurance provides coverage for real and personal property owned by a business or an individual. Property insurance is also part of automobile policies covering damage to the car caused by an accident (collision coverage) or by other events such as vandalism or fire (comprehensive coverage). Different levels of coverage are available. For example, many basic homeowners’ policies cover damage resulting from the following types of perils only: fire and lightning, windstorm and hail, explosions, riots and civil commotions, aircraft and vehicular accidents, smoke, vandalism and malicious mischief, theft, and breakage of glass that is part of a building.</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broader policy, known as broad coverage, also includes these perils: falling objects; weight of ice, snow, and sleet; collapse of buildings; sudden and accidental damage to heating systems; accidental discharge from plumbing, heating, or air-conditioning systems; freezing of heating, plumbing, and air conditioning systems; and sudden and accidental injury from excess currents to electrical appliances and wiring. Even with the broadest form of coverage, known as comprehensive, which covers all perils except for certain named exclusions, the homeowner can be left without protection. For example, comprehensive policies do not usually cover damage resulting from flooding, earthquakes, war, or nuclear radiation. The homeowner can purchase separate coverage for these perils but usually at a steep premium.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Insurable Interest in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purchase property insurance, the would-be insured must have aninsurable interest in the property. Insurable interest is a real and substantial interest in specific property such that a loss to the insured would ensue if the property were damaged. You could not, for instance, take out an insurance policy on a motel down the block with which you have no connection. If a fire destroyed it, you would suffer no economic loss. But if you helped finance the motel and had an investment interest in it, you would be permitted to place an insurance policy on it. This requirement of an insurable interest stems from the public policy against wagering. If you could insure anything, you would in effect be betting on an accident.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insure property, therefore, you must have a legal interest and run the risk of a pecuniary loss. Any legal interest is sufficient: a contractual right to purchase, for instance, or the right of possession (a bailee may insure). This insurable interest must exist both at the time you take out the policy and at the time the loss occurs. Moreover, coverage is limited to the extent of the interest. As a mortgagee, you could ensure only for the amount still due.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Prior to the financial meltdown of 2008, many investment banks took insurance against possible losses from collateralized debt obligations (CDOs) and other financial products based on subprime loans. The principal insurer was American International Group, Inc. (AIG), which needed a US government bailout when the risks covered by AIG turned out to be riskier than AIG’s models had projected.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Subrogation</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19.1</w:t>
      </w:r>
      <w:r>
        <w:rPr>
          <w:rFonts w:ascii="Georgia" w:eastAsia="Times New Roman" w:hAnsi="Georgia" w:cs="Calibri"/>
          <w:i/>
          <w:iCs/>
          <w:color w:val="BB9966"/>
          <w:sz w:val="21"/>
          <w:szCs w:val="21"/>
        </w:rPr>
        <w:t> Subrogation</w:t>
      </w:r>
    </w:p>
    <w:p w:rsidR="00A86150" w:rsidRDefault="00F714D4">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2552700"/>
            <wp:effectExtent l="0" t="0" r="0" b="0"/>
            <wp:docPr id="101" name="Picture 21" descr="http://images.flatworldknowledge.com/mayerlawentrep/mayerlawentrep-fig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mayerlawentrep/mayerlawentrep-fig37_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Subrogation is the substitution of one person for another in pursuit of a legal claim. When an insured is entitled to recover under a policy for property damage, the insurer is said to be subrogated to the insured’s right to sue any third party who caused the damage. For example, a wrecking company negligently destroys an insured’s home, mistaking it for the building it was hired to tear down. The insured has a cause of action against the wrecking company. If the insured chooses instead to collect against a homeowner’s policy, the insurance company may sue the wrecking company in the insured’s place to recover the sum it was obligated to pay out under the policy (see </w:t>
      </w:r>
      <w:r>
        <w:rPr>
          <w:rFonts w:ascii="Georgia" w:eastAsia="Times New Roman" w:hAnsi="Georgia" w:cs="Calibri"/>
          <w:color w:val="2689C6"/>
          <w:sz w:val="20"/>
          <w:szCs w:val="20"/>
        </w:rPr>
        <w:t>Figure 19.1 "Subrogation"</w:t>
      </w:r>
      <w:r>
        <w:rPr>
          <w:rFonts w:ascii="Georgia" w:eastAsia="Times New Roman" w:hAnsi="Georgia" w:cs="Calibri"/>
          <w:color w:val="333333"/>
          <w:sz w:val="20"/>
          <w:szCs w:val="20"/>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Assignment is the transfer of any property right to another. In property insurance, a distinction is made between assignment of the coverage and assignment of the proceeds. Ordinarily, the insured may not assign the policy itself without the insurer’s permission—that is, he may not commit the insurer to insure someone else. But the insured may assign any claims against the insurer—for example, the proceeds not yet paid out on a claim for a house that has already burned down.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Intentional Losses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Insurance is a means of spreading risk. It is economically feasible because not every house burns down and not every car is stolen. The number that do burn down or that are stolen can be calculated and the premium set accordingly. Events that will certainly happen, like ordinary wear and tear and the destruction of property through deliberate acts such as arson, must be excluded from such calculations. The injury must result from accidental, not deliberate, causes.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Coinsurance Clause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commercial property policies contain a so-called coinsurance clause, which requires the insured to maintain insurance equal to a specified percentage of the property value. It is often 80 percent but may be higher or lower. If the property owner insures for less than that percentage, the recovery will be reduced. In effect, the owner becomes a coinsurer with the insurance company. The usual formula establishes the proportion that the insurer must pay by calculating the ratio of (1) the amount of insurance actually taken to (2) the coinsurance percentage multiplied by the total dollar value of the property. Suppose a fire causes $160,000 damage to a plant worth $1,000,000. The plant should have been insured for 80 percent ($800,000), but the insured took out only a $500,000 policy. He will recover only $100,000. To see why, multiply the total damages of $160,000 by the coinsurance proportion of five-eighths ($500,000 of insurance on the required minimum of $800,000). Five-eighths of $160,000 equals $100,000, which would be the insured’s recovery where the policy has a coinsurance clause.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Liability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Liability insurance has taken on great importance for both individuals and businesses in contemporary society. Liability insurance covers specific types of legal liabilities that a homeowner, driver, professional, business executive, or business itself might incur in the round of daily activities. A business is always at risk in sending products into the marketplace. Doctors, accountants, real estate brokers, insurance agents, and lawyers should obtain liability insurance to cover the risk of being sued for malpractice. A prudent homeowner will acquire liability insurance as part of homeowner’s policy and a supplemental umbrella policy that insures for liability in excess of a limit of, say, $100,000 in the regular homeowner’s policy. And businesses, professionals, and individuals typically acquire liability insurance for driving-related activities as part of their automobile insurance. In all cases, liability policies cover not only any settlement or award that might ultimately have to be paid but also the cost of lawyers and related expenses in defending any claims.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Liability insurance is similar in several respects to property insurance and is often part of the same package policy. As with property insurance, subrogation is allowed with liability insurance, but assignment of the policy is not allowed (unless permission of the insurer is obtained), and intentional losses are not covered. For example, an accountant who willfully helps a client conceal fraud will not recover from his malpractice insurance policy if he is found guilty of participating in the fraud.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No-Fault Trends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major legal development of the century relating to liability insurance has been the elimination of liability in the two areas of greatest exposure: in the workplace and on the highway. In the next unit on agency law, we discuss the no-fault system of workers’ compensation, under which a worker receives automatic benefits for workplace injuries and gives up the right to sue the employer under common-law theories of liability. Here we will look briefly at the other major type of no-fault system: recovery for damages stemming from motor vehicle accidents.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“No-fault” means that recovery for damages in an accident no longer depends on who was at fault in causing it. A motorist will file a claim to recover his actual damages (medical expenses, income loss) directly from his own insurer. The no-fault system dispenses with the costly and uncertain tort system of having to prove negligence in court. Many states have adopted one form or another of no-fault automobile insurance, but even in these states the car owner must still carry other insurance. Some no-fault systems have a dollar “threshold” above which a victim may sue for medical expenses or other losses. Other states use a “verbal threshold,” which permits suits for “serious” injury, defined variously as “disfigurement,” “fracture,” or “permanent disability.” These thresholds have prevented no-fault from working as efficiently as theory predicts. Inflation has reduced the power of dollar thresholds (in some states as low as $200) to deter lawsuits, and the verbal thresholds have standards that can only be defined in court, so much litigation continues.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state has adopted a “pure” no-fault system. A pure no-fault system trades away entirely the right to sue in return for the prompt payment of “first-party” insurance benefits—that is, payment by the victim’s own insurance company instead of traditional “third-party” coverage, in which the victim collects from the defendant’s insurance company.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Among the criticisms of no-fault insurance is the argument that it fails to strengthen the central purpose of the tort system: to deter unsafe conduct that causes accidents. No-fault lessens, it is said, the incentive to avoid accidents. In any event, no-fault automobile insurance has been a major development in the insurance field since 1970 and seems destined to be a permanent fixture of insurance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Life Insurance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Insurable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two types of life insurance mentioned in </w:t>
      </w:r>
      <w:r>
        <w:rPr>
          <w:rFonts w:ascii="Georgia" w:eastAsia="Times New Roman" w:hAnsi="Georgia" w:cs="Calibri"/>
          <w:color w:val="2689C6"/>
          <w:sz w:val="20"/>
          <w:szCs w:val="20"/>
        </w:rPr>
        <w:t>Section 19.1.2 "Types of Insurance for the Individual"</w:t>
      </w:r>
      <w:r>
        <w:rPr>
          <w:rFonts w:ascii="Georgia" w:eastAsia="Times New Roman" w:hAnsi="Georgia" w:cs="Calibri"/>
          <w:color w:val="333333"/>
          <w:sz w:val="20"/>
          <w:szCs w:val="20"/>
        </w:rPr>
        <w:t>, term and whole-life policies, are important both to individuals and to businesses (insurance for key employees). As with property insurance, whoever takes out a life insurance policy on a person’s life must have an insurable interest. Everyone has an insurable interest in his own life and may name whomever he pleases as beneficiary; the beneficiary need not have an insurable interest. But the requirement of insurable interest restricts those who may take out insurance on someone else’s life. A spouse or children have an insurable interest in a spouse or parent. Likewise, a parent has an insurable interest in any minor child. That means that a wife, for example, may take out a life insurance policy on her husband without his consent. But she could not take out a policy on a friend or neighbor. As long as the insurable interest existed when the policy was taken out, the owner may recover when the insured dies, even if the insurable interest no longer exists. Thus a divorced wife who was married when the policy was obtained may collect when her ex-husband dies as long as she maintained the payments. Likewise, an employer has an insurable interest in his key employees and partners; such insurance policies help to pay off claims of a partner’s estate and thus prevent liquidation of the business.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Subrogation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Unlike property insurance, life insurance does not permit subrogation. The insurer must pay the claim when the insured dies and may not step into the shoes of anyone entitled to file a wrongful death claim against a person who caused the death. Of course, if the insured died of natural causes, there would be no one to sue anyway.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Change of Beneficiary and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Unless the insured reserves the right to change beneficiaries, his or her initial designation is irrevocable. These days, however, most policies do reserve the right if certain formalities are observed, including written instructions to the insurer’s home office to make the change and endorsement of the policy. The insured may assign the policy, but the beneficiary has priority to collect over the assignee if the right to change beneficiaries has not been reserved. If the policy permits beneficiaries to be changed, then the assignee will have priority over the original beneficiary.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Intentional Losses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Two types of intentional losses are especially important in life insurance: suicide and murder of the insured by the beneficiary.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Suicide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majority of states, in the absence of a suicide clause in the policy, when an insured commits suicide, the insurer need not pay out if the policy is payable to the insured’s estate. However, if the policy is payable to a third person (e.g., the insured’s company), payment will usually be allowed. And if an insured kills himself while insane, all states require payment, whether to the estate or a third party. Most life insurance policies today have a provision that explicitly excepts suicide from coverage for a limited period, such as two years, after the policy is issued. In other words, if the insured commits suicide within the first two years, the insurer will refund the premiums to his estate but will not pay the policy amount. After two years, suicide is treated as any other death would be.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Murder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law in every state, a beneficiary who kills the insured in order to collect the life insurance is barred from receiving it. But the invocation of that rule does not absolve the insurer of liability to pay the policy amount. An alternate beneficiary must be found. Sometimes the policy will name contingent beneficiaries, and many, but not all, states require the insurer to pay the contingent beneficiaries. When there are no contingent beneficiaries or the state law prohibits paying them, the insurer will pay the insured’s estate. Not every killing is murder; the critical question is whether the beneficiary intended his conduct to eliminate the insured in order to collect the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willful, unlawful, and felonious killing of the insured by the person named as beneficiary in a life policy results in the forfeiture of all rights of such person therein. It is unnecessary that there should be an express exception in the contract of insurance forbidding a recovery in favor of such a person in such an event. On considerations of public policy, the death of the insured, willfully and intentionally caused by the beneficiary of the policy, is an excepted risk so far as the person thus causing the death is concerned.</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Many kinds of insurance are available for individuals and businesses. For individuals, life insurance, homeowner’s insurance, and automobile insurance are common, with health insurance considered essential but often expensive. Businesses with sufficient employees will obtain workers’ compensation insurance, property insurance, and liability insurance, and auto insurance for any employees driving company vehicles. Insurance companies will often pay a claim for their insured and take over the insured’s claim against a third party.</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Liability insurance is important for individuals, companies, and licensed professionals. A trend toward no-fault in liability insurance is seen in claims for work-related injuries (workers’ compensation) and in automobile insurance. Life insurance is common for most families and for businesses that want to protect against the loss of key employees.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74"/>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Helen Caldicott raises a family and then begins a career as a caterer. As her business grows, she hires several employees and rents space near downtown that has a retail space, parking, and a garage for the three vehicles that bear her business’s name. What kinds of insurance does Helen need for her business?</w:t>
      </w:r>
    </w:p>
    <w:p w:rsidR="00A86150" w:rsidRDefault="00F714D4">
      <w:pPr>
        <w:numPr>
          <w:ilvl w:val="0"/>
          <w:numId w:val="47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of Helen’s employees, Bob Zeek, is driving to a catered event when another car fails to stop at a red light and severely injures Bob and nearly totals the van Bob was driving. The police issue a ticket for careless and reckless driving to the other driver, who pleads guilty to the offense. The other driver is insured, but Helen’s automobile insurance carrier goes ahead and pays for the damages to the company vehicle. What will her insurance company likely do next?</w:t>
      </w:r>
    </w:p>
    <w:p w:rsidR="00A86150" w:rsidRDefault="00F714D4">
      <w:pPr>
        <w:numPr>
          <w:ilvl w:val="0"/>
          <w:numId w:val="47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health insurance provider for Helen’s employees pays over $345,000 of Bob’s medical and hospitalization bills. What will Helen’s insurance company likely do next?</w:t>
      </w:r>
    </w:p>
    <w:p w:rsidR="00A86150" w:rsidRDefault="00F714D4">
      <w:pPr>
        <w:numPr>
          <w:ilvl w:val="0"/>
          <w:numId w:val="474"/>
        </w:numPr>
        <w:shd w:val="clear" w:color="auto" w:fill="E3EFF7"/>
        <w:tabs>
          <w:tab w:val="clear" w:pos="720"/>
          <w:tab w:val="num" w:pos="132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Many homeowners live on floodplains but have homeowner’s insurance nonetheless. Must insurance companies write such policies? Do homeowners on floodplains pay more in premiums? If insurance companies are convinced that global climate change is happening, with rising sea levels and stronger storms, can they simply avoid writing policies for homes and commercial buildings in coastal areas?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19.3</w:t>
      </w:r>
      <w:r>
        <w:rPr>
          <w:rFonts w:ascii="Calibri" w:eastAsia="Times New Roman" w:hAnsi="Calibri" w:cs="Calibri"/>
          <w:b/>
          <w:bCs/>
          <w:color w:val="333333"/>
          <w:sz w:val="36"/>
          <w:szCs w:val="36"/>
        </w:rPr>
        <w:t> Insurer’s Defenses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475"/>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principal defenses available to insurers when claims are made.</w:t>
      </w:r>
    </w:p>
    <w:p w:rsidR="00A86150" w:rsidRDefault="00F714D4">
      <w:pPr>
        <w:numPr>
          <w:ilvl w:val="0"/>
          <w:numId w:val="475"/>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despite these defenses, insurance companies must act in good faith.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Defenses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 common perception that because insurance contracts are so complex, many insureds who believe they are covered end up with uninsured losses. In other words, the large print giveth, and the small print taketh away. This perception is founded, to some extent, on the use by insurance companies of three common defenses, all of which relate to a duty of good faith on the part of the insured: (1) representation, (2) concealment, and (3) warranties.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representation is a statement made by someone seeking an insurance policy—for example, a statement that the applicant did (or did not) consult a doctor for any illness during the previous five years. An insurer has grounds to avoid the contract if the applicant makes a false representation. The misrepresentation must have been material; that is, a false description of a person’s hair coloring should not defeat a claim under an automobile accident policy. But a false statement, even if innocent, about a material fact—for instance, that no one in the family uses the car to go to work, when unbeknownst to the applicant, his wife uses the car to commute to a part-time job she hasn’t told him about—will at the insurer’s option defeat a claim by the insured to collect under the policy. The accident need not have arisen out of the misrepresentation to defeat the claim. In the example given, the insurance company could refuse to pay a claim for any accident in the car, even one occurring when the car was driven by the husband to go to the movies, if the insurer discovered that the car was used in a manner in which the insured had declared it was not used. This chapter’s case, </w:t>
      </w:r>
      <w:r>
        <w:rPr>
          <w:rFonts w:ascii="Georgia" w:eastAsia="Times New Roman" w:hAnsi="Georgia" w:cs="Calibri"/>
          <w:i/>
          <w:iCs/>
          <w:color w:val="333333"/>
          <w:sz w:val="20"/>
          <w:szCs w:val="20"/>
        </w:rPr>
        <w:t>Mutual Benefit Life Insurance Co. v. JMR Electronics Corp.</w:t>
      </w:r>
      <w:r>
        <w:rPr>
          <w:rFonts w:ascii="Georgia" w:eastAsia="Times New Roman" w:hAnsi="Georgia" w:cs="Calibri"/>
          <w:color w:val="333333"/>
          <w:sz w:val="20"/>
          <w:szCs w:val="20"/>
        </w:rPr>
        <w:t>, (see </w:t>
      </w:r>
      <w:r>
        <w:rPr>
          <w:rFonts w:ascii="Georgia" w:eastAsia="Times New Roman" w:hAnsi="Georgia" w:cs="Calibri"/>
          <w:color w:val="2689C6"/>
          <w:sz w:val="20"/>
          <w:szCs w:val="20"/>
        </w:rPr>
        <w:t>Section 19.4.1 "Misrepresentation to Insurer"</w:t>
      </w:r>
      <w:r>
        <w:rPr>
          <w:rFonts w:ascii="Georgia" w:eastAsia="Times New Roman" w:hAnsi="Georgia" w:cs="Calibri"/>
          <w:color w:val="333333"/>
          <w:sz w:val="20"/>
          <w:szCs w:val="20"/>
        </w:rPr>
        <w:t>), illustrates what happens when an insured misrepresents his smoking habits.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Concealment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insured is obligated to volunteer to the insurer all material facts that bear on insurability. The failure of an insured to set forth such information is aconcealment, which is, in effect, the mirror image of a false representation. But the insured must have had a fraudulent intent to conceal the material facts. For example, if the insured did not know that gasoline was stored in his basement, the insurer may not refuse to pay out on a fire insurance policy.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Warranties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insurance policies covering commercial property will contain warranties. For example, a policy may have a warranty that the insured bank has installed or will install a particular type of burglar alarm system. Until recently, the rule was strictly enforced: any breach of a warranty voided the contract, even if the breach was not material. A nonmaterial breach might be, for example, that the bank obtained the alarm system from a manufacturer other than the one specified, even though the alarm systems are identical. In recent years, courts or legislatures have relaxed the application of this rule. But a material breach still remains absolute grounds for the insurer to avoid the contract and refuse to pay.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Incontestable Clause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life insurance cases, the three common defenses often are unavailable to the insurer because of the so-called incontestable clause. This states that if the insured has not died during a specified period of time in which the life insurance policy has been in effect (usually two years), then the insurer may not refuse to pay even if it is later discovered that the insured committed fraud in applying for the policy. Few nonlife policies contain an incontestable clause; it is used in life insurance because the effect on many families would be catastrophic if the insurer claimed misrepresentation or concealment that would be difficult to disprove years later when the insured himself would no longer be available to give testimony about his intentions or knowledge.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Requirement of Insurer’s Good Faith</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 the insured, the insurer must act in good faith. Thus defenses may be unavailable to an insurer who has waived them or acted in such a manner as to create an estoppel. Suppose that when an insured seeks to increase the amount on his life insurance policy, the insurance company learns that he lied about his age on his original application. Nevertheless, the company accepts his application for an increase. The insured then dies, and the insurer refuses to pay his wife any sum. A court would hold that the insurer had waived its right to object, since it could have cancelled the policy when it learned of the misrepresentation. Finally, an insurer that acts in bad faith by denying a claim that it knows it should pay may find itself open to punitive damage liability.</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claims by insured parties can be legally denied by insurance companies where the insured has made a material misrepresentation. Some claims can be legally denied if the insured has deliberately concealed important matters in applying for insurance coverage. Because insurance coverage is by contract, courts often strictly construe the contract language, and if the language does not cover the insured, the courts will typically not bend the language of the contract to help the insured.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7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Amir Labib gets a reduced rate from his auto insurance company because he represents in his application that he commutes less than ten miles a day to work. Three years later, he and his wife buy a new residence, farther away from work, and he begins a fifteen-mile-a-day commute. The rate would be raised if he were to mention this to his insurance company. The insurance company sees that he has a different address, because they are mailing invoices to his new home. But the rate remains the same. Amir has a serious accident on a vacation to Yellowstone National Park, and his automobile is totaled. His insurance policy is a no-fault policy as it relates to coverage for vehicle damage. Is the insurance company within its rights to deny any payment on his claim? How so, or why not?</w:t>
      </w:r>
    </w:p>
    <w:p w:rsidR="00A86150" w:rsidRDefault="00F714D4">
      <w:pPr>
        <w:numPr>
          <w:ilvl w:val="0"/>
          <w:numId w:val="476"/>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2009, Peter Calhoun gets a life insurance policy from Northwest Mutual Life Insurance Company, and the death benefit is listed as $250,000. The premiums are paid up when he dies in 2011 after a getaway car being chased by the police slams into his car at fifty miles per hour on a street in suburban Chicago. The life insurance company gets information that he smoked two packs of cigarettes a day, whereas in his application in 2009, he said he smoked only one pack a day. In fact, he had smoked about a pack and a half every day since 1992. Is the insurance company within its rights to deny any payment on his claim? How so, or why not?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19.4</w:t>
      </w:r>
      <w:r>
        <w:rPr>
          <w:rFonts w:ascii="Calibri" w:eastAsia="Times New Roman" w:hAnsi="Calibri" w:cs="Calibri"/>
          <w:b/>
          <w:bCs/>
          <w:color w:val="333333"/>
          <w:sz w:val="36"/>
          <w:szCs w:val="36"/>
        </w:rPr>
        <w:t>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Misrepresentation to Insurer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Mutual Benefit Life Insurance Co. v. JMR Electronics Corp.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848 F.2d 30 (2nd Cir. 1988)</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 CURIAM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JMR Electronics Corporation (“JMR”) appeals from a judgment of the District Court for the Southern District of New York (Robert W. Sweet, Judge) ordering rescission of a life insurance policy issued by plaintiff-appellant The Mutual Benefit Life Insurance Company (“Mutual”) and dismissing JMR’s counterclaim for the policy’s proceeds. Judge Sweet ruled that a misrepresentation made in the policy application concerning the insured’s history of cigarette smoking was material as a matter of law. Appellant contends that the misrepresentation was not material because Mutual would have provided insurance—albeit at a higher premium rate—even if the insured’s smoking history had been disclosed. We agree with the District Court that summary judgment was appropriate and therefore affirm.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basic facts are not in dispute. On June 24, 1985, JMR submitted an application to Mutual for a $ 250,000 “key man” life insurance policy on the life of its president, Joseph Gaon, at the non-smoker’s discounted premium rate. Mutual’s 1985 Ratebook provides: “The Non-Smoker rates are available when the proposed insured is at least 20 years old and has not smoked a cigarette for at least twelve months prior to the date of the application.” Question 13 of the application inquired about the proposed insured’s smoking history. Question 13(a) asked, “Do you smoke cigarettes? How many a day?” Gaon answered this question, “No.” Question 13(b) asked, “Did you ever smoke cigarettes? “ Gaon again answered, “No.” Based on these representations, Mutual issued a policy on Gaon’s life at the non-smoker premium rate.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Gaon died on June 22, 1986, within the period of contestability contained in policy,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N.Y. Ins. Law § 3203 (a)(3) (McKinney 1985). Upon routine investigation of JMR’s claim for proceeds under the policy, Mutual discovered that the representations made in the insurance application concerning Gaon’s smoking history were untrue. JMR has stipulated that, at the time the application was submitted, Gaon in fact “had been smoking one-half of a pack of cigarettes per day for a continuous period of not less than 10 years.” Mutual brought this action seeking a declaration that the policy is void. Judge Sweet granted Mutual’s motion for summary judgment, dismissed JMR’s counterclaim for the proceeds of the policy, and ordered rescission of the insurance policy and return of JMR’s premium payments, with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New York law, which governs this diversity suit, “it is the rule that even an innocent misrepresentation as to [the applicant’s medical history], if material, is sufficient to allow the insurer to avoid the contract of insurance or defeat recovery thereunder.” </w:t>
      </w:r>
      <w:r>
        <w:rPr>
          <w:rFonts w:ascii="Georgia" w:eastAsia="Times New Roman" w:hAnsi="Georgia" w:cs="Calibri"/>
          <w:i/>
          <w:iCs/>
          <w:color w:val="333333"/>
          <w:sz w:val="20"/>
          <w:szCs w:val="20"/>
        </w:rPr>
        <w:t>Process Plants Corp. v. Beneficial National Life Insurance Co.</w:t>
      </w:r>
      <w:r>
        <w:rPr>
          <w:rFonts w:ascii="Georgia" w:eastAsia="Times New Roman" w:hAnsi="Georgia" w:cs="Calibri"/>
          <w:color w:val="333333"/>
          <w:sz w:val="20"/>
          <w:szCs w:val="20"/>
        </w:rPr>
        <w:t>, 366 N.E.2d 1361 (1977). A “misrepresentation” is defined by statute as a false “statement as to past or present fact, made to the insurer…at or before the making of the insurance contract as an inducement to the making thereof.” N.Y. Ins. Law § 3105(a) (McKinney 1985). A misrepresentation is “material” if “knowledge by the insurer of the facts misrepresented would have led to a refusal by the insurer to make such contract.”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 3105(b).…</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present case JMR has stipulated that Gaon’s smoking history was misrepresented in the insurance application. However, JMR disputes that this misrepresentation is material as a matter of law. JMR argues that under New York law a misrepresentation is not material unless the insurer can demonstrate that, had the applicant provided complete and accurate information, coverage either would have been refused or at the very least withheld pending a more detailed underwriting examination. In JMR’s view summary judgment was inappropriate on the facts of this case because a jury could reasonably have found that even “had appellee been aware of Gaon’s smoking history, a policy at the smoker’s premium rate would have been issued.” JMR takes the position that the appropriate remedy in this situation is to permit recovery under the policy in the amount that the premium actually paid would have purchased for a smoker.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agree with Judge Sweet that this novel theory is without basis in New York law. The plain language of the statutory definition of “materiality,” found in section 3105(b), permits avoidance of liability under the policy where “knowledge by the insurer of the facts misrepresented would have led to a refusal by the insurer to make </w:t>
      </w:r>
      <w:r>
        <w:rPr>
          <w:rFonts w:ascii="Georgia" w:eastAsia="Times New Roman" w:hAnsi="Georgia" w:cs="Calibri"/>
          <w:i/>
          <w:iCs/>
          <w:color w:val="333333"/>
          <w:sz w:val="20"/>
          <w:szCs w:val="20"/>
        </w:rPr>
        <w:t>such contract</w:t>
      </w:r>
      <w:r>
        <w:rPr>
          <w:rFonts w:ascii="Georgia" w:eastAsia="Times New Roman" w:hAnsi="Georgia" w:cs="Calibri"/>
          <w:color w:val="333333"/>
          <w:sz w:val="20"/>
          <w:szCs w:val="20"/>
        </w:rPr>
        <w:t>.” (emphasis added) Moreover, numerous courts have observed that the materiality inquiry under New York law is made with respect to the particular policy issued in reliance upon the misrepresentation.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no doubt that Mutual was induced to issue the non-smoker, discounted-premium policy to JMR precisely as a result of the misrepresentations made by Gaon concerning his smoking history. That Mutual might not have refused the risk on </w:t>
      </w:r>
      <w:r>
        <w:rPr>
          <w:rFonts w:ascii="Georgia" w:eastAsia="Times New Roman" w:hAnsi="Georgia" w:cs="Calibri"/>
          <w:i/>
          <w:iCs/>
          <w:color w:val="333333"/>
          <w:sz w:val="20"/>
          <w:szCs w:val="20"/>
        </w:rPr>
        <w:t>any</w:t>
      </w:r>
      <w:r>
        <w:rPr>
          <w:rFonts w:ascii="Georgia" w:eastAsia="Times New Roman" w:hAnsi="Georgia" w:cs="Calibri"/>
          <w:color w:val="333333"/>
          <w:sz w:val="20"/>
          <w:szCs w:val="20"/>
        </w:rPr>
        <w:t> terms had it known the undisclosed facts is irrelevant. Most risks are insurable at some price. The purpose of the materiality inquiry is not to permit the jury to rewrite the terms of the insurance agreement to conform to the newly disclosed facts but to make certain that the risk insured was the risk covered by the policy agreed upon. If a fact is material to the risk, the insurer may avoid liability under a policy if that fact was misrepresented in an application for that policy whether or not the parties might have agreed to some other contractual arrangement had the critical fact been disclosed. As observed by Judge Sweet, a contrary result would reward the practice of misrepresenting facts critical to the underwriter’s task because the unscrupulous (or merely negligent) applicant “would have everything to gain and nothing to lose” from making material misrepresentations in his application for insurance. Such a claimant could rest assured not only that he may demand full coverage should he survive the contestability period, N.Y. Ins. Law § 3203 (a)(3), but that even in the event of a contested claim, he would be entitled to the coverage that he might have contracted for had the necessary information been accurately disclosed at the outset. New York law does not permit this anomalous result. The judgment of the District Court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7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you read this case, did you assume that Gaon died from lung cancer or some other smoking-related cause? Does the court actually say that?</w:t>
      </w:r>
    </w:p>
    <w:p w:rsidR="00A86150" w:rsidRDefault="00F714D4">
      <w:pPr>
        <w:numPr>
          <w:ilvl w:val="0"/>
          <w:numId w:val="47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you reasonably infer from the facts here that Gaon himself filled out the form and signed it? That is, can you know with some degree of certainty that he lied to the insurance company? Would it make any difference if he merely signed a form that his secretary filled out? Why or why not?</w:t>
      </w:r>
    </w:p>
    <w:p w:rsidR="00A86150" w:rsidRDefault="00F714D4">
      <w:pPr>
        <w:numPr>
          <w:ilvl w:val="0"/>
          <w:numId w:val="47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if Gaon died of causes unrelated to smoking (e.g., he was in a fatal automobile accident), and the insurance company was looking for ways to deny the claim? Does the court’s opinion and language still seem reasonable (e.g., the statement “there is no doubt that Mutual was induced to issue the non-smoker, discounted-premium policy to JMR precisely as a result of the misrepresentations made by Gaon concerning his smoking history”)?</w:t>
      </w:r>
    </w:p>
    <w:p w:rsidR="00A86150" w:rsidRDefault="00F714D4">
      <w:pPr>
        <w:numPr>
          <w:ilvl w:val="0"/>
          <w:numId w:val="47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Gaon had accurately disclosed his smoking history, is it clear that the insurance company would have refused to write any policy at all? Why is this question important? Do you agree with the court that the question is irrelevant?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19.5</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Insurance is an inescapable cost of doing business in a modern economy and an important service for any individual with dependents or even a modest amount of property. Most readers of this book will someday purchase automobile, homeowner’s, and life insurance, and many readers will deal with insurance in the course of a business career.</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insurance questions are governed by contract law, since virtually all insurance is voluntary and entered into through written agreements. This means that the insured must pay careful attention to the wording of the policies to determine what is excluded from coverage and to ensure that he makes no warranties that he cannot keep and no misrepresentations or concealments that will void the contract. But beyond contract law, some insurance law principles—such as insurable interest and subrogation rights—are important to bear in mind. Defenses available to an insurance company may be based upon representation, concealment, or warranties, but an insurer that is overzealous in denying coverage may find itself subject to punitive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478"/>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Martin and Williams, two business partners, agreed that each would insure his life for the benefit of the other. On his application for insurance, Martin stated that he had never had any heart trouble when in fact he had had a mild heart attack some years before. Martin’s policy contained a two-year incontestable clause. Three years later, after the partnership had been dissolved but while the policy was still in force, Martin’s car was struck by a car being negligently driven by Peters. Although Martin’s injuries were superficial, he suffered a fatal heart attack immediately after the accident—an attack, it was established, that was caused by the excitement. The insurer has refused to pay the policy proceeds to Williams. Does the insurer have a valid defense based on Martin’s misrepresentation? Explain.</w:t>
      </w:r>
    </w:p>
    <w:p w:rsidR="00A86150" w:rsidRDefault="00F714D4">
      <w:pPr>
        <w:numPr>
          <w:ilvl w:val="0"/>
          <w:numId w:val="47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Exercise 1, was it necessary for Williams to have an insurable interest in Martin’s life to recover under the policy? Why?</w:t>
      </w:r>
    </w:p>
    <w:p w:rsidR="00A86150" w:rsidRDefault="00F714D4">
      <w:pPr>
        <w:numPr>
          <w:ilvl w:val="0"/>
          <w:numId w:val="47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Exercise 1, if Williams had taken out the policy rather than Martin, could the insurer defend the claim on the ground that at the time of Martin’s death, Williams had no insurable interest? Why?</w:t>
      </w:r>
    </w:p>
    <w:p w:rsidR="00A86150" w:rsidRDefault="00F714D4">
      <w:pPr>
        <w:numPr>
          <w:ilvl w:val="0"/>
          <w:numId w:val="47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Williams had no insurable interest, would the incontestable clause prevent the company from asserting this defense? Why?</w:t>
      </w:r>
    </w:p>
    <w:p w:rsidR="00A86150" w:rsidRDefault="00F714D4">
      <w:pPr>
        <w:numPr>
          <w:ilvl w:val="0"/>
          <w:numId w:val="47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insurer pays Williams’s claim, may it recover from Peters? Why?</w:t>
      </w:r>
    </w:p>
    <w:p w:rsidR="00A86150" w:rsidRDefault="00F714D4">
      <w:pPr>
        <w:numPr>
          <w:ilvl w:val="0"/>
          <w:numId w:val="478"/>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Skidmore Trucking Company decided to expand its operations into the warehousing field. After examining several available properties, it decided to purchase a carbarn for $100,000 from a local bus company and to convert it into a warehouse. The standard contract for a real estate purchase was signed by the parties. The contract obligated Skidmore to pay the seller on an apportioned basis for the prepaid premiums on the existing fire insurance policy ($100,000 extended coverage). The policy expired two years and one month from the closing date. At the closing, the seller duly assigned the fire insurance policy to Skidmore in return for the payment of the apportioned amount of the prepaid premiums, but Skidmore failed to notify the insurance company of the change in ownership. Skidmore took possession of the premises and, after extensive renovation, began to use the building as a warehouse. Soon afterward, one of Skidmore’s employees negligently dropped a lighted cigarette into a trash basket and started a fire that totally destroyed the building. Was the assignment of the policy to Skidmore valid? Why?</w:t>
      </w:r>
    </w:p>
    <w:p w:rsidR="00A86150" w:rsidRDefault="00F714D4">
      <w:pPr>
        <w:numPr>
          <w:ilvl w:val="0"/>
          <w:numId w:val="478"/>
        </w:numPr>
        <w:shd w:val="clear" w:color="auto" w:fill="E3EFF7"/>
        <w:tabs>
          <w:tab w:val="clear" w:pos="720"/>
          <w:tab w:val="num" w:pos="360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Exercise 6, assuming the assignment is valid, would the insurer be obligated to pay for the loss resulting from the employee’s negligence? Why?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479"/>
        </w:numPr>
        <w:shd w:val="clear" w:color="auto" w:fill="E3EFF7"/>
        <w:tabs>
          <w:tab w:val="clear" w:pos="720"/>
          <w:tab w:val="num" w:pos="3900"/>
        </w:tabs>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substitution of one person for another in pursuit of a legal claim is called</w:t>
      </w:r>
    </w:p>
    <w:p w:rsidR="00A86150" w:rsidRDefault="00F714D4">
      <w:pPr>
        <w:pStyle w:val="ListParagraph"/>
        <w:numPr>
          <w:ilvl w:val="0"/>
          <w:numId w:val="4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assignment</w:t>
      </w:r>
    </w:p>
    <w:p w:rsidR="00A86150" w:rsidRDefault="00F714D4">
      <w:pPr>
        <w:pStyle w:val="ListParagraph"/>
        <w:numPr>
          <w:ilvl w:val="0"/>
          <w:numId w:val="4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coinsurance</w:t>
      </w:r>
    </w:p>
    <w:p w:rsidR="00A86150" w:rsidRDefault="00F714D4">
      <w:pPr>
        <w:pStyle w:val="ListParagraph"/>
        <w:numPr>
          <w:ilvl w:val="0"/>
          <w:numId w:val="4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subrogation</w:t>
      </w:r>
    </w:p>
    <w:p w:rsidR="00A86150" w:rsidRDefault="00F714D4">
      <w:pPr>
        <w:pStyle w:val="ListParagraph"/>
        <w:numPr>
          <w:ilvl w:val="0"/>
          <w:numId w:val="4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481"/>
        </w:numPr>
        <w:shd w:val="clear" w:color="auto" w:fill="E3EFF7"/>
        <w:tabs>
          <w:tab w:val="num" w:pos="360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Most insurance questions are covered by</w:t>
      </w:r>
    </w:p>
    <w:p w:rsidR="00A86150" w:rsidRDefault="00F714D4">
      <w:pPr>
        <w:pStyle w:val="ListParagraph"/>
        <w:numPr>
          <w:ilvl w:val="0"/>
          <w:numId w:val="48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tort law</w:t>
      </w:r>
    </w:p>
    <w:p w:rsidR="00A86150" w:rsidRDefault="00F714D4">
      <w:pPr>
        <w:pStyle w:val="ListParagraph"/>
        <w:numPr>
          <w:ilvl w:val="0"/>
          <w:numId w:val="48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criminal law</w:t>
      </w:r>
    </w:p>
    <w:p w:rsidR="00A86150" w:rsidRDefault="00F714D4">
      <w:pPr>
        <w:pStyle w:val="ListParagraph"/>
        <w:numPr>
          <w:ilvl w:val="0"/>
          <w:numId w:val="48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constitutional law</w:t>
      </w:r>
    </w:p>
    <w:p w:rsidR="00A86150" w:rsidRDefault="00F714D4">
      <w:pPr>
        <w:pStyle w:val="ListParagraph"/>
        <w:numPr>
          <w:ilvl w:val="0"/>
          <w:numId w:val="48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law</w:t>
      </w:r>
    </w:p>
    <w:p w:rsidR="00A86150" w:rsidRDefault="00F714D4">
      <w:pPr>
        <w:numPr>
          <w:ilvl w:val="0"/>
          <w:numId w:val="483"/>
        </w:numPr>
        <w:shd w:val="clear" w:color="auto" w:fill="E3EFF7"/>
        <w:tabs>
          <w:tab w:val="num" w:pos="360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Common defenses used by insurance companies include</w:t>
      </w:r>
    </w:p>
    <w:p w:rsidR="00A86150" w:rsidRDefault="00F714D4">
      <w:pPr>
        <w:pStyle w:val="ListParagraph"/>
        <w:numPr>
          <w:ilvl w:val="0"/>
          <w:numId w:val="48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concealment</w:t>
      </w:r>
    </w:p>
    <w:p w:rsidR="00A86150" w:rsidRDefault="00F714D4">
      <w:pPr>
        <w:pStyle w:val="ListParagraph"/>
        <w:numPr>
          <w:ilvl w:val="0"/>
          <w:numId w:val="48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false representation</w:t>
      </w:r>
    </w:p>
    <w:p w:rsidR="00A86150" w:rsidRDefault="00F714D4">
      <w:pPr>
        <w:pStyle w:val="ListParagraph"/>
        <w:numPr>
          <w:ilvl w:val="0"/>
          <w:numId w:val="48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breach of warranty</w:t>
      </w:r>
    </w:p>
    <w:p w:rsidR="00A86150" w:rsidRDefault="00F714D4">
      <w:pPr>
        <w:pStyle w:val="ListParagraph"/>
        <w:numPr>
          <w:ilvl w:val="0"/>
          <w:numId w:val="48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485"/>
        </w:numPr>
        <w:shd w:val="clear" w:color="auto" w:fill="E3EFF7"/>
        <w:tabs>
          <w:tab w:val="num" w:pos="360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coinsurance clause</w:t>
      </w:r>
    </w:p>
    <w:p w:rsidR="00A86150" w:rsidRDefault="00F714D4">
      <w:pPr>
        <w:pStyle w:val="ListParagraph"/>
        <w:numPr>
          <w:ilvl w:val="0"/>
          <w:numId w:val="48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requires the insured to be insured by more than one policy</w:t>
      </w:r>
    </w:p>
    <w:p w:rsidR="00A86150" w:rsidRDefault="00F714D4">
      <w:pPr>
        <w:pStyle w:val="ListParagraph"/>
        <w:numPr>
          <w:ilvl w:val="0"/>
          <w:numId w:val="48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requires the insured to maintain insurance equal to a certain percentage of the property’s value</w:t>
      </w:r>
    </w:p>
    <w:p w:rsidR="00A86150" w:rsidRDefault="00F714D4">
      <w:pPr>
        <w:pStyle w:val="ListParagraph"/>
        <w:numPr>
          <w:ilvl w:val="0"/>
          <w:numId w:val="48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allows another beneficiary to be substituted for the insured</w:t>
      </w:r>
    </w:p>
    <w:p w:rsidR="00A86150" w:rsidRDefault="00F714D4">
      <w:pPr>
        <w:pStyle w:val="ListParagraph"/>
        <w:numPr>
          <w:ilvl w:val="0"/>
          <w:numId w:val="48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none of the above</w:t>
      </w:r>
    </w:p>
    <w:p w:rsidR="00A86150" w:rsidRDefault="00F714D4">
      <w:pPr>
        <w:numPr>
          <w:ilvl w:val="0"/>
          <w:numId w:val="487"/>
        </w:numPr>
        <w:shd w:val="clear" w:color="auto" w:fill="E3EFF7"/>
        <w:tabs>
          <w:tab w:val="clear" w:pos="720"/>
          <w:tab w:val="num" w:pos="360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Property insurance typically covers</w:t>
      </w:r>
    </w:p>
    <w:p w:rsidR="00A86150" w:rsidRDefault="00F714D4">
      <w:pPr>
        <w:pStyle w:val="ListParagraph"/>
        <w:numPr>
          <w:ilvl w:val="0"/>
          <w:numId w:val="488"/>
        </w:numPr>
        <w:shd w:val="clear" w:color="auto" w:fill="E3EFF7"/>
        <w:tabs>
          <w:tab w:val="clear" w:pos="720"/>
          <w:tab w:val="num" w:pos="3600"/>
        </w:tabs>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ordinary wear and tear</w:t>
      </w:r>
    </w:p>
    <w:p w:rsidR="00A86150" w:rsidRDefault="00F714D4">
      <w:pPr>
        <w:pStyle w:val="ListParagraph"/>
        <w:numPr>
          <w:ilvl w:val="0"/>
          <w:numId w:val="488"/>
        </w:numPr>
        <w:shd w:val="clear" w:color="auto" w:fill="E3EFF7"/>
        <w:tabs>
          <w:tab w:val="clear" w:pos="720"/>
          <w:tab w:val="num" w:pos="3600"/>
        </w:tabs>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damage due to theft</w:t>
      </w:r>
    </w:p>
    <w:p w:rsidR="00A86150" w:rsidRDefault="00F714D4">
      <w:pPr>
        <w:pStyle w:val="ListParagraph"/>
        <w:numPr>
          <w:ilvl w:val="0"/>
          <w:numId w:val="488"/>
        </w:numPr>
        <w:shd w:val="clear" w:color="auto" w:fill="E3EFF7"/>
        <w:tabs>
          <w:tab w:val="clear" w:pos="720"/>
          <w:tab w:val="num" w:pos="3600"/>
        </w:tabs>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intentional losses</w:t>
      </w:r>
    </w:p>
    <w:p w:rsidR="00A86150" w:rsidRDefault="00F714D4">
      <w:pPr>
        <w:pStyle w:val="ListParagraph"/>
        <w:numPr>
          <w:ilvl w:val="0"/>
          <w:numId w:val="488"/>
        </w:numPr>
        <w:shd w:val="clear" w:color="auto" w:fill="E3EFF7"/>
        <w:tabs>
          <w:tab w:val="clear" w:pos="720"/>
          <w:tab w:val="num" w:pos="3600"/>
        </w:tabs>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damage due to earthquakes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489"/>
        </w:numPr>
        <w:shd w:val="clear" w:color="auto" w:fill="E3EFF7"/>
        <w:tabs>
          <w:tab w:val="clear" w:pos="720"/>
          <w:tab w:val="num" w:pos="360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489"/>
        </w:numPr>
        <w:shd w:val="clear" w:color="auto" w:fill="E3EFF7"/>
        <w:tabs>
          <w:tab w:val="clear" w:pos="720"/>
          <w:tab w:val="num" w:pos="360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489"/>
        </w:numPr>
        <w:shd w:val="clear" w:color="auto" w:fill="E3EFF7"/>
        <w:tabs>
          <w:tab w:val="clear" w:pos="720"/>
          <w:tab w:val="num" w:pos="360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489"/>
        </w:numPr>
        <w:shd w:val="clear" w:color="auto" w:fill="E3EFF7"/>
        <w:tabs>
          <w:tab w:val="clear" w:pos="720"/>
          <w:tab w:val="num" w:pos="360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numPr>
          <w:ilvl w:val="0"/>
          <w:numId w:val="489"/>
        </w:numPr>
        <w:shd w:val="clear" w:color="auto" w:fill="E3EFF7"/>
        <w:tabs>
          <w:tab w:val="clear" w:pos="720"/>
          <w:tab w:val="num" w:pos="360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20</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09"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Relationships between Principal and Agent</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490"/>
        </w:numPr>
        <w:shd w:val="clear" w:color="auto" w:fill="EAE9DC"/>
        <w:tabs>
          <w:tab w:val="clear" w:pos="720"/>
          <w:tab w:val="num" w:pos="432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agency is important, what an agent is, and the types of agents</w:t>
      </w:r>
    </w:p>
    <w:p w:rsidR="00A86150" w:rsidRDefault="00F714D4">
      <w:pPr>
        <w:numPr>
          <w:ilvl w:val="0"/>
          <w:numId w:val="490"/>
        </w:numPr>
        <w:shd w:val="clear" w:color="auto" w:fill="EAE9DC"/>
        <w:tabs>
          <w:tab w:val="clear" w:pos="720"/>
          <w:tab w:val="num" w:pos="360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an independent contractor is</w:t>
      </w:r>
    </w:p>
    <w:p w:rsidR="00A86150" w:rsidRDefault="00F714D4">
      <w:pPr>
        <w:numPr>
          <w:ilvl w:val="0"/>
          <w:numId w:val="490"/>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duties owed by the agent to the principal</w:t>
      </w:r>
    </w:p>
    <w:p w:rsidR="00A86150" w:rsidRDefault="00F714D4">
      <w:pPr>
        <w:numPr>
          <w:ilvl w:val="0"/>
          <w:numId w:val="490"/>
        </w:numPr>
        <w:shd w:val="clear" w:color="auto" w:fill="EAE9DC"/>
        <w:tabs>
          <w:tab w:val="clear" w:pos="720"/>
          <w:tab w:val="num" w:pos="216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duties owed by the principal to the agent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20.1 Introduction to Agency and the Types of Agents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91"/>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agency law is important.</w:t>
      </w:r>
    </w:p>
    <w:p w:rsidR="00A86150" w:rsidRDefault="00F714D4">
      <w:pPr>
        <w:numPr>
          <w:ilvl w:val="0"/>
          <w:numId w:val="491"/>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recurring legal issues in agency law.</w:t>
      </w:r>
    </w:p>
    <w:p w:rsidR="00A86150" w:rsidRDefault="00F714D4">
      <w:pPr>
        <w:numPr>
          <w:ilvl w:val="0"/>
          <w:numId w:val="491"/>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types of agents.</w:t>
      </w:r>
    </w:p>
    <w:p w:rsidR="00A86150" w:rsidRDefault="00F714D4">
      <w:pPr>
        <w:numPr>
          <w:ilvl w:val="0"/>
          <w:numId w:val="491"/>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agency relationship is created.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Introduction to Agency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Why Is Agency Law Important, and What Is an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agent is a person who acts in the name of and on behalf of another, having been given and assumed some degree of authority to do so. Most organized human activity—and virtually all commercial activity—is carried on through agency. No corporation would be possible, even in theory, without such a concept. We might say “General Motors is building cars in China,” for example, but we can’t shake hands with General Motors. “The General,” as people say, exists and works through agents. Likewise, partnerships and other business organizations rely extensively on agents to conduct their business. Indeed, it is not an exaggeration to say that agency is the cornerstone of enterprise organization. In a partnership each partner is a general agent, while under corporation law the officers and all employees are agents of the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existence of agents does not, however, require a whole new law of torts or contracts. A tort is no less harmful when committed by an agent; a contract is no less binding when negotiated by an agent. What does need to be taken into account, though, is the manner in which an agent acts on behalf of his principal and toward a third party.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Recurring Issues in Agency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Several problematic fact scenarios recur in agency, and law has developed in response.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John Alden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 John Alden (1599–1687), one of the most famous agents in American literature. He is said to have been the first person from the </w:t>
      </w:r>
      <w:r>
        <w:rPr>
          <w:rFonts w:ascii="Georgia" w:eastAsia="Times New Roman" w:hAnsi="Georgia" w:cs="Calibri"/>
          <w:i/>
          <w:iCs/>
          <w:color w:val="333333"/>
          <w:sz w:val="20"/>
          <w:szCs w:val="20"/>
          <w:lang w:val="en"/>
        </w:rPr>
        <w:t>Mayflower</w:t>
      </w:r>
      <w:r>
        <w:rPr>
          <w:rFonts w:ascii="Georgia" w:eastAsia="Times New Roman" w:hAnsi="Georgia" w:cs="Calibri"/>
          <w:color w:val="333333"/>
          <w:sz w:val="20"/>
          <w:szCs w:val="20"/>
          <w:lang w:val="en"/>
        </w:rPr>
        <w:t> to set foot on Plymouth Rock in 1620; he was a carpenter, a cooper (barrel maker), and a diplomat. His agency task—of interest here—was celebrated in Henry Wadsworth Longfellow’s “The Courtship of Miles Standish.” He was to woo Priscilla Mullins (d. 1680), “the loveliest maiden of Plymouth,” on behalf of Captain Miles Standish, a valiant soldier who was too shy to propose marriage. Standish turned to John Alden, his young and eloquent protégé, and beseeched Alden to speak on his behalf, unaware that Alden himself was in love with Priscilla. Alden accepted his captain’s assignment, despite the knowledge that he would thus lose Priscilla for himself, and sought out the lady. But Alden was so tongue-tied that his vaunted eloquence fell short, turned Priscilla cold toward the object of Alden’s mission, and eventually led her to turn the tables in one of the most famous lines in American literature and poetry: “Why don’t you speak for yourself, John?” John eventually did: the two were married in 1623 in Plymouth.</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Recurring Issues in Agency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analyze this sequence of events in legal terms—recognizing, of course, that this example is an analogy and that the law, even today, would not impose consequences on Alden for his failure to carry out Captain Standish’s wishes. Alden was the captain’s agent: he was specifically authorized to speak in his name in a manner agreed on, toward a specified end, and he accepted the assignment in consideration of the captain’s friendship. He had, however, a conflict of interest. He attempted to carry out the assignment, but he did not perform according to expectations. Eventually, he wound up with the prize himself. Here are some questions to consider, the same questions that will recur throughout the discussion of agency:</w:t>
      </w:r>
    </w:p>
    <w:p w:rsidR="00A86150" w:rsidRDefault="00F714D4">
      <w:pPr>
        <w:pStyle w:val="ListParagraph"/>
        <w:numPr>
          <w:ilvl w:val="0"/>
          <w:numId w:val="49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extensive was John’s authority? Could he have made promises to Priscilla on the captain’s behalf—for example, that Standish would have built her a fine house?</w:t>
      </w:r>
    </w:p>
    <w:p w:rsidR="00A86150" w:rsidRDefault="00F714D4">
      <w:pPr>
        <w:pStyle w:val="ListParagraph"/>
        <w:numPr>
          <w:ilvl w:val="0"/>
          <w:numId w:val="49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Could he, if he committed a tort, have imposed liability on his principal? Suppose, for example, that he had ridden at breakneck speed to reach Priscilla’s side and while en route ran into and injured a pedestrian on the road. Could the pedestrian have sued Standish?</w:t>
      </w:r>
    </w:p>
    <w:p w:rsidR="00A86150" w:rsidRDefault="00F714D4">
      <w:pPr>
        <w:pStyle w:val="ListParagraph"/>
        <w:numPr>
          <w:ilvl w:val="0"/>
          <w:numId w:val="49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Alden had injured himself on the journey. Would Standish be liable to Alden?</w:t>
      </w:r>
    </w:p>
    <w:p w:rsidR="00A86150" w:rsidRDefault="00F714D4">
      <w:pPr>
        <w:pStyle w:val="ListParagraph"/>
        <w:numPr>
          <w:ilvl w:val="0"/>
          <w:numId w:val="492"/>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Alden liable to Standish for stealing the heart of Priscilla—that is, for taking the “profits” of the enterprise for himself?</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these questions suggest, agency law often involves three parties—the principal, the agent, and a third party. It therefore deals with three different relationships: between principal and agent, between principal and third party, and between agent and third party. These relationships can be summed up in a simple diagram (see </w:t>
      </w:r>
      <w:r>
        <w:rPr>
          <w:rFonts w:ascii="Georgia" w:eastAsia="Times New Roman" w:hAnsi="Georgia" w:cs="Calibri"/>
          <w:color w:val="2689C6"/>
          <w:sz w:val="20"/>
          <w:szCs w:val="20"/>
          <w:lang w:val="en"/>
        </w:rPr>
        <w:t>Figure 20.1 "Agency Relationships"</w:t>
      </w:r>
      <w:r>
        <w:rPr>
          <w:rFonts w:ascii="Georgia" w:eastAsia="Times New Roman" w:hAnsi="Georgia" w:cs="Calibri"/>
          <w:color w:val="333333"/>
          <w:sz w:val="20"/>
          <w:szCs w:val="20"/>
          <w:lang w:val="en"/>
        </w:rPr>
        <w:t>).</w:t>
      </w:r>
    </w:p>
    <w:p w:rsidR="00A86150" w:rsidRDefault="00F714D4">
      <w:pPr>
        <w:shd w:val="clear" w:color="auto" w:fill="FFFFFF"/>
        <w:spacing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20.1</w:t>
      </w:r>
      <w:r>
        <w:rPr>
          <w:rFonts w:ascii="Georgia" w:eastAsia="Times New Roman" w:hAnsi="Georgia" w:cs="Calibri"/>
          <w:i/>
          <w:iCs/>
          <w:color w:val="BB9966"/>
          <w:sz w:val="21"/>
          <w:szCs w:val="21"/>
          <w:lang w:val="en"/>
        </w:rPr>
        <w:t> Agency Relationships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467100"/>
            <wp:effectExtent l="0" t="0" r="0" b="0"/>
            <wp:docPr id="103" name="Picture 22" descr="http://images.flatworldknowledge.com/mayerlawentrep/mayerlawentrep-fig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mayerlawentrep/mayerlawentrep-fig38_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will consider the principal-agent side of the triangle. In the next chapter we will turn to relationships involving third parties.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Agents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five types of agents.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agent possesses the authority to carry out a broad range of transactions in the name and on behalf of the principal. The general agent may be the manager of a business or may have a more limited but nevertheless ongoing role—for example, as a purchasing agent or as a life insurance agent authorized to sign up customers for the home office. In either case, the general agent has authority to alter the principal’s legal relationships with third parties. One who is designated a general agent has the authority to act in any way required by the principal’s business. To restrict the general agent’s authority, the principal must spell out the limitations explicitly, and even so the principal may be liable for any of the agent’s acts in excess of his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Normally, the general agent is a business agent, but there are circumstances under which an individual may appoint a general agent for personal purposes. One common form of a personal general agent is the person who holds another’s power of attorney. This is a delegation of authority to another to act in his stead; it can be accomplished by executing a simple form, such as the one shown in</w:t>
      </w:r>
      <w:r>
        <w:rPr>
          <w:rFonts w:ascii="Georgia" w:eastAsia="Times New Roman" w:hAnsi="Georgia" w:cs="Calibri"/>
          <w:color w:val="2689C6"/>
          <w:sz w:val="20"/>
          <w:szCs w:val="20"/>
          <w:lang w:val="en"/>
        </w:rPr>
        <w:t>Figure 20.2 "General Power of Attorney"</w:t>
      </w:r>
      <w:r>
        <w:rPr>
          <w:rFonts w:ascii="Georgia" w:eastAsia="Times New Roman" w:hAnsi="Georgia" w:cs="Calibri"/>
          <w:color w:val="333333"/>
          <w:sz w:val="20"/>
          <w:szCs w:val="20"/>
          <w:lang w:val="en"/>
        </w:rPr>
        <w:t>. Ordinarily, the power of attorney is used for a special purpose—for example, to sell real estate or securities in the absence of the owner. But a person facing a lengthy operation and recuperation in a hospital might give a general power of attorney to a trusted family member or friend.</w:t>
      </w:r>
    </w:p>
    <w:p w:rsidR="00A86150" w:rsidRDefault="00F714D4">
      <w:pPr>
        <w:shd w:val="clear" w:color="auto" w:fill="FFFFFF"/>
        <w:spacing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20.2</w:t>
      </w:r>
      <w:r>
        <w:rPr>
          <w:rFonts w:ascii="Georgia" w:eastAsia="Times New Roman" w:hAnsi="Georgia" w:cs="Calibri"/>
          <w:i/>
          <w:iCs/>
          <w:color w:val="BB9966"/>
          <w:sz w:val="21"/>
          <w:szCs w:val="21"/>
          <w:lang w:val="en"/>
        </w:rPr>
        <w:t> General Power of Attorney</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857625"/>
            <wp:effectExtent l="0" t="0" r="0" b="9525"/>
            <wp:docPr id="104" name="Picture 23" descr="http://images.flatworldknowledge.com/mayerlawentrep/mayerlawentrep-fig3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lawentrep/mayerlawentrep-fig38_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Special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special agent is one who has authority to act only in a specifically designated instance or in a specifically designated set of transactions. For example, a real estate broker is usually a special agent hired to find a buyer for the principal’s land. Suppose Sam, the seller, appoints an agent Alberta to find a buyer for his property. Alberta’s commission depends on the selling price, which, Sam states in a letter to her, “in any event may be no less than $150,000.” If Alberta locates a buyer, Bob, who agrees to purchase the property for $160,000, her signature on the contract of sale will not bind Sam. As a special agent, Alberta had authority only to find a buyer; she had no authority to sign the contract.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Agency Coupled with an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agent whose reimbursement depends on his continuing to have the authority to act as an agent is said to have an agency coupled with an interest if he has a property interest in the business. A literary or author’s agent, for example, customarily agrees to sell a literary work to a publisher in return for a percentage of all monies the author earns from the sale of the work. The literary agent also acts as a collection agent to ensure that his commission will be paid. By agreeing with the principal that the agency is coupled with an interest, the agent can prevent his own rights in a particular literary work from being terminated to his detriment.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Subagent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carry out her duties, an agent will often need to appoint her own agents. These appointments may or may not be authorized by the principal. An insurance company, for example, might name a general agent to open offices in cities throughout a certain state. The agent will necessarily conduct her business through agents of her own choosing. These agents are subagents of the principal if the general agent had the express or implied authority of the principal to hire them. For legal purposes, they are agents of both the principal and the principal’s general agent, and both are liable for the subagent’s conduct although normally the general agent agrees to be primarily liable (see </w:t>
      </w:r>
      <w:r>
        <w:rPr>
          <w:rFonts w:ascii="Georgia" w:eastAsia="Times New Roman" w:hAnsi="Georgia" w:cs="Calibri"/>
          <w:color w:val="2689C6"/>
          <w:sz w:val="20"/>
          <w:szCs w:val="20"/>
          <w:lang w:val="en"/>
        </w:rPr>
        <w:t>Figure 20.3 "Subagent"</w:t>
      </w:r>
      <w:r>
        <w:rPr>
          <w:rFonts w:ascii="Georgia" w:eastAsia="Times New Roman" w:hAnsi="Georgia" w:cs="Calibri"/>
          <w:color w:val="333333"/>
          <w:sz w:val="20"/>
          <w:szCs w:val="20"/>
          <w:lang w:val="en"/>
        </w:rPr>
        <w:t>).</w:t>
      </w:r>
    </w:p>
    <w:p w:rsidR="00A86150" w:rsidRDefault="00F714D4">
      <w:pPr>
        <w:shd w:val="clear" w:color="auto" w:fill="FFFFFF"/>
        <w:spacing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20.3</w:t>
      </w:r>
      <w:r>
        <w:rPr>
          <w:rFonts w:ascii="Georgia" w:eastAsia="Times New Roman" w:hAnsi="Georgia" w:cs="Calibri"/>
          <w:i/>
          <w:iCs/>
          <w:color w:val="BB9966"/>
          <w:sz w:val="21"/>
          <w:szCs w:val="21"/>
          <w:lang w:val="en"/>
        </w:rPr>
        <w:t> Subagent</w:t>
      </w:r>
    </w:p>
    <w:p w:rsidR="00A86150" w:rsidRDefault="00F714D4">
      <w:pPr>
        <w:shd w:val="clear" w:color="auto" w:fill="FFFFFF"/>
        <w:spacing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3657600" cy="5257800"/>
            <wp:effectExtent l="0" t="0" r="0" b="0"/>
            <wp:docPr id="105" name="Picture 24" descr="http://images.flatworldknowledge.com/mayerlawentrep/mayerlawentrep-fig3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mayerlawentrep/mayerlawentrep-fig38_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5257800"/>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Servant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final category of agent is the servant. Until the early nineteenth century, any employee whose work duties were subject to an employer’s control was called a servant; we would not use that term so broadly in modern English. The Restatement (Second) of Agency, Section 2, defines a servant as “an agent employed by a master [employer] to perform service in his affairs whose physical conduct in the performance of the service is controlled or is subject to the right to control by the master.”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Independent Contractor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contract for services necessarily creates a master-servant relationship. There is an important distinction made between the status of a servant and that of an independent contractor. According to the Restatement (Second) of Agency, Section 2, “an independent contractor is a person who contracts with another to do something for him but who is not controlled by the other nor subject to the other’s right to control with respect to his physical conduct in the performance of the undertaking.” As the name implies, the independent contractor is legally autonomous. A plumber salaried to a building contractor is an employee and agent of the contractor. But a plumber who hires himself out to repair pipes in people’s homes is an independent contractor. If you hire a lawyer to settle a dispute, that person is not your employee or your servant; she is an independent contractor. The terms “agent” and “independent contractor” are not necessarily mutually exclusive. In fact, by definition, “… an independent contractor is an agent in the broad sense of the term in undertaking, at the request of another, to do something for the other. As a general rule the line of demarcation between an independent contractor and a servant is not clearly drawn.”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distinction between agent and independent contractor has important legal consequences for taxation, workers’ compensation, and liability insurance. For example, employers are required to withhold income taxes from their employees’ paychecks. But payment to an independent contractor, such as the plumber for hire, does not require such withholding. Deciding who is an independent contractor is not always easy; there is no single factor or mechanical answer. In </w:t>
      </w:r>
      <w:r>
        <w:rPr>
          <w:rFonts w:ascii="Georgia" w:eastAsia="Times New Roman" w:hAnsi="Georgia" w:cs="Calibri"/>
          <w:i/>
          <w:iCs/>
          <w:color w:val="333333"/>
          <w:sz w:val="20"/>
          <w:szCs w:val="20"/>
          <w:lang w:val="en"/>
        </w:rPr>
        <w:t>Robinson v. New York Commodities Corp.</w:t>
      </w:r>
      <w:r>
        <w:rPr>
          <w:rFonts w:ascii="Georgia" w:eastAsia="Times New Roman" w:hAnsi="Georgia" w:cs="Calibri"/>
          <w:color w:val="333333"/>
          <w:sz w:val="20"/>
          <w:szCs w:val="20"/>
          <w:lang w:val="en"/>
        </w:rPr>
        <w:t>, an injured salesman sought workers’ compensation benefits, claiming to be an employee of the New York Commodities Corporation.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But the state workmen’s compensation board ruled against him, citing a variety of factors. The claimant sold canned meats, making rounds in his car from his home. The company did not establish hours for him, did not control his movements in any way, and did not reimburse him for mileage or any other expenses or withhold taxes from its straight commission payments to him. He reported his taxes on a form for the self-employed and hired an accountant to prepare it for him. The court agreed with the compensation board that these facts established the salesman’s status as an independent contractor.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factual situation in each case determines whether a worker is an employee or an independent contractor. Neither the company nor the worker can establish the worker’s status by agreement. As the North Dakota Workmen’s Compensation Bureau put it in a bulletin to real estate brokers, “It has come to the Bureau’s attention that many employers are requiring that those who work for them sign ‘independent contractor’ forms so that the employer does not have to pay workmen’s compensation premiums for his employees. Such forms are meaningless if the worker is in fact an employee.” </w:t>
      </w:r>
      <w:r>
        <w:rPr>
          <w:rFonts w:ascii="Georgia" w:eastAsia="Times New Roman" w:hAnsi="Georgia" w:cs="Calibri"/>
          <w:i/>
          <w:iCs/>
          <w:color w:val="333333"/>
          <w:sz w:val="20"/>
          <w:szCs w:val="20"/>
          <w:lang w:val="en"/>
        </w:rPr>
        <w:t>Vizcaino v. Microsoft Corporation</w:t>
      </w:r>
      <w:r>
        <w:rPr>
          <w:rFonts w:ascii="Georgia" w:eastAsia="Times New Roman" w:hAnsi="Georgia" w:cs="Calibri"/>
          <w:color w:val="333333"/>
          <w:sz w:val="20"/>
          <w:szCs w:val="20"/>
          <w:lang w:val="en"/>
        </w:rPr>
        <w:t>, discussed in </w:t>
      </w:r>
      <w:r>
        <w:rPr>
          <w:rFonts w:ascii="Georgia" w:eastAsia="Times New Roman" w:hAnsi="Georgia" w:cs="Calibri"/>
          <w:color w:val="2689C6"/>
          <w:sz w:val="20"/>
          <w:szCs w:val="20"/>
          <w:lang w:val="en"/>
        </w:rPr>
        <w:t>Section 20.3.2 "Employee versus Independent Contractor"</w:t>
      </w:r>
      <w:r>
        <w:rPr>
          <w:rFonts w:ascii="Georgia" w:eastAsia="Times New Roman" w:hAnsi="Georgia" w:cs="Calibri"/>
          <w:color w:val="333333"/>
          <w:sz w:val="20"/>
          <w:szCs w:val="20"/>
          <w:lang w:val="en"/>
        </w:rPr>
        <w:t>, examines the distinction.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determining a worker’s status for tax and compensation insurance purposes, it is sometimes critical for decisions involving personal liability insurance policies, which usually exclude from coverage accidents involving employees of the insureds. </w:t>
      </w:r>
      <w:r>
        <w:rPr>
          <w:rFonts w:ascii="Georgia" w:eastAsia="Times New Roman" w:hAnsi="Georgia" w:cs="Calibri"/>
          <w:i/>
          <w:iCs/>
          <w:color w:val="333333"/>
          <w:sz w:val="20"/>
          <w:szCs w:val="20"/>
          <w:lang w:val="en"/>
        </w:rPr>
        <w:t>General Accident Fire &amp; Life Assurance Corp v. Pro Golf Association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involved such a situation. The insurance policy in question covered members of the Professional Golfers Association. Gerald Hall, a golf pro employed by the local park department, was afforded coverage under the policy, which excluded “bodily injury to any employee of the insured arising out of and in the course of his employment by the insured.” That is, no employee of Hall’s would be covered (rather, any such person would have coverage under workers’ compensation statutes). Bradley Martin, age thirteen, was at the golf course for junior league play. At Hall’s request, he agreed to retrieve or “shag” golf balls to be hit during a lesson Hall was giving; he was—as Hall put it—to be compensated “either through golf instructions or money or hotdogs or whatever.” During the course of the lesson, a golf ball hit by Hall hit young Martin in the eye. If Martin was an employee, the insurance company would be liable; if he was not an employee, the insurance company would not liable. The trial court determined he was not an employee. The evidence showed: sometimes the boys who “shagged” balls got paid, got golfing instructions, or got food, so the question of compensation was ambiguous. Martin was not directed in how to perform (the admittedly simple) task of retrieving golf balls, no control was exercised over him, and no equipment was required other than a bag to collect the balls: “We believe the evidence is susceptible of different inferences.…We cannot say that the decision of the trial court is against the manifest weight of the evidence.”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of the Agency Relationship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agency relationship can be created in two ways: by agreement (expressly) or by operation of law (constructively or impliedly).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Agency Created by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agencies are created by contract. Thus the general rules of contract law covered in </w:t>
      </w:r>
      <w:r>
        <w:rPr>
          <w:rFonts w:ascii="Georgia" w:eastAsia="Times New Roman" w:hAnsi="Georgia" w:cs="Calibri"/>
          <w:color w:val="2689C6"/>
          <w:sz w:val="20"/>
          <w:szCs w:val="20"/>
          <w:lang w:val="en"/>
        </w:rPr>
        <w:t>Chapter 8 "Introduction to Contract Law"</w:t>
      </w:r>
      <w:r>
        <w:rPr>
          <w:rFonts w:ascii="Georgia" w:eastAsia="Times New Roman" w:hAnsi="Georgia" w:cs="Calibri"/>
          <w:color w:val="333333"/>
          <w:sz w:val="20"/>
          <w:szCs w:val="20"/>
          <w:lang w:val="en"/>
        </w:rPr>
        <w:t> through </w:t>
      </w:r>
      <w:r>
        <w:rPr>
          <w:rFonts w:ascii="Georgia" w:eastAsia="Times New Roman" w:hAnsi="Georgia" w:cs="Calibri"/>
          <w:color w:val="2689C6"/>
          <w:sz w:val="20"/>
          <w:szCs w:val="20"/>
          <w:lang w:val="en"/>
        </w:rPr>
        <w:t>Chapter 16 "Remedies"</w:t>
      </w:r>
      <w:r>
        <w:rPr>
          <w:rFonts w:ascii="Georgia" w:eastAsia="Times New Roman" w:hAnsi="Georgia" w:cs="Calibri"/>
          <w:color w:val="333333"/>
          <w:sz w:val="20"/>
          <w:szCs w:val="20"/>
          <w:lang w:val="en"/>
        </w:rPr>
        <w:t> govern the law of agency. But agencies can also be created without contract, by agreement. Therefore, three contract principles are especially important: the first is the requirement for consideration, the second for a writing, and the third concerns contractual capacity.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Consideration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Agencies created by consent—agreement—are not necessarily contractual. It is not uncommon for one person to act as an agent for another without consideration. For example, Abe asks Byron to run some errands for him: to buy some lumber on his account at the local lumberyard. Such agratuitous agency gives rise to no different results than the more common contractual agency.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Formalities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oral agency contracts are legally binding; the law does not require that they be reduced to writing. In practice, many agency contracts are written to avoid problems of proof. And there are situations where an agency contract must be in writing: (1) if the agreed-on purpose of the agency cannot be fulfilled within one year or if the agency relationship is to last more than one year; (2) in many states, an agreement to pay a commission to a real estate broker; (3) in many states, authority given to an agent to sell real estate; and (4) in several states, contracts between companies and sales representatives.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when the agency contract is not required to be in writing, contracts that agents make with third parties often must be in writing. Thus Section 2-201 of the Uniform Commercial Code specifically requires contracts for the sale of goods for the price of five hundred dollars or more to be in writing and “signed by the party against whom enforcement is sought or by his authorized agent.”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Capacity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contract is void or voidable when one of the parties lacks capacity to make one. If both principal and agent lack capacity—for example, a minor appoints another minor to negotiate or sign an agreement—there can be no question of the contract’s voidability. But suppose only one or the other lacks capacity. Generally, the law focuses on the principal. If the principal is a minor or otherwise lacks capacity, the contract can be avoided even if the agent is fully competent. There are, however, a few situations in which the capacity of the agent is important. Thus a mentally incompetent agent cannot bind a principal.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Agency Created by Operation of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agencies are made by contract, but agency also may arise impliedly or apparently.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Agency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areas of social need, courts have declared an agency to exist in the absence of an agreement. The agency relationship then is said to have been implied “by operation of law.” Children in most states may purchase necessary items—food or medical services—on the parent’s account. Long-standing social policy deems it desirable for the head of a family to support his dependents, and the courts will put the expense on the family head in order to provide for the dependents’ welfare. The courts achieve this result by supposing the dependent to be the family head’s agent, thus allowing creditors to sue the family head for the debt.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Implied agencies also arise where one person behaves as an agent would and the “principal,” knowing that the “agent” is behaving so, acquiesces, allowing the person to hold himself out as an agent. Such are the basic facts in </w:t>
      </w:r>
      <w:r>
        <w:rPr>
          <w:rFonts w:ascii="Georgia" w:eastAsia="Times New Roman" w:hAnsi="Georgia" w:cs="Calibri"/>
          <w:i/>
          <w:iCs/>
          <w:color w:val="333333"/>
          <w:sz w:val="20"/>
          <w:szCs w:val="20"/>
          <w:lang w:val="en"/>
        </w:rPr>
        <w:t>Weingart v. Directoire Restaurant, Inc.</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20.3.1 "Creation of Agency: Liability of Parent for Contracts Made by “Agent” Child"</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Apparent Agency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Arthur is Paul’s agent, employed through October 31. On November 1, Arthur buys materials at Lumber Yard—as he has been doing since early spring—and charges them to Paul’s account. Lumber Yard, not knowing that Arthur’s employment terminated the day before, bills Paul. Will Paul have to pay? Yes, because the termination of the agency was not communicated to Lumber Yard. It </w:t>
      </w:r>
      <w:r>
        <w:rPr>
          <w:rFonts w:ascii="Georgia" w:eastAsia="Times New Roman" w:hAnsi="Georgia" w:cs="Calibri"/>
          <w:i/>
          <w:iCs/>
          <w:color w:val="333333"/>
          <w:sz w:val="20"/>
          <w:szCs w:val="20"/>
          <w:lang w:val="en"/>
        </w:rPr>
        <w:t>appeared</w:t>
      </w:r>
      <w:r>
        <w:rPr>
          <w:rFonts w:ascii="Georgia" w:eastAsia="Times New Roman" w:hAnsi="Georgia" w:cs="Calibri"/>
          <w:color w:val="333333"/>
          <w:sz w:val="20"/>
          <w:szCs w:val="20"/>
          <w:lang w:val="en"/>
        </w:rPr>
        <w:t> that Arthur was an authorized agent. This issue is discussed further in </w:t>
      </w:r>
      <w:r>
        <w:rPr>
          <w:rFonts w:ascii="Georgia" w:eastAsia="Times New Roman" w:hAnsi="Georgia" w:cs="Calibri"/>
          <w:color w:val="2689C6"/>
          <w:sz w:val="20"/>
          <w:szCs w:val="20"/>
          <w:lang w:val="en"/>
        </w:rPr>
        <w:t>Chapter 21 "Liability of Principal and Agent; Termination of Agency"</w:t>
      </w:r>
      <w:r>
        <w:rPr>
          <w:rFonts w:ascii="Georgia" w:eastAsia="Times New Roman" w:hAnsi="Georgia" w:cs="Calibri"/>
          <w:color w:val="333333"/>
          <w:sz w:val="20"/>
          <w:szCs w:val="20"/>
          <w:lang w:val="en"/>
        </w:rPr>
        <w: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agent is one who acts on behalf of another. Many transactions are conducted by agents so acting. All corporate transactions, including those involving governmental organizations, are so conducted because corporations cannot themselves actually act; they are legal fictions. Agencies may be created expressly, impliedly, or apparently. Recurring issues in agency law include whether the “agent” really is such, the scope of the agent’s authority, and the duties among the parties. The five types of agents include: general agent, special agent, subagent, agency coupled with an interest, and servant (or employee). The independent contractor is not an employee; her activities are not specifically controlled by her client, and the client is not liable for payroll taxes, Social Security, and the like. But it is not uncommon for an employer to claim workers are independent contractors when in fact they are employees, and the cases are often hard-fought on the facts.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9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agency law especially important in the business and government context?</w:t>
      </w:r>
    </w:p>
    <w:p w:rsidR="00A86150" w:rsidRDefault="00F714D4">
      <w:pPr>
        <w:numPr>
          <w:ilvl w:val="0"/>
          <w:numId w:val="49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five types of agents?</w:t>
      </w:r>
    </w:p>
    <w:p w:rsidR="00A86150" w:rsidRDefault="00F714D4">
      <w:pPr>
        <w:numPr>
          <w:ilvl w:val="0"/>
          <w:numId w:val="493"/>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distinguishes an employee from an independent contractor?</w:t>
      </w:r>
    </w:p>
    <w:p w:rsidR="00A86150" w:rsidRDefault="00F714D4">
      <w:pPr>
        <w:numPr>
          <w:ilvl w:val="0"/>
          <w:numId w:val="493"/>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employers frequently try to pass off employees as independent contractors?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1. </w:t>
      </w:r>
      <w:r>
        <w:rPr>
          <w:rFonts w:ascii="Calibri" w:eastAsia="Times New Roman" w:hAnsi="Calibri" w:cs="Calibri"/>
          <w:i/>
          <w:iCs/>
          <w:color w:val="333333"/>
          <w:sz w:val="20"/>
          <w:szCs w:val="20"/>
        </w:rPr>
        <w:t>Flick v. Crouch</w:t>
      </w:r>
      <w:r>
        <w:rPr>
          <w:rFonts w:ascii="Calibri" w:eastAsia="Times New Roman" w:hAnsi="Calibri" w:cs="Calibri"/>
          <w:color w:val="333333"/>
          <w:sz w:val="20"/>
          <w:szCs w:val="20"/>
        </w:rPr>
        <w:t>, 434 P.2d 256, 260 (OK, 1967).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Robinson v. New York Commodities Corp.</w:t>
      </w:r>
      <w:r>
        <w:rPr>
          <w:rFonts w:ascii="Calibri" w:eastAsia="Times New Roman" w:hAnsi="Calibri" w:cs="Calibri"/>
          <w:color w:val="333333"/>
          <w:sz w:val="20"/>
          <w:szCs w:val="20"/>
        </w:rPr>
        <w:t>, 396 N.Y.S.2d 725, App. Div. (1977).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General Accident Fire &amp; Life Assurance Corp v. Pro Golf Association</w:t>
      </w:r>
      <w:r>
        <w:rPr>
          <w:rFonts w:ascii="Calibri" w:eastAsia="Times New Roman" w:hAnsi="Calibri" w:cs="Calibri"/>
          <w:color w:val="333333"/>
          <w:sz w:val="20"/>
          <w:szCs w:val="20"/>
        </w:rPr>
        <w:t>, 352 N.E.2d 441 (Ill. App. 1976).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20.2 Duties between Agent and Principal</w:t>
      </w:r>
    </w:p>
    <w:p w:rsidR="00A86150" w:rsidRDefault="00A86150">
      <w:pPr>
        <w:shd w:val="clear" w:color="auto" w:fill="FFFFFF"/>
        <w:spacing w:after="0" w:line="439" w:lineRule="atLeast"/>
        <w:ind w:right="360"/>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494"/>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the agent owes the principal two types of duties: a special duty—the fiduciary duty—and other general duties as recognized in agency law.</w:t>
      </w:r>
    </w:p>
    <w:p w:rsidR="00A86150" w:rsidRDefault="00F714D4">
      <w:pPr>
        <w:numPr>
          <w:ilvl w:val="0"/>
          <w:numId w:val="494"/>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the principal owes the agent duties: contract, tort, and workers’ compensation.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Agent’s Duty to Principal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agent owes the principal duties in two categories: the fiduciary duty and a set of general duties imposed by agency law. But these general duties are not unique to agency law; they are duties owed by any employee to the employer.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Fiduciary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nonagency contractual situation, the parties’ responsibilities terminate at the border of the contract. There is no relationship beyond the agreement. This literalist approach is justified by the more general principle that we each should be free to act unless we commit ourselves to a particular course.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agency relationship is more than a contractual one, and the agent’s responsibilities go beyond the border of the contract. Agency imposes a higher duty than simply to abide by the contract terms. It imposes a fiduciary duty. The law infiltrates the contract creating the agency relationship and reverses the general principle that the parties are free to act in the absence of agreement. As a fiduciary of the principal, the agent stands in a position of special trust. His responsibility is to subordinate his self-interest to that of his principal. The fiduciary responsibility is imposed by law. The absence of any clause in the contract detailing the agent’s fiduciary duty does not relieve him of it. The duty contains several aspects.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Avoid Self-Dealing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fiduciary may not lawfully profit from a conflict between his personal interest in a transaction and his principal’s interest in that same transaction. A broker hired as a purchasing agent, for instance, may not sell to his principal through a company in which he or his family has a financial interest. The penalty for breach of fiduciary duty is loss of compensation and profit and possible damages for breach of trust.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Preserve Confidential Information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further his objectives, a principal will usually need to reveal a number of secrets to his agent—how much he is willing to sell or pay for property, marketing strategies, and the like. Such information could easily be turned to the disadvantage of the principal if the agent were to compete with the principal or were to sell the information to those who do. The law therefore prohibits an agent from using for his own purposes or in ways that would injure the interests of the principal, information confidentially given or acquired. This prohibition extends to information gleaned from the principal though unrelated to the agent’s assignment: “[A]n agent who is told by the principal of his plans, or who secretly examines books or memoranda of the employer, is not privileged to use such information at his principal’s expense.”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Nor may the agent use confidential information after resigning his agency. Though he is free, in the absence of contract, to compete with his former principal, he may not use information learned in the course of his agency, such as trade secrets and customer lists. </w:t>
      </w:r>
      <w:r>
        <w:rPr>
          <w:rFonts w:ascii="Georgia" w:eastAsia="Times New Roman" w:hAnsi="Georgia" w:cs="Calibri"/>
          <w:color w:val="2689C6"/>
          <w:sz w:val="20"/>
          <w:szCs w:val="20"/>
          <w:lang w:val="en"/>
        </w:rPr>
        <w:t>Section 20.3.3 "Breach of Fiduciary Duty"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Bacon v. Volvo Service Center, Inc.</w:t>
      </w:r>
      <w:r>
        <w:rPr>
          <w:rFonts w:ascii="Georgia" w:eastAsia="Times New Roman" w:hAnsi="Georgia" w:cs="Calibri"/>
          <w:color w:val="333333"/>
          <w:sz w:val="20"/>
          <w:szCs w:val="20"/>
          <w:lang w:val="en"/>
        </w:rPr>
        <w:t>, deals with an agent’s breach of the duty of confidentiality.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fiduciary responsibility (and whatever special duties may be contained in the specific contract) the law of agency imposes other duties on an agent. These duties are not necessarily unique to agents: a nonfiduciary employee could also be bound to these duties on the right facts.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of Skill and Care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agent is usually taken on because he has special knowledge or skills that the principal wishes to tap. The agent is under a legal duty to perform his work with the care and skill that is “standard in the locality for the kind of work which he is employed to perform” and to exercise any special skills, if these are greater or more refined than those prevalent among those normally employed in the community. In short, the agent may not lawfully do a sloppy job.</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of Good Conduct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absence of an agreement, a principal may not ordinarily dictate how an agent must live his private life. An overly fastidious florist may not instruct her truck driver to steer clear of the local bar on his way home from delivering flowers at the end of the day. But there are some jobs on which the personal habits of the agent may have an effect. The agent is not at liberty to act with impropriety or notoriety, so as to bring disrepute on the business in which the principal is engaged. A lecturer at an antialcohol clinic may be directed to refrain from frequenting bars. A bank cashier who becomes known as a gambler may be fired.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Keep and Render Accounts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agent must keep accurate financial records, take receipts, and otherwise act in conformity to standard business practices.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Act Only as Authorized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duty states a truism but is one for which there are limits. A principal’s wishes may have been stated ambiguously or may be broad enough to confer discretion on the agent. As long as the agent acts reasonably under the circumstances, he will not be liable for damages later if the principal ultimately repudiates what the agent has done: “Only conduct which is contrary to the principal’s manifestations to him, interpreted in light of what he has reason to know at the time when he acts,…subjects the agent to liability to the principal.”</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Not to Attempt the Impossible or Impracticable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principal says to the agent, “Keep working until the job is done.” The agent is not obligated to go without food or sleep because the principal misapprehended how long it would take to complete the job. Nor should the agent continue to expend the principal’s funds in a quixotic attempt to gain business, sign up customers, or produce inventory when it is reasonably clear that such efforts would be in vain.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Obey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general rule, the agent must obey reasonable directions concerning the manner of performance. What is reasonable depends on the customs of the industry or trade, prior dealings between agent and principal, and the nature of the agreement creating the agency. A principal may prescribe uniforms for various classes of employees, for instance, and a manufacturing company may tell its sales force what sales pitch to use on customers. On the other hand, certain tasks entrusted to agents are not subject to the principal’s control; for example, a lawyer may refuse to permit a client to dictate courtroom tactics.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Give Information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principal cannot be every place at once—that is why agents are hired, after all—much that is vital to the principal’s business first comes to the attention of agents. If the agent has actual notice or reason to know of information that is relevant to matters entrusted to him, he has a duty to inform the principal. This duty is especially critical because information in the hands of an agent is, under most circumstances, imputed to the principal, whose legal liabilities to third persons may hinge on receiving information in timely fashion. Service of process, for example, requires a defendant to answer within a certain number of days; an agent’s failure to communicate to the principal that a summons has been served may bar the principal’s right to defend a lawsuit. The imputation to the principal of knowledge possessed by the agent is strict: even where the agent is acting adversely to the principal’s interests—for example, by trying to defraud his employer—a third party may still rely on notification to the agent, unless the third party knows the agent is acting adversely.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“Shop Rights” Doctrine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Grip Nut Co. v. Sharp</w:t>
      </w:r>
      <w:r>
        <w:rPr>
          <w:rFonts w:ascii="Georgia" w:eastAsia="Times New Roman" w:hAnsi="Georgia" w:cs="Calibri"/>
          <w:color w:val="333333"/>
          <w:sz w:val="20"/>
          <w:szCs w:val="20"/>
          <w:lang w:val="en"/>
        </w:rPr>
        <w:t>, Sharp made a deal with Grip Nut Company that in return for a salary and bonuses as company president, he would assign to the company any inventions he made.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When the five-year employment contract expired, Sharp continued to serve as chief executive officer, but no new contract was negotiated concerning either pay or rights to inventions. During the next ten years, Sharp invented a number of new products and developed new machinery to manufacture them; patent rights went to the company. However, he made one invention with two other employees and they assigned the patent to him. A third employee invented a safety device and also assigned the patent to Sharp. At one time, Sharp’s son invented a leakproof bolt and a process to manufacture it; these, too, were assigned to Sharp. These inventions were developed in the company’s plants at its expense.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Sharp died, his family claimed the rights to the inventions on which Sharp held assignments and sued the company, which used the inventions, for patent infringement. The family reasoned that after the expiration of the employment contract, Sharp was employed only in a managerial capacity, not as an inventor. The court disagreed and invoked the shop rights doctrine, under which an invention “developed and perfected in [a company’s] plant with its time, materials, and appliances, and wholly at its expense” may be used by the company without payment of royalties: “Because the servant uses his master’s time, facilities and materials to attain a concrete result, the employer is entitled to use that which embodies his own property and to duplicate it as often as he may find occasion to employ similar appliances in his business.” The company would have been given complete ownership of the patents had there been an express or implied (e.g., the employee is hired to make inventions) contract to this effect between Sharp and the company.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Principal’s Duty to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category, we may note that the principal owes the agent duties in contract, tort, and—statutorily—workers’ compensation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fiduciary relationship of agent to principal does not run in reverse—that is, the principal is not the agent’s fiduciary. Nevertheless, the principal has a number of contractually related obligations toward his agent.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Contract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duties are analogues of many of the agent’s duties that we have just examined. In brief, a principal has a duty “to refrain from unreasonably interfering with [an agent’s] work.”</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 principal is allowed, however, to compete with the agent unless the agreement specifically prohibits it. The principal has a duty to inform his agent of risks of physical harm or pecuniary loss that inhere in the agent’s performance of assigned tasks. Failure to warn an agent that travel in a particular neighborhood required by the job may be dangerous (a fact unknown to the agent but known to the principal) could under common law subject the principal to a suit for damages if the agent is injured while in the neighborhood performing her job. A principal is obliged to render accounts of monies due to agents; a principal’s obligation to do so depends on a variety of factors, including the degree of independence of the agent, the method of compensation, and the customs of the particular business. An agent’s reputation is no less valuable than a principal’s, and so an agent is under no obligation to continue working for one who sullies 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Employment at Will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traditional “employment-at-will” doctrine, an employee who is not hired for a specific period can be fired at any time, for any reason (except bad reasons: an employee cannot be fired, for example, for reporting that his employer’s paper mill is illegally polluting groundwater). This doctrine has been much criticized.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Indemnify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Agents commonly spend money pursuing the principal’s business. Unless the agreement explicitly provides otherwise, the principal has a duty to indemnify or reimburse the agent. A familiar form of indemnity is the employee expense account.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Tort and Workers’ Compensation Duties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employer owes the employee—any employee, not just agents—certain statutorily imposed tort and workers’ compensation duties.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Background to Workers’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Andy, who works in a dynamite factory, negligently stores dynamite in the wrong shed. Andy warns his fellow employee Bill that he has done so. Bill lights up a cigarette near the shed anyway, a spark lands on the ground, the dynamite explodes, and Bill is injured. May Bill sue his employer to recover damages? At common law, the answer would be no—three times no. First, the “fellow-servant” rule would bar recovery because the employer was held not to be responsible for torts committed by one employee against another. Second, Bill’s failure to heed Andy’s warning and his decision to smoke near the dynamite amounted to contributory negligence. Hence even if the dynamite had been negligently stored by the employer rather than by a fellow employee, the claim would have been dismissed. Third, the courts might have held that Bill had “assumed the risk”: since he was aware of the dangers, it would not be fair to saddle the employer with the burden of Bill’s actions.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three common-law rules just mentioned ignited intense public fury by the turn of the twentieth century. In large numbers of cases, workers who were mutilated or killed on the job found themselves and their families without recompense. Union pressure and grass roots lobbying led toworkers’ compensation acts—statutory enactments that dramatically overhauled the law of torts as it affected employees.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System in General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Workers’ compensation is a no-fault system. The employee gives up the right to sue the employer (and, in some states, other employees) and receives in exchange predetermined compensation for a job-related injury, regardless of who caused it. This trade-off was felt to be equitable to employer and employee: the employee loses the right to seek damages for pain and suffering—which can be a sizable portion of any jury award—but in return he can avoid the time-consuming and uncertain judicial process and assure himself that his medical costs and a portion of his salary will be paid—and paid promptly. The employer must pay for all injuries, even those for which he is blameless, but in return he avoids the risk of losing a big lawsuit, can calculate his costs actuarially, and can spread the risks through insurance.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workers’ compensation acts provide 100 percent of the cost of a worker’s hospitalization and medical care necessary to cure the injury and relieve him from its effects. They also provide for payment of lost wages and death benefits. Even an employee who is able to work may be eligible to receive compensation for specific injuries. Part of the table of benefits for specific injuries under the Kansas statute is shown in </w:t>
      </w:r>
      <w:r>
        <w:rPr>
          <w:rFonts w:ascii="Georgia" w:eastAsia="Times New Roman" w:hAnsi="Georgia" w:cs="Calibri"/>
          <w:color w:val="2689C6"/>
          <w:sz w:val="20"/>
          <w:szCs w:val="20"/>
          <w:lang w:val="en"/>
        </w:rPr>
        <w:t>Note 20.16 "Kansas Workers’ Compensation Benefits for Specific Injuries"</w:t>
      </w:r>
      <w:r>
        <w:rPr>
          <w:rFonts w:ascii="Georgia" w:eastAsia="Times New Roman" w:hAnsi="Georgia" w:cs="Calibri"/>
          <w:color w:val="333333"/>
          <w:sz w:val="20"/>
          <w:szCs w:val="20"/>
          <w:lang w:val="en"/>
        </w:rPr>
        <w:t>.</w:t>
      </w: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Kansas Workers’ Compensation Benefits for Specific Injuries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5.—Workers’ Compensation</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44-510d. Compensation for certain permanent partial disabilities; schedule. If there is an award of permanent disability as a result of the injury there shall be a presumption that disability existed immediately after the injury and compensation is to be paid for not to exceed the number of weeks allowed in the following schedule: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For loss of a thumb, 60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For the loss of a first finger, commonly called the index finger, 37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For the loss of a second finger, 30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For the loss of a third finger, 20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 For the loss of a fourth finger, commonly called the little finger, 15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(6) Loss of the first phalange of the thumb or of any finger shall be considered to be equal to the loss of 1/2 of such thumb or finger, and the compensation shall be 1/2 of the amount specified above. The loss of the first phalange and any part of the second phalange of any finger, which includes the loss of any part of the bone of such second phalange, shall be considered to be equal to the loss of 2/3 of such finger and the compensation shall be 2/3 of the amount specified above. The loss of the first phalange and any part of the second phalange of a thumb which includes the loss of any part of the bone of such second phalange, shall be considered to be equal to the loss of the entire thumb. The loss of the first and second phalanges and any part of the third proximal phalange of any finger, shall be considered as the loss of the entire finger. Amputation through the joint shall be considered a loss to the next higher schedule.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 For the loss of a great toe, 30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 For the loss of any toe other than the great toe, 10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 The loss of the first phalange of any toe shall be considered to be equal to the loss of 1/2 of such toe and the compensation shall be 1/2 of the amount above specified.</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(10) The loss of more than one phalange of a toe shall be considered to be equal to the loss of the entire toe.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(11) For the loss of a hand, 150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(12) For the loss of a forearm, 200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(13) For the loss of an arm, excluding the shoulder joint, shoulder girdle, shoulder musculature or any other shoulder structures, 210 weeks, and for the loss of an arm, including the shoulder joint, shoulder girdle, shoulder musculature or any other shoulder structures, 225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(14) For the loss of a foot, 125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(15) For the loss of a lower leg, 190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(16) For the loss of a leg, 200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(17) For the loss of an eye, or the complete loss of the sight thereof, 120 weeks.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Source:</w:t>
      </w:r>
      <w:hyperlink r:id="rId50" w:tgtFrame="_blank" w:history="1">
        <w:r>
          <w:rPr>
            <w:rStyle w:val="Hyperlink"/>
            <w:rFonts w:ascii="Georgia" w:eastAsia="Times New Roman" w:hAnsi="Georgia" w:cs="Calibri"/>
            <w:color w:val="2689C6"/>
            <w:sz w:val="20"/>
            <w:szCs w:val="20"/>
            <w:lang w:val="en"/>
          </w:rPr>
          <w:t>http://www.kslegislature.org/li/statute/044_000_0000_chapter/044_005_0000_article/044_005_0010d_section/044_005_0010d_k/</w:t>
        </w:r>
      </w:hyperlink>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injured worker is typically entitled to two-thirds his or her average pay, not to exceed some specified maximum, for two hundred weeks. If the loss is partial (like partial loss of sight), the recovery is decreased by the percentage still usable.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Coverage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workers’ compensation laws are on the books of every state, in two states—New Jersey and Texas—they are not compulsory. In those states the employer may decline to participate, in which event the employee must seek redress in court. But in those states permitting an employer election, the old common-law defenses (fellow-servant rule, contributory negligence, and assumption of risk) have been statutorily eliminated, greatly enhancing an employee’s chances of winning a suit. The incentive is therefore strong for employers to elect workers’ compensation coverage.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Those frequently excluded are farm and domestic laborers and public employees; public employees, federal workers, and railroad and shipboard workers are covered under different but similar laws. The trend has been to include more and more classes of workers. Approximately half the states now provide coverage for household workers, although the threshold of coverage varies widely from state to state. Some use an earnings test; other states impose an hours threshold. People who fall within the domestic category include maids, baby-sitters, gardeners, and handymen but generally not plumbers, electricians, and other independent contractors.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Paying for Workers’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general methods by which employers may comply with workers’ compensation laws. First, they may purchase employer’s liability and workers’ compensation policies through private commercial insurance companies. These policies consist of two major provisions: payment by the insurer of all claims filed under workers’ compensation and related laws (such as occupational disease benefits) and coverage of the costs of defending any suits filed against the employer, including any judgments awarded. Since workers’ compensation statutes cut off the employee’s right to sue, how can such a lawsuit be filed? The answer is that there are certain exceptions to the ban: for instance, a worker may sue if the employer deliberately injures an employee.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method of compliance with workers’ compensation laws is to insure through a state fund established for the purpose. The third method is to self-insure. The laws specify conditions under which companies may resort to self-insurance, and generally only the largest corporations qualify to do so. In short, workers’ compensation systems create a tax on employers with which they are required (again, in most states) to buy insurance. The amount the employer has to pay for the insurance depends on the number and seriousness of claims made—how dangerous the work is. For example, Washington State’s 2011 proposed hourly rates for employers to purchase insurance include these items: for egg and poultry farms, $1.16 per hour; shake and shingle mills, $18.06 per hour; asphalt paving, $2.87 per hour; lawn care maintenance, $1.22 per hour; plastic products manufacturing, $0.87 per hour; freight handling, $1.81 per hour; supermarkets, $0.76; restaurants, $0.43; entertainers and dancers, $7.06; colleges and universities, $0.31.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Recurring Legal Issues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 number of legal issues that recur in workers’ compensation cases. The problem is, from the employer’s point of view, that the cost of buying insurance is tied to the number of claims made. The employer therefore has reason to assert the injured employee is not eligible for compensation. Recurring legal issues include the following:</w:t>
      </w:r>
    </w:p>
    <w:p w:rsidR="00A86150" w:rsidRDefault="00F714D4">
      <w:pPr>
        <w:pStyle w:val="ListParagraph"/>
        <w:numPr>
          <w:ilvl w:val="0"/>
          <w:numId w:val="49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the injury work related? As a general rule, on-the-job injuries are covered no matter what their relationship to the employee’s specific duties. Although injuries resulting from drunkenness or fighting are not generally covered, there are circumstances under which they will be, as </w:t>
      </w:r>
      <w:r>
        <w:rPr>
          <w:rFonts w:ascii="Georgia" w:eastAsia="Times New Roman" w:hAnsi="Georgia" w:cs="Calibri"/>
          <w:color w:val="2689C6"/>
          <w:sz w:val="20"/>
          <w:szCs w:val="20"/>
          <w:lang w:val="en"/>
        </w:rPr>
        <w:t>Section 20.3.2 "Employee versus Independent Contractor"</w:t>
      </w:r>
      <w:r>
        <w:rPr>
          <w:rFonts w:ascii="Georgia" w:eastAsia="Times New Roman" w:hAnsi="Georgia" w:cs="Calibri"/>
          <w:color w:val="333333"/>
          <w:sz w:val="20"/>
          <w:szCs w:val="20"/>
          <w:lang w:val="en"/>
        </w:rPr>
        <w:t> shows.</w:t>
      </w:r>
    </w:p>
    <w:p w:rsidR="00A86150" w:rsidRDefault="00F714D4">
      <w:pPr>
        <w:pStyle w:val="ListParagraph"/>
        <w:numPr>
          <w:ilvl w:val="0"/>
          <w:numId w:val="49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the injured person an employee? Courts are apt to be liberal in construing statutes to include those who might not seem to be employed. In </w:t>
      </w:r>
      <w:r>
        <w:rPr>
          <w:rFonts w:ascii="Georgia" w:eastAsia="Times New Roman" w:hAnsi="Georgia" w:cs="Calibri"/>
          <w:i/>
          <w:iCs/>
          <w:color w:val="333333"/>
          <w:sz w:val="20"/>
          <w:szCs w:val="20"/>
          <w:lang w:val="en"/>
        </w:rPr>
        <w:t>Betts v. Ann Arbor Public Schools</w:t>
      </w:r>
      <w:r>
        <w:rPr>
          <w:rFonts w:ascii="Georgia" w:eastAsia="Times New Roman" w:hAnsi="Georgia" w:cs="Calibri"/>
          <w:color w:val="333333"/>
          <w:sz w:val="20"/>
          <w:szCs w:val="20"/>
          <w:lang w:val="en"/>
        </w:rPr>
        <w:t>, a University of Michigan student majoring in physical education was a student teacher in a junior high school.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During a four-month period, he taught two physical education courses. On the last day of his student teaching, he walked into the locker room and thirty of his students grabbed him and tossed him into the swimming pool. This was traditional, but he “didn’t feel like going in that morning” and put up a struggle that ended with a whistle on an elastic band hitting him in the eye, which he subsequently lost as a result of the injury. He filed a workers’ compensation claim. The school board argued that he could not be classified as an employee because he received no pay. Since he was injured by students—not considered agents of the school—he would probably have been unsuccessful in filing a tort suit; hence the workers’ compensation claim was his only chance of recompense. The state workers’ compensation appeal board ruled against the school on the ground that payment in money was not required: “Plaintiff was paid in the form of training, college credits towards graduation, and meeting of the prerequisites of a state provisional certificate.” The state supreme court affirmed the award.</w:t>
      </w:r>
    </w:p>
    <w:p w:rsidR="00A86150" w:rsidRDefault="00F714D4">
      <w:pPr>
        <w:pStyle w:val="ListParagraph"/>
        <w:numPr>
          <w:ilvl w:val="0"/>
          <w:numId w:val="495"/>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palpable must the “injury” be? A difficult issue is whether a worker is entitled to compensation for psychological injury, including cumulative trauma. Until the 1970s, insurance companies and compensation boards required physical injury before making an award. Claims that job stresses led to nervous breakdowns or other mental disorders were rejected. But most courts have liberalized the definition of injury and now recognize that psychological trauma can be real and that job stress can bring it on, as shown by the discussion of </w:t>
      </w:r>
      <w:r>
        <w:rPr>
          <w:rFonts w:ascii="Georgia" w:eastAsia="Times New Roman" w:hAnsi="Georgia" w:cs="Calibri"/>
          <w:i/>
          <w:iCs/>
          <w:color w:val="333333"/>
          <w:sz w:val="20"/>
          <w:szCs w:val="20"/>
          <w:lang w:val="en"/>
        </w:rPr>
        <w:t>Wolfe v. Sibley, Lindsay &amp; Curr Co.</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20.3.4 "Workers’ Compensation: What “Injuries” Are Compensable?"</w:t>
      </w:r>
      <w:r>
        <w:rPr>
          <w:rFonts w:ascii="Georgia" w:eastAsia="Times New Roman" w:hAnsi="Georgia" w:cs="Calibri"/>
          <w:color w:val="333333"/>
          <w:sz w:val="20"/>
          <w:szCs w:val="20"/>
          <w:lang w:val="en"/>
        </w:rPr>
        <w: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agent owes the principal two categories of duties: fiduciary and general. The fiduciary duty is the duty to act always in the interest of the principal; the duty here includes that to avoid self-dealing and to preserve confidential information. The general duty owed by the agent encompasses the sorts of obligations any employee might have: the duty of skill and care, of good conduct, to keep and render accounts, to not attempt the impossible or impracticable, to obey, and to give information. The shop rights doctrine provides that inventions made by an employee using the employer’s resources and on the employer’s time belong to the employer.</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principal owes the agent duties too. These may be categorized as contract and tort duties. The contract duties are to warn the agent of hazards associated with the job, to avoid interfering with the agent’s performance of his job, to render accounts of money due the agent, and to indemnify the agent for business expenses according to their agreement. The tort duty owed by the principal to the agent—employee—is primarily the statutorily imposed duty to provide workers’ compensation for injuries sustained on the job. In reaction to common-law defenses that often exonerated the employer from liability for workers’ injuries, the early twentieth century saw the rise of workers’ compensation statutes. These require the employer to provide no-fault insurance coverage for any injury sustained by the employee on the job. Because the employer’s insurance costs are claims rated (i.e., the cost of insurance depends on how many claims are made), the employer scrutinizes claims. A number of recurring legal issues arise: Is the injury work related? Is the injured person an employee? What constitutes an “injury”?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4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Judge Learned Hand, a famous early-twentieth-century jurist (1872–1961), said, “The fiduciary duty is not the ordinary morals of the marketplace.” How does the fiduciary duty differ from “the ordinary morals of the marketplace”? Why does the law impose a fiduciary duty on the agent?</w:t>
      </w:r>
    </w:p>
    <w:p w:rsidR="00A86150" w:rsidRDefault="00F714D4">
      <w:pPr>
        <w:numPr>
          <w:ilvl w:val="0"/>
          <w:numId w:val="4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nonfiduciary duties owed by the agent to the principal?</w:t>
      </w:r>
    </w:p>
    <w:p w:rsidR="00A86150" w:rsidRDefault="00F714D4">
      <w:pPr>
        <w:numPr>
          <w:ilvl w:val="0"/>
          <w:numId w:val="4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contract duties are owed by the principal to the agent?</w:t>
      </w:r>
    </w:p>
    <w:p w:rsidR="00A86150" w:rsidRDefault="00F714D4">
      <w:pPr>
        <w:numPr>
          <w:ilvl w:val="0"/>
          <w:numId w:val="49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were workers’ compensation statutes adopted in the early twentieth century?</w:t>
      </w:r>
    </w:p>
    <w:p w:rsidR="00A86150" w:rsidRDefault="00F714D4">
      <w:pPr>
        <w:numPr>
          <w:ilvl w:val="0"/>
          <w:numId w:val="49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 workers’ compensation statutes operate, and how are the costs paid for?</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Agency, Section 395.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Agency, Section 379.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Agency, Section 383.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Grip Nut Co. v. Sharp</w:t>
      </w:r>
      <w:r>
        <w:rPr>
          <w:rFonts w:ascii="Calibri" w:eastAsia="Times New Roman" w:hAnsi="Calibri" w:cs="Calibri"/>
          <w:color w:val="333333"/>
          <w:sz w:val="20"/>
          <w:szCs w:val="20"/>
        </w:rPr>
        <w:t>, 150 F.2d 192 (7th Cir. 1945).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Agency, Section 434.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Washington State Department of Labor &amp; Industries, </w:t>
      </w:r>
      <w:r>
        <w:rPr>
          <w:rFonts w:ascii="Calibri" w:eastAsia="Times New Roman" w:hAnsi="Calibri" w:cs="Calibri"/>
          <w:i/>
          <w:iCs/>
          <w:color w:val="333333"/>
          <w:sz w:val="20"/>
          <w:szCs w:val="20"/>
        </w:rPr>
        <w:t>Rates for Workers’ Compensation, Proposed 2011 Rates</w:t>
      </w:r>
      <w:r>
        <w:rPr>
          <w:rFonts w:ascii="Calibri" w:eastAsia="Times New Roman" w:hAnsi="Calibri" w:cs="Calibri"/>
          <w:color w:val="333333"/>
          <w:sz w:val="20"/>
          <w:szCs w:val="20"/>
        </w:rPr>
        <w:t>,</w:t>
      </w:r>
      <w:hyperlink r:id="rId51" w:tgtFrame="_blank" w:history="1">
        <w:r>
          <w:rPr>
            <w:rStyle w:val="Hyperlink"/>
            <w:rFonts w:ascii="Calibri" w:eastAsia="Times New Roman" w:hAnsi="Calibri" w:cs="Calibri"/>
            <w:color w:val="2689C6"/>
            <w:sz w:val="20"/>
            <w:szCs w:val="20"/>
          </w:rPr>
          <w:t>http://www.lni.wa.gov/ClaimsIns/Insurance/RatesRisk/Check/RatesHistory</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Betts v. Ann Arbor Public Schools</w:t>
      </w:r>
      <w:r>
        <w:rPr>
          <w:rFonts w:ascii="Calibri" w:eastAsia="Times New Roman" w:hAnsi="Calibri" w:cs="Calibri"/>
          <w:color w:val="333333"/>
          <w:sz w:val="20"/>
          <w:szCs w:val="20"/>
        </w:rPr>
        <w:t>, 271 N.W.2d 498 (Mich. 1978).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20.3</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Creation of Agency: Liability of Parent for Contracts Made by “Agent” Child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Weingart v. Directoire Restaurant,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333 N.Y.S.2d 806 (N.Y., 1972)</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KASSEL,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issue here is whether defendant restaurant by permitting an individual to park patrons’ cars thereby held him out as its “employee” for such purposes. Admittedly, this individual, one Buster Douglas, is not its employee in the usual sense but with the knowledge of defendant, he did station himself in front of its restaurant, wore a doorman’s uniform and had been parking its customers’ autos. The parties stipulated that if he were held to be defendant’s employee, this created a bailment between the parties [and the “employer” would have to rebut a presumption of negligence if the customer’s property was not returned to the customer].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April 20, 1968, at about 10 P.M., plaintiff drove his 1967 Cadillac Coupe de Ville to the door of the Directoire Restaurant at 160 East 48th Street in Manhattan. Standing in front of the door was Buster Douglas, dressed in a self-supplied uniform, comprised of a regular doorman’s cap and matching jacket. Plaintiff gave the keys to his vehicle to Douglas and requested that he park the car. He gave Douglas a $1.00 tip and received a claim check. Plaintiff then entered defendant’s restaurant, remained there for approximately 45 minutes and when he departed, Douglas was unable to locate the car which was never returned to plaintiff.</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of this occurrence, the restaurant had been open for only nine days, during which time plaintiff had patronized the restaurant on at least one prior occasion.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did not maintain any sign at its entrance or elsewhere that it would provide parking for its customers (nor, apparently, any sign warning to the contrary).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Buster Douglas parked cars for customers of defendant’s restaurant and at least three or four other restaurants on the block. He stationed himself in front of each restaurant during the course of an evening and was so engaged during the evening of April 20, 1968. Defendant clearly knew of and did not object to Douglas’ activities outside its restaurant. Defendant’s witness testified at an examination before trial: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Q. Did anybody stand outside your restaurant in any capacity whatsoever?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There was a man out there parking cars for the block, but he was in no way connected with us or anything like that. He parked cars for the Tamburlaine and also for the Chateau Madrid, Nepentha and a few places around the block.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Q. Did you know that this gentleman was standing outside your restaurant?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Yes, I knew he was there.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Q. How did you know that he was standing outside your restaurant?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Well, I knew the man’s face because I used to work in a club on 55th Street and he was there. When we first opened up here, we didn’t know if we would have a doorman or have parking facilities or what we were going to do at that time. We just let it hang and I told this Buster, Buster was his name, that you are a free agent and you do whatever you want to do. I am tending bar in the place and what you do in the street is up to you, I will not stop you, but we are not hiring you or anything like that, because at that time, we didn’t know what we were going to use the parking lot or get a doorman and put on a uniform or what.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facts establish to the court’s satisfaction that, although Douglas was not an actual employee of the restaurant, defendant held him out as its authorized agent or “employee” for the purpose of parking its customers’ cars, by expressly consenting to his standing, in uniform, in front of its door to receive customers, to park their cars and issue receipts therefor—which services were rendered without charge to the restaurant’s customers, except for any gratuity paid to Douglas. Clearly, under these circumstances, apparent authority has been shown and Douglas acted within the scope of this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was justified in assuming that Douglas represented the restaurant in providing his services and that the restaurant had placed him there for the convenience of its customers. A restaurateur knows that this is the impression created by allowing a uniformed attendant to so act. Facility in parking is often a critical consideration for a motorist in selecting a restaurant in midtown Manhattan, and the Directoire was keenly aware of this fact as evidenced by its testimony that the management was looking into various other possibilities for solving customers’ parking problems.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was no suitable disclaimer posted outside the restaurant that it had no parking facilities or that entrusting one’s car to any person was at the driver’s risk. It is doubtful that any prudent driver would entrust his car to a strange person on the street, if he thought that the individual had no authorization from the restaurant or club or had no connection with it, but was merely an independent operator with questionable financial responsibility.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fact that Douglas received no compensation directly from defendant is not material. Each party derived a benefit from the arrangement: Douglas being willing to work for gratuities from customers, and the defendant, at no cost to itself, presenting the appearance of providing the convenience of free parking and doorman services to its patrons. In any case, whatever private arrangements existed between the restaurant and Douglas were never disclosed to the customers.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if such person did perform these services for several restaurants, it does not automatically follow that he is a freelance entrepreneur, since a shared employee working for other small or moderately sized restaurants in the area would seem a reasonable arrangement, in no way negating the authority of the attendant to act as doorman and receive cars for any one of these places individually.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 most analogous to the instant one is </w:t>
      </w:r>
      <w:r>
        <w:rPr>
          <w:rFonts w:ascii="Georgia" w:eastAsia="Times New Roman" w:hAnsi="Georgia" w:cs="Calibri"/>
          <w:i/>
          <w:iCs/>
          <w:color w:val="333333"/>
          <w:sz w:val="20"/>
          <w:szCs w:val="20"/>
        </w:rPr>
        <w:t>Klotz v. El Morocco</w:t>
      </w:r>
      <w:r>
        <w:rPr>
          <w:rFonts w:ascii="Georgia" w:eastAsia="Times New Roman" w:hAnsi="Georgia" w:cs="Calibri"/>
          <w:color w:val="333333"/>
          <w:sz w:val="20"/>
          <w:szCs w:val="20"/>
        </w:rPr>
        <w:t> [Citation, 1968], and plaintiff here relies on it. That case similarly involved the theft of a car parked by a uniformed individual standing in front of defendant’s restaurant who, although not employed by it, parked vehicles for its patrons with the restaurant’s knowledge and consent. Defendant here attempts to distinguish this case principally upon the ground that the parties in El Morocco </w:t>
      </w:r>
      <w:r>
        <w:rPr>
          <w:rFonts w:ascii="Georgia" w:eastAsia="Times New Roman" w:hAnsi="Georgia" w:cs="Calibri"/>
          <w:i/>
          <w:iCs/>
          <w:color w:val="333333"/>
          <w:sz w:val="20"/>
          <w:szCs w:val="20"/>
        </w:rPr>
        <w:t>stipulated</w:t>
      </w:r>
      <w:r>
        <w:rPr>
          <w:rFonts w:ascii="Georgia" w:eastAsia="Times New Roman" w:hAnsi="Georgia" w:cs="Calibri"/>
          <w:color w:val="333333"/>
          <w:sz w:val="20"/>
          <w:szCs w:val="20"/>
        </w:rPr>
        <w:t> that the ‘doorman’ was an agent or employee of the defendant acting within the scope of his authority. However, the judge made an express finding to that effect: ‘* * * there was sufficient evidence in plaintiff’s case on which to find DiGiovanni, the man in the uniform, was acting within the scope of his authority as agent of defendant.” Defendant here also points to the fact that in </w:t>
      </w:r>
      <w:r>
        <w:rPr>
          <w:rFonts w:ascii="Georgia" w:eastAsia="Times New Roman" w:hAnsi="Georgia" w:cs="Calibri"/>
          <w:i/>
          <w:iCs/>
          <w:color w:val="333333"/>
          <w:sz w:val="20"/>
          <w:szCs w:val="20"/>
        </w:rPr>
        <w:t>Klotz</w:t>
      </w:r>
      <w:r>
        <w:rPr>
          <w:rFonts w:ascii="Georgia" w:eastAsia="Times New Roman" w:hAnsi="Georgia" w:cs="Calibri"/>
          <w:color w:val="333333"/>
          <w:sz w:val="20"/>
          <w:szCs w:val="20"/>
        </w:rPr>
        <w:t> DiGiovanni placed patrons’ car keys on a rack inside El Morocco; however, this is only one fact to be considered in finding a bailment and is, to me, more relevant to the issue of the degree of care exercised.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defendant’s agent failed to produce plaintiff’s automobile, a presumption of negligence arose which now requires defendant to come forward with a sufficient explanation to rebut this presumption. [Citation] The matter should be set down for trial on the issues of due care and of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9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Buster Douglas was not the restaurant’s employee. Why did the court determine his negligence could nevertheless be imputed to the restaurant?</w:t>
      </w:r>
    </w:p>
    <w:p w:rsidR="00A86150" w:rsidRDefault="00F714D4">
      <w:pPr>
        <w:numPr>
          <w:ilvl w:val="0"/>
          <w:numId w:val="49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plaintiff in this case relied on </w:t>
      </w:r>
      <w:r>
        <w:rPr>
          <w:rFonts w:ascii="Calibri" w:eastAsia="Times New Roman" w:hAnsi="Calibri" w:cs="Calibri"/>
          <w:i/>
          <w:iCs/>
          <w:color w:val="333333"/>
          <w:sz w:val="20"/>
          <w:szCs w:val="20"/>
        </w:rPr>
        <w:t>Klotz</w:t>
      </w:r>
      <w:r>
        <w:rPr>
          <w:rFonts w:ascii="Calibri" w:eastAsia="Times New Roman" w:hAnsi="Calibri" w:cs="Calibri"/>
          <w:color w:val="333333"/>
          <w:sz w:val="20"/>
          <w:szCs w:val="20"/>
        </w:rPr>
        <w:t>, very similar in facts, in which the car-parking attendant </w:t>
      </w:r>
      <w:r>
        <w:rPr>
          <w:rFonts w:ascii="Calibri" w:eastAsia="Times New Roman" w:hAnsi="Calibri" w:cs="Calibri"/>
          <w:i/>
          <w:iCs/>
          <w:color w:val="333333"/>
          <w:sz w:val="20"/>
          <w:szCs w:val="20"/>
        </w:rPr>
        <w:t>was</w:t>
      </w:r>
      <w:r>
        <w:rPr>
          <w:rFonts w:ascii="Calibri" w:eastAsia="Times New Roman" w:hAnsi="Calibri" w:cs="Calibri"/>
          <w:color w:val="333333"/>
          <w:sz w:val="20"/>
          <w:szCs w:val="20"/>
        </w:rPr>
        <w:t> found to be an employee. The defendant, necessarily, needed to argue that the cases were not very similar. What argument did the defendant make? What did the court say about that argument?</w:t>
      </w:r>
    </w:p>
    <w:p w:rsidR="00A86150" w:rsidRDefault="00F714D4">
      <w:pPr>
        <w:numPr>
          <w:ilvl w:val="0"/>
          <w:numId w:val="49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restaurant here is a bailee—it has rightful possession of the plaintiff’s (bailor’s) property, the car. If the car is not returned to the plaintiff a rebuttable presumption of negligence arises. What does that mean?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Employee versus Independent Contractor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Vizcaino v. Microsoft Corp.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97 F.3d 1187 (9th Cir. 1996)</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Reinhardt,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Large corporations have increasingly adopted the practice of hiring temporary employees or independent contractors as a means of avoiding payment of employee benefits, and thereby increasing their profits. This practice has understandably led to a number of problems, legal and otherwise. One of the legal issues that sometimes arises is exemplified by this lawsuit. The named plaintiffs, who were classified by Microsoft as independent contractors, seek to strip that label of its protective covering and to obtain for themselves certain benefits that the company provided to all of its regular or permanent employees. After certifying the named plaintiffs as representatives of a class of “common-law employees,” the district court granted summary judgment to Microsoft on all counts. The plaintiffs…now appeal as to two of their claims: a) the claim…that they are entitled to savings benefits under Microsoft’s Savings Plus Plan (SPP); and b) that…they are entitled to stock-option benefits under Microsoft’s Employee Stock Purchase Plan (ESPP). In both cases, the claims are based on their contention that they are common-law employees.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Microsoft, one of the country’s fastest growing and most successful corporations and the world’s largest software company, produces and sells computer software internationally. It employs a core staff of permanent employees. It categorizes them as “regular employees” and offers them a wide variety of benefits, including paid vacations, sick leave, holidays, short-term disability, group health and life insurance, and pensions, as well as the two benefits involved in this appeal. Microsoft supplements its core staff of employees with a pool of individuals to whom it refuses to pay fringe benefits. It previously classified these individuals as “independent contractors” or “freelancers,” but prior to the filing of the action began classifying them as “temporary agency employees.” Freelancers were hired when Microsoft needed to expand its workforce to meet the demands of new product schedules. The company did not, of course, provide them with any of the employee benefits regular employees receive.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plaintiffs…performed services as software testers, production editors, proofreaders, formatters and indexers. Microsoft fully integrated the plaintiffs into its workforce: they often worked on teams along with regular employees, sharing the same supervisors, performing identical functions, and working the same core hours. Because Microsoft required that they work on site, they received admittance card keys, office equipment and supplies from the company.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Freelancers and regular employees, however, were not without their obvious distinctions. Freelancers wore badges of a different color, had different electronic-mail addresses, and attended a less formal orientation than that provided to regular employees. They were not permitted to assign their work to others, invited to official company functions, or paid overtime wages. In addition, they were not paid through Microsoft’s payroll department. Instead, they submitted invoices for their services, documenting their hours and the projects on which they worked, and were paid through the accounts receivable department.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plaintiffs were told when they were hired that, as freelancers, they would not be eligible for benefits. None has contended that Microsoft ever promised them any benefits individually. All eight named plaintiffs signed [employment agreements] when first hired by Microsoft or soon thereafter. [One] included a provision that states that the undersigned “agrees to be responsible for all federal and state taxes, withholding, social security, insurance and other benefits.” The [other one] states that “as an Independent Contractor to Microsoft, you are self-employed and are responsible to pay all your own insurance and benefits.” Eventually, the plaintiffs learned of the various benefits being provided to regular employees from speaking with them or reading various Microsoft publications concerning employee benefits.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1989 and 1990, the Internal Revenue Service (IRS)[,]…applying common-law principles defining the employer-employee relationship, concluded that Microsoft’s freelancers were not independent contractors but employees for withholding and employment tax purposes, and that Microsoft would thereafter be required to pay withholding taxes and the employer’s portion of Federal Insurance Contribution Act (FICA) tax. Microsoft agreed.…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learning of the IRS rulings, the plaintiffs sought various employee benefits, including those now at issue: the ESPP and SPP benefits. The SPP…is a cash or deferred salary arrangement under § 401k of the Internal Revenue Code that permits Microsoft’s employees to save and invest up to fifteen percent of their income through tax-deferred payroll deductions.…Microsoft matches fifty percent of the employee’s contribution in any year, with [a maximum matching contribution]. The ESPP…permits employees to purchase company stock [with various rules].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Microsoft rejected the plaintiffs’ claims for benefits, maintaining that they were independent contractors who were personally responsible for all their own benefits.…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plaintiffs brought this action, challenging the denial of benefits.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Microsoft contends that the extrinsic evidence, including the [employment agreements], demonstrates its intent not to provide freelancers or independent contractors with employee benefits[.]…We have no doubt that the company did not intend to provide freelancers or independent contractors with employee benefits, and that if the plaintiffs had in fact been freelancers or independent contractors, they would not be eligible under the plan. The plaintiffs, however, were not freelancers or independent contractors. They were common-law employees, and the question is what, if anything, Microsoft intended with respect to persons who were actually common-law employees but were not known to Microsoft to be such. The fact that Microsoft did not intend to provide benefits to persons who it thought were freelancers or independent contractors sheds little or no light on that question.…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Microsoft’s argument, drawing a distinction between common-law employees on the basis of the manner in which they were paid, is subject to the same vice as its more general argument. Microsoft regarded the plaintiffs as independent contractors during the relevant period and learned of their common-law-employee status only after the IRS examination. They were paid through the accounts receivable department rather than the payroll department because of Microsoft’s mistaken view as to their legal status. Accordingly, Microsoft cannot now contend that the fact that they were paid through the accounts receivable department demonstrates that the company intended to deny them the benefits received by all common-law employees regardless of their actual employment status. Indeed, Microsoft has pointed to no evidence suggesting that it ever denied eligibility to any employees, whom it </w:t>
      </w:r>
      <w:r>
        <w:rPr>
          <w:rFonts w:ascii="Georgia" w:eastAsia="Times New Roman" w:hAnsi="Georgia" w:cs="Calibri"/>
          <w:i/>
          <w:iCs/>
          <w:color w:val="333333"/>
          <w:sz w:val="20"/>
          <w:szCs w:val="20"/>
        </w:rPr>
        <w:t>understood</w:t>
      </w:r>
      <w:r>
        <w:rPr>
          <w:rFonts w:ascii="Georgia" w:eastAsia="Times New Roman" w:hAnsi="Georgia" w:cs="Calibri"/>
          <w:color w:val="333333"/>
          <w:sz w:val="20"/>
          <w:szCs w:val="20"/>
        </w:rPr>
        <w:t> to be common-law employees, by paying them through the accounts receivable department or otherwise.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therefore construe the ambiguity in the plan against Microsoft and hold that the plaintiffs are eligible to participate under the terms of the SPP.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[Next, regarding the ESPP] we hold that the plaintiffs…are covered by the specific provisions of the ESPP. We apply the “objective manifestation theory of contracts,” which requires us to “impute an intention corresponding to the reasonable meaning of a person’s words and acts.” [Citation] Through its incorporation of the tax code provision into the plan, Microsoft manifested an objective intent to make all common-law employees, and hence the plaintiffs, eligible for participation. The ESPP specifically provides: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the intention of the Company to have the Plan qualify as an “employee stock purchase plan” under Section 423 of the Internal Revenue Code of 1954. </w:t>
      </w:r>
      <w:r>
        <w:rPr>
          <w:rFonts w:ascii="Georgia" w:eastAsia="Times New Roman" w:hAnsi="Georgia" w:cs="Calibri"/>
          <w:i/>
          <w:iCs/>
          <w:color w:val="333333"/>
          <w:sz w:val="20"/>
          <w:szCs w:val="20"/>
        </w:rPr>
        <w:t>The provisions of the Plan shall, accordingly, be construed so as to extend and limit participation in a manner consistent with the requirements of that Section of the Code.</w:t>
      </w:r>
      <w:r>
        <w:rPr>
          <w:rFonts w:ascii="Georgia" w:eastAsia="Times New Roman" w:hAnsi="Georgia" w:cs="Calibri"/>
          <w:color w:val="333333"/>
          <w:sz w:val="20"/>
          <w:szCs w:val="20"/>
        </w:rPr>
        <w:t> (emphasis added)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ESPP, when construed in a manner consistent with the requirements of § 423, extends participation to all common-law employees not covered by one of the express exceptions set forth in the plan. Accordingly, we find that the ESPP, through its incorporation of § 423, expressly extends eligibility for participation to the plaintiff class and affords them the same options to acquire stock in the corporation as all other employees.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Microsoft next contends that the [employment agreements] signed by the plaintiffs render them ineligible to participate in the ESPP. First, the label used in the instruments signed by the plaintiffs does not control their employment status. Second, the employment instruments, if construed to exclude the plaintiffs from receiving ESPP benefits, would conflict with the plan’s express incorporation of § 423. Although Microsoft may have generally intended to exclude individuals who were in fact independent contractors, it could not, consistent with its express intention to extend participation in the ESPP to all common-law employees, have excluded the plaintiffs. Indeed, such an exclusion would defeat the purpose of including § 423 in the plan, because the exclusion of common-law employees not otherwise accepted would result in the loss of the plan’s tax qualification.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Microsoft maintains that the plaintiffs are not entitled to ESPP benefits because the terms of the plan were never communicated to them and they were therefore unaware of its provisions when they performed their employment services.…In any event, to the extent that knowledge of an offer of benefits is a prerequisite, it is probably sufficient that Microsoft publicly promulgated the plan. In [Citation], the plaintiff was unaware of the company’s severance plan until shortly before his termination. The Oklahoma Supreme Court concluded nonetheless that publication of the plan was “the equivalent of constructive knowledge on the part of </w:t>
      </w:r>
      <w:r>
        <w:rPr>
          <w:rFonts w:ascii="Georgia" w:eastAsia="Times New Roman" w:hAnsi="Georgia" w:cs="Calibri"/>
          <w:i/>
          <w:iCs/>
          <w:color w:val="333333"/>
          <w:sz w:val="20"/>
          <w:szCs w:val="20"/>
        </w:rPr>
        <w:t>all</w:t>
      </w:r>
      <w:r>
        <w:rPr>
          <w:rFonts w:ascii="Georgia" w:eastAsia="Times New Roman" w:hAnsi="Georgia" w:cs="Calibri"/>
          <w:color w:val="333333"/>
          <w:sz w:val="20"/>
          <w:szCs w:val="20"/>
        </w:rPr>
        <w:t> employees not specifically excluded.”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are not required to rely, however, on the [this] analysis or even on Microsoft’s own unwitting concession. There is a compelling reason, implicit in some of the preceding discussion, that requires us to reject the company’s theory that the plaintiffs’ entitlement to ESPP benefits is defeated by their previous lack of knowledge regarding their rights. It is “well established” that an optionor may not rely on an optionee’s failure to exercise an option when he has committed any act or failed to perform any duty “calculated to cause the optionee to delay in exercising the right.” [Citation] “[T]he optionor may not make statements or representations calculated to cause delay, [or] fail to furnish [necessary] information.…” Similarly, “[I]t is a principle of fundamental justice that if a promisor is himself the cause of the failure of performance, either of an obligation due him or of a condition upon which his own liability depends, he cannot take advantage of the failure.”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Applying these principles, we agree with the magistrate judge, who concluded that Microsoft, which created a benefit to which the plaintiffs were entitled, could not defend itself by arguing that the plaintiffs were unaware of the benefit, when its own false representations precluded them from gaining that knowledge. Because Microsoft misrepresented both the plaintiffs’ actual employment status and their eligibility to participate in the ESPP, it is responsible for their failure to know that they were covered by the terms of the offer. It may not now take advantage of that failure to defeat the plaintiffs’ rights to ESPP benefits. Thus, we reject Microsoft’s final argument.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Conclusion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 reasons stated, the district court’s grant of summary judgment in favor of Microsoft and denial of summary judgment in favor of the plaintiffs is REVERSED and the case REMANDED for the determination of any questions of individual eligibility for benefits that may remain following issuance of this opinion and for calculation of the damages or benefits due the various class members.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9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a 1993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article, James Bovard asserted that the IRS “is carrying out a sweeping campaign to slash the number of Americans permitted to be self-employed—and to punish the companies that contract with them…IRS officials indicate that more than half the nation’s self-employed should no longer be able to work for themselves.” Why did Microsoft want these employees to “be able to work for themselves”?</w:t>
      </w:r>
    </w:p>
    <w:p w:rsidR="00A86150" w:rsidRDefault="00F714D4">
      <w:pPr>
        <w:numPr>
          <w:ilvl w:val="0"/>
          <w:numId w:val="49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employees accept employment as independent contractors?</w:t>
      </w:r>
    </w:p>
    <w:p w:rsidR="00A86150" w:rsidRDefault="00F714D4">
      <w:pPr>
        <w:numPr>
          <w:ilvl w:val="0"/>
          <w:numId w:val="49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seems unlikely that the purpose of the IRS’s campaign was really to keep people from working for themselves, despite Mr. Bovard’s assumption. What was the purpose of the campaign?</w:t>
      </w:r>
    </w:p>
    <w:p w:rsidR="00A86150" w:rsidRDefault="00F714D4">
      <w:pPr>
        <w:numPr>
          <w:ilvl w:val="0"/>
          <w:numId w:val="49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IRS and the court determine that these “independent contractors” were in fact employees?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Breach of Fiduciary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Bacon v. Volvo Service Center,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597 S.E.2d 440 (Ga. App. 2004)</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Smith,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appeal is] taken in an action that arose when two former employees left an existing business and began a new, competing business.…Bacon and Johnson, two former employees of Volvo Service Center, Inc. (VSC), and the new company they formed, South Gwinnett Volvo Service, Ltd. (SGVS), appeal from the trial court’s denial of their motion for judgment notwithstanding the jury’s verdict in favor of VSC.…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VSC filed suit against appellants, alleging a number of claims arising from the use by Bacon, who had been a service technician at VSC, of VSC’s customer list, and his soliciting Johnson, a service writer, and another VSC employee to join SGVS. SGVS moved for a directed verdict on certain claims at the close of plaintiff’s evidence and at the close of the case, which motions were denied. The jury was asked to respond to specific interrogatories, and it found for VSC and against all three appellants on VSC’s claim for misappropriation of trade secrets. The jury also found for plaintiff against Bacon for breach of fiduciary duty,…tortious interference with business relations, employee piracy, and conversion of corporate assets. The jury awarded VSC attorney fees, costs, and exemplary damages stemming from the claim for misappropriation of trade secrets. Judgment was entered on the jury’s verdict, and appellants’ motion for j.n.o.v. was denied. This appeal ensued. We find that VSC did not meet its burden of proof as to the claims for misappropriation of trade secrets, breach of fiduciary duty, or employee piracy, and the trial court should have granted appellants’ motion for j.n.o.v.</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Construed to support the jury’s verdict, the evidence of record shows that Bacon was a technician at VSC when he decided to leave and open a competing business. Before doing so, he printed a list of VSC’s customers from one of VSC’s two computers. Computer access was not password restricted, was easy to use, and was used by many employees from time to time.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About a year after he left VSC, Bacon gave Johnson and another VSC employee an offer of employment at his new Volvo repair shop, which was about to open. Bacon and Johnson advertised extensively, and the customer list was used to send flyers to some VSC customers who lived close to the new shop’s location. These activities became the basis for VSC’s action against Bacon, Johnson, and their new shop, SGVS.…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The Georgia Trade Secrets Act of 1990, [Citation], defines a “trade secret” as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information, without regard to form, including, but not limited to,…a list of actual or potential customers or suppliers which is not commonly known by or available to the public and which information: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Derives economic value, actual or potential, from not being generally known to, and not being readily ascertainable by proper means by, other persons who can obtain economic value from its disclosure or use; and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Is the subject of efforts that are reasonable under the circumstances to maintain its secrecy.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an employer does not prove both prongs of this test, it is not entitled to protection under the Act. Our Supreme Court held in [Citation, 1991] for instance, that information was not a trade secret within the meaning of the Act because no evidence showed that the employer “made reasonable efforts under the circumstances…to maintain the confidentiality of the information it sought to protect.”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a client list may be subject to confidential treatment under the Georgia Trade Secrets Act, the information itself is not inherently confidential. Customers are not trade secrets. Confidentiality is afforded only where the customer list is not generally known or ascertainable from other sources and was the subject of reasonable efforts to maintain its secrecy.…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VSC took </w:t>
      </w:r>
      <w:r>
        <w:rPr>
          <w:rFonts w:ascii="Georgia" w:eastAsia="Times New Roman" w:hAnsi="Georgia" w:cs="Calibri"/>
          <w:i/>
          <w:iCs/>
          <w:color w:val="333333"/>
          <w:sz w:val="20"/>
          <w:szCs w:val="20"/>
        </w:rPr>
        <w:t>no</w:t>
      </w:r>
      <w:r>
        <w:rPr>
          <w:rFonts w:ascii="Georgia" w:eastAsia="Times New Roman" w:hAnsi="Georgia" w:cs="Calibri"/>
          <w:color w:val="333333"/>
          <w:sz w:val="20"/>
          <w:szCs w:val="20"/>
        </w:rPr>
        <w:t> precautions to maintain the confidentiality of its customer list. The information was on both computers, and it was not password-protected. Moreover, the same information was available to the technicians through the repair orders, which they were permitted to retain indefinitely while Bacon was employed there. Employees were not informed that the information was confidential. Neither Bacon nor Johnson was required to sign a confidentiality agreement as part of his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no evidence was presented from which the jury could have concluded that VSC took any steps, much less reasonable ones, to protect the confidentiality of its customer list, a material requirement for trade secret status was not satisfied. The trial court should have granted appellants’ motion for j.n.o.v.</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To prove tortious interference with business relations, “a plaintiff must show defendant: (1) acted improperly and without privilege, (2) acted purposely and with malice with the intent to injure, (3) induced a third party or parties not to enter into or continue a business relationship with the plaintiff, and (4) caused plaintiff financial injury.” [Citation] But “[f]air competition is always legal.” [Citations] Unless an employee has executed a valid non-compete or non-solicit covenant, he is not barred from soliciting customers of his former employer on behalf of a new employer.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evidence was presented that Bacon acted “improperly,” that any of VSC’s former customers switched to SGVS because of any improper act by Bacon, or that these customers would have continued to patronize VSC but for Bacon’s solicitations. Therefore, it was impossible for a jury to calculate VSC’s financial damage, if any existed.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 With regard to VSC’s claim for breach of fiduciary duty, “[a]n employee breaches no fiduciary duty to the employer simply by making plans to enter a competing business while he is still employed. Even before the termination of his agency, he is entitled to make arrangements to compete and upon termination of employment immediately compete.” [Citation] He cannot solicit customers for a rival business or do other, similar acts in direct competition with his employer’s business before his employment ends. But here, no evidence was presented to rebut the evidence given by Bacon and Johnson that they engaged in no such practices before their employment with VSC ended. Even assuming, therefore, that a fiduciary relationship existed, no evidence was presented showing that it was breached.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4. The same is true for VSC’s claim for employee piracy. The evidence simply does not show that any employees of VSC were solicited for SGVS before Bacon left VSC’s employ.…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reversed.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49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was it determined that the defendants were not liable for any breach of trade secrecy?</w:t>
      </w:r>
    </w:p>
    <w:p w:rsidR="00A86150" w:rsidRDefault="00F714D4">
      <w:pPr>
        <w:numPr>
          <w:ilvl w:val="0"/>
          <w:numId w:val="49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would have been necessary to show tortious interference with business relations?</w:t>
      </w:r>
    </w:p>
    <w:p w:rsidR="00A86150" w:rsidRDefault="00F714D4">
      <w:pPr>
        <w:numPr>
          <w:ilvl w:val="0"/>
          <w:numId w:val="49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evidence was lacking that there was any breach of fiduciary duty. What would have been necessary to show that?</w:t>
      </w:r>
    </w:p>
    <w:p w:rsidR="00A86150" w:rsidRDefault="00F714D4">
      <w:pPr>
        <w:numPr>
          <w:ilvl w:val="0"/>
          <w:numId w:val="49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“employee piracy”? Why was it not proven?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Workers’ Compensation: What “Injuries” Are Compensable?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Wolfe v. Sibley, Lindsay &amp; Curr Co.</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330 N.E.2d 603 (N.Y. 1975)</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Wachtler,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appeal involves a claim for workmen’s compensation benefits for the period during which the claimant was incapacitated by severe depression caused by the discovery of her immediate supervisor’s body after he had committed suicide.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facts as adduced at a hearing before the Workmen’s Compensation Board are uncontroverted. The claimant, Mrs. Diana Wolfe, began her employment with the respondent department store, Sibley, Lindsay &amp; Curr Co. in February, 1968. After working for some time as an investigator in the security department of the store she became secretary to Mr. John Gorman, the security director. It appears from the record that as head of security, Mr. Gorman was subjected to intense pressure, especially during the Christmas holidays. Mrs. Wolfe testified that throughout the several years she worked at Sibley’s Mr. Gorman reacted to this holiday pressure by becoming extremely agitated and nervous. She noted, however, that this anxiety usually disappeared when the holiday season was over. Unfortunately, Mr. Gorman’s nervous condition failed to abate after the 1970 holidays.…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the fact that he followed Mrs. Wolfe’s advice to see a doctor, Mr. Gorman’s mental condition continued to deteriorate. On one occasion he left work at her suggestion because he appeared to be so nervous. This condition persisted until the morning of June 9, 1971 when according to the claimant, Mr. Gorman looked much better and even smiled and ‘tousled her hair’ when she so remarked.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short time later Mr. Gorman called her on the intercom and asked her to call the police to room 615. Mrs. Wolfe complied with this request and then tried unsuccessfully to reach Mr. Gorman on the intercom. She entered his office to find him lying in a pool of blood caused by a self-inflicted gunshot wound in the head. Mrs. Wolfe became extremely upset and was unable to continue working that day.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She returned to work for one week only to lock herself in her office to avoid the questions of her fellow workers. Her private physician perceiving that she was beset by feelings of guilt referred her to a psychiatrist and recommended that she leave work, which she did. While at home she ruminated about her guilt in failing to prevent the suicide and remained in bed for long periods of time staring at the ceiling. The result was that she became unresponsive to her husband and suffered a weight loss of 20 pounds. Her psychiatrist, Dr. Grinols diagnosed her condition as an acute depressive reaction.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attempting to treat her in his office Dr. Grinols realized that the severity of her depression mandated hospitalization. Accordingly, the claimant was admitted to the hospital on July 9, 1971 where she remained for two months during which time she received psychotherapy and medication. After she was discharged, Dr. Grinols concluded that there had been no substantial remission in her depression and ruminative guilt and so had her readmitted for electroshock treatment. These treatments lasted for three weeks and were instrumental in her recovery. She was again discharged and, in mid-January, 1972, resumed her employment with Sibley, Lindsay &amp; Curr.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Mrs. Wolfe’s claim for workmen’s compensation was granted by the referee and affirmed by the Workmen’s Compensation Board. On appeal the Appellate Division reversed citing its opinions in [Citations], [concluding]…that mental injury precipitated solely by psychic trauma is not compensable as a matter of law. We do not agree with this conclusion.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Workmen’s compensation, as distinguished from tort liability which is essentially based on fault, is designed to shift the risk of loss of earning capacity caused by industrial accidents from the worker to industry and ultimately the consumer. In light of its beneficial and remedial character the Workmen’s Compensation Law should be construed liberally in favor of the employee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Liability under the act is predicated on accidental injury arising out of and in the course of employment.…Applying these concepts to the case at bar we note that there is no issue raised concerning the causal relationship between the occurrence and the injury. The only testimony on this matter was given by Dr. Grinols who stated unequivocally that the discovery of her superior’s body was the competent producing cause of her condition. Nor is there any question as to the absence of physical impact. Accordingly, the focus of our inquiry is whether or not there has been an accidental injury within the meaning of the Workmen’s Compensation Law.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there is no statutory definition of this term we turn to the relevant decisions. These may be divided into three categories: (1) psychic trauma which produces physical injury, (2) physical impact which produces psychological injury, and (3) psychic trauma which produces psychological injury. As to the first class our court has consistently recognized the principle that an injury caused by emotional stress or shock may be accidental within the purview of the compensation law. [Citation] Cases falling into the second category have uniformly sustained awards to those incurring nervous or psychological disorders as a result of physical impact [Citation]. As to those cases in the third category the decisions are not as clear.…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hold today that psychological or nervous injury precipitated by psychic trauma is compensable to the same extent as physical injury. This determination is based on two considerations. First, as noted in the psychiatric testimony there is nothing in the nature of a stress or shock situation which ordains physical as opposed to psychological injury. The determinative factor is the particular vulnerability of an individual by virtue of his physical makeup. In a given situation one person may be susceptible to a heart attack while another may suffer a depressive reaction. In either case the result is the same—the individual is incapable of functioning properly because of an accident and should be compensated under the Workmen’s Compensation Law.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Secondly, having recognized the reliability of identifying psychic trauma as a causative factor of injury in some cases and the reliability by identifying psychological injury as a resultant factor in other cases, we see no reason for limiting recovery in the latter instance to cases involving physical impact. There is nothing talismanic about physical impact.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would note in passing that this analysis reflects the view of the majority of jurisdictions in this country and England.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Accordingly, the order appealed from should be reversed and the award to the claimant reinstated, with costs.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0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appeals court deny workers’ compensation benefits for Wolfe?</w:t>
      </w:r>
    </w:p>
    <w:p w:rsidR="00A86150" w:rsidRDefault="00F714D4">
      <w:pPr>
        <w:numPr>
          <w:ilvl w:val="0"/>
          <w:numId w:val="50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what reasoning did the New York high court reverse?</w:t>
      </w:r>
    </w:p>
    <w:p w:rsidR="00A86150" w:rsidRDefault="00F714D4">
      <w:pPr>
        <w:numPr>
          <w:ilvl w:val="0"/>
          <w:numId w:val="50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was a dissent in this case (not included here). Judge Breitel noted that the evidence was that Mrs. Wolfe had a psychological condition such that her trauma “could never have occurred unless she, to begin with, was extraordinarily vulnerable to severe shock at or away from her place of employment or one produced by accident or injury to those close to her in employment or in her private life.” The judge worried that “one can easily call up a myriad of commonplace occupational pursuits where employees are often exposed to the misfortunes of others which may in the mentally unstable evoke precisely the symptoms which this claimant suffered.” He concluded, “In an era marked by examples of overburdening of socially desirable programs with resultant curtailment or destruction of such programs, a realistic assessment of impact of doctrine is imperative. An overburdening of the compensation system by injudicious and open-ended expansion of compensation benefits, especially for costly, prolonged, and often only ameliorative psychiatric care, cannot but threaten its soundness or that of the enterprises upon which it depends.” What is the concern here?</w:t>
      </w: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20.4</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agent is one who acts on behalf of another. The law recognizes several types of agents, including (1) the general agent, one who possesses authority to carry out a broad range of transactions in the name of and on behalf of the principal; (2) the special agent, one with authority to act only in a specifically designated instance or set of transactions; (3) the agent whose agency is coupled with an interest, one who has a property interest in addition to authority to act as an agent; (4) the subagent, one appointed by an agent with authority to do so; and (5) the servant (“employee” in modern English), one whose physical conduct is subject to control of the principal.</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servant should be distinguished from an independent contractor, whose work is not subject to the control of the principal. The difference is important for purposes of taxation, workers’ compensation, and liability insurance.</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agency relationship is usually created by contract, and sometimes governed by the Statute of Frauds, but some agencies are created by operation of law.</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agent owes his principal the highest duty of loyalty, that of a fiduciary. The agent must avoid self-dealing, preserve confidential information, perform with skill and care, conduct his personal life so as not to bring disrepute on the business for which he acts as agent, keep and render accounts, and give appropriate information to the principal.</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 principal is not the agent’s fiduciary, the principal does have certain obligations toward the agent—for example, to refrain from interfering with the agent’s work and to indemnify. The employer’s common-law tort liability toward his employees has been replaced by the workers’ compensation system, under which the employee gives up the right to sue for damages in return for prompt payment of medical and job-loss expenses. Injuries must have been work related and the injured person must have been an employee. Courts today allow awards for psychological trauma in the absence of physical injury.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woman was involved in an automobile accident that resulted in the death of a passenger in her car. After she was charged with manslaughter, her attorney agreed to work with her insurance company’s claims adjuster in handling the case. As a result of the agreement, the woman gave a statement about the accident to the claims adjuster. When the prosecuting attorney demanded to see the statement, the woman’s attorney refused on the grounds that the claims adjuster was his—the attorney’s—agent, and therefore the statement was covered by the attorney-client privilege. Is the attorney correct? Why?</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local hotel operated under a franchise agreement with a major hotel chain. Several customers charged the banquet director of the local hotel with misconduct and harassment. They sued the hotel chain (the franchisor) for acts committed by the local hotel (the franchisee), claiming that the franchisee was the agent of the franchisor. Is an agency created under these circumstances? Why?</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principal hired a mortgage banking firm to obtain a loan commitment of $10,000,000 from an insurance company for the construction of a shopping center. The firm was promised a fee of $50,000 for obtaining the commitment. The firm was successful in arranging for the loan, and the insurance company, without the principal’s knowledge, agreed to pay the firm a finder’s fee. The principal then refused to pay the firm the promised $50,000, and the firm brought suit to recover the fee. May the firm recover the fee? Why?</w:t>
      </w:r>
    </w:p>
    <w:p w:rsidR="00A86150" w:rsidRDefault="00F714D4">
      <w:pPr>
        <w:numPr>
          <w:ilvl w:val="0"/>
          <w:numId w:val="501"/>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Based on his experience working for the CIA, a former CIA agent published a book about certain CIA activities in South Vietnam. The CIA did not approve of the publication of the book although, as a condition of his employment, the agent had agreed not to publish any information relating to the CIA without specific approval of the agency. The government brought suit against the agent, claiming that all the agent’s profits from publishing the book should go to the government. Assuming that the government suffered only nominal damages because the agent published no classified information, will the government prevail? Why?</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Upon graduation from college, Edison was hired by a major chemical company. During the time when he was employed by the company, Edison discovered a synthetic oil that could be manufactured at a very low cost. What rights, if any, does Edison’s employer have to the discovery? Why?</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US company hired MacDonald to serve as its resident agent in Bolivia. MacDonald entered into a contract to sell cars to Bolivia and personally guaranteed performance of the contract as required by Bolivian law. The cars delivered to Bolivia were defective, and Bolivia recovered a judgment of $83,000 from MacDonald. Must the US company reimburse MacDonald for this amount? Explain.</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According to the late Professor William L. Prosser, “The theory underlying the workmen’s compensation acts never has been stated better than in the old campaign slogan, ‘The cost of the product should bear the blood of the workman.’” What is meant by this statement?</w:t>
      </w:r>
    </w:p>
    <w:p w:rsidR="00A86150" w:rsidRDefault="00F714D4">
      <w:pPr>
        <w:numPr>
          <w:ilvl w:val="0"/>
          <w:numId w:val="5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employee in a Rhode Island foundry inserted two coins in a coin-operated coffee machine in the company cafeteria. One coin stuck in the machine, and the worker proceeded to “whack” the machine with his right arm. The arm struck a grate near the machine, rupturing the biceps muscle and causing a 10 percent loss in the use of the arm. Is the worker entitled to workers’ compensation? Explain.</w:t>
      </w:r>
    </w:p>
    <w:p w:rsidR="00A86150" w:rsidRDefault="00F714D4">
      <w:pPr>
        <w:numPr>
          <w:ilvl w:val="0"/>
          <w:numId w:val="50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Paulson engaged Arthur to sell Paul’s restored 1948 Packard convertible to Byers for $23,000. A few days later, Arthur saw an advertisement showing that Collector was willing to pay $30,000 for a 1948 Packard convertible in “restored” condition. Arthur sold the car to Byers, and subsequently Paulson learned of Collector’s interest. What rights, if any, has Paulson against Arthur?</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502"/>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who has authority to act only in a specifically designated instance or in a specifically designated set of transactions is called</w:t>
      </w:r>
    </w:p>
    <w:p w:rsidR="00A86150" w:rsidRDefault="00F714D4">
      <w:pPr>
        <w:pStyle w:val="ListParagraph"/>
        <w:numPr>
          <w:ilvl w:val="0"/>
          <w:numId w:val="50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subagent</w:t>
      </w:r>
    </w:p>
    <w:p w:rsidR="00A86150" w:rsidRDefault="00F714D4">
      <w:pPr>
        <w:pStyle w:val="ListParagraph"/>
        <w:numPr>
          <w:ilvl w:val="0"/>
          <w:numId w:val="50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general agent</w:t>
      </w:r>
    </w:p>
    <w:p w:rsidR="00A86150" w:rsidRDefault="00F714D4">
      <w:pPr>
        <w:pStyle w:val="ListParagraph"/>
        <w:numPr>
          <w:ilvl w:val="0"/>
          <w:numId w:val="50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special agent</w:t>
      </w:r>
    </w:p>
    <w:p w:rsidR="00A86150" w:rsidRDefault="00F714D4">
      <w:pPr>
        <w:pStyle w:val="ListParagraph"/>
        <w:numPr>
          <w:ilvl w:val="0"/>
          <w:numId w:val="50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504"/>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agency relationship may be created by</w:t>
      </w:r>
    </w:p>
    <w:p w:rsidR="00A86150" w:rsidRDefault="00F714D4">
      <w:pPr>
        <w:pStyle w:val="ListParagraph"/>
        <w:numPr>
          <w:ilvl w:val="0"/>
          <w:numId w:val="50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w:t>
      </w:r>
    </w:p>
    <w:p w:rsidR="00A86150" w:rsidRDefault="00F714D4">
      <w:pPr>
        <w:pStyle w:val="ListParagraph"/>
        <w:numPr>
          <w:ilvl w:val="0"/>
          <w:numId w:val="50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operation of law</w:t>
      </w:r>
    </w:p>
    <w:p w:rsidR="00A86150" w:rsidRDefault="00F714D4">
      <w:pPr>
        <w:pStyle w:val="ListParagraph"/>
        <w:numPr>
          <w:ilvl w:val="0"/>
          <w:numId w:val="50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oral agreement</w:t>
      </w:r>
    </w:p>
    <w:p w:rsidR="00A86150" w:rsidRDefault="00F714D4">
      <w:pPr>
        <w:pStyle w:val="ListParagraph"/>
        <w:numPr>
          <w:ilvl w:val="0"/>
          <w:numId w:val="50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06"/>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agent’s duty to the principal includes</w:t>
      </w:r>
    </w:p>
    <w:p w:rsidR="00A86150" w:rsidRDefault="00F714D4">
      <w:pPr>
        <w:pStyle w:val="ListParagraph"/>
        <w:numPr>
          <w:ilvl w:val="0"/>
          <w:numId w:val="50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duty to indemnify</w:t>
      </w:r>
    </w:p>
    <w:p w:rsidR="00A86150" w:rsidRDefault="00F714D4">
      <w:pPr>
        <w:pStyle w:val="ListParagraph"/>
        <w:numPr>
          <w:ilvl w:val="0"/>
          <w:numId w:val="50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duty to warn of special dangers</w:t>
      </w:r>
    </w:p>
    <w:p w:rsidR="00A86150" w:rsidRDefault="00F714D4">
      <w:pPr>
        <w:pStyle w:val="ListParagraph"/>
        <w:numPr>
          <w:ilvl w:val="0"/>
          <w:numId w:val="50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duty to avoid self dealing</w:t>
      </w:r>
    </w:p>
    <w:p w:rsidR="00A86150" w:rsidRDefault="00F714D4">
      <w:pPr>
        <w:pStyle w:val="ListParagraph"/>
        <w:numPr>
          <w:ilvl w:val="0"/>
          <w:numId w:val="50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08"/>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person whose work is not subject to the control of the principal, but who arranges to perform a job for him is called</w:t>
      </w:r>
    </w:p>
    <w:p w:rsidR="00A86150" w:rsidRDefault="00F714D4">
      <w:pPr>
        <w:pStyle w:val="ListParagraph"/>
        <w:numPr>
          <w:ilvl w:val="0"/>
          <w:numId w:val="50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subagent</w:t>
      </w:r>
    </w:p>
    <w:p w:rsidR="00A86150" w:rsidRDefault="00F714D4">
      <w:pPr>
        <w:pStyle w:val="ListParagraph"/>
        <w:numPr>
          <w:ilvl w:val="0"/>
          <w:numId w:val="50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servant</w:t>
      </w:r>
    </w:p>
    <w:p w:rsidR="00A86150" w:rsidRDefault="00F714D4">
      <w:pPr>
        <w:pStyle w:val="ListParagraph"/>
        <w:numPr>
          <w:ilvl w:val="0"/>
          <w:numId w:val="50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special agent</w:t>
      </w:r>
    </w:p>
    <w:p w:rsidR="00A86150" w:rsidRDefault="00F714D4">
      <w:pPr>
        <w:pStyle w:val="ListParagraph"/>
        <w:numPr>
          <w:ilvl w:val="0"/>
          <w:numId w:val="50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independent contractor</w:t>
      </w:r>
    </w:p>
    <w:p w:rsidR="00A86150" w:rsidRDefault="00F714D4">
      <w:pPr>
        <w:numPr>
          <w:ilvl w:val="0"/>
          <w:numId w:val="510"/>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employer’s liability for employees’ on-the-job injuries is generally governed by</w:t>
      </w:r>
    </w:p>
    <w:p w:rsidR="00A86150" w:rsidRDefault="00F714D4">
      <w:pPr>
        <w:pStyle w:val="ListParagraph"/>
        <w:numPr>
          <w:ilvl w:val="0"/>
          <w:numId w:val="51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tort law</w:t>
      </w:r>
    </w:p>
    <w:p w:rsidR="00A86150" w:rsidRDefault="00F714D4">
      <w:pPr>
        <w:pStyle w:val="ListParagraph"/>
        <w:numPr>
          <w:ilvl w:val="0"/>
          <w:numId w:val="51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workers’ compensation system</w:t>
      </w:r>
    </w:p>
    <w:p w:rsidR="00A86150" w:rsidRDefault="00F714D4">
      <w:pPr>
        <w:pStyle w:val="ListParagraph"/>
        <w:numPr>
          <w:ilvl w:val="0"/>
          <w:numId w:val="51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Social Security</w:t>
      </w:r>
    </w:p>
    <w:p w:rsidR="00A86150" w:rsidRDefault="00F714D4">
      <w:pPr>
        <w:pStyle w:val="ListParagraph"/>
        <w:numPr>
          <w:ilvl w:val="0"/>
          <w:numId w:val="511"/>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 c</w:t>
      </w:r>
    </w:p>
    <w:p w:rsidR="00A86150" w:rsidRDefault="00F714D4">
      <w:pPr>
        <w:shd w:val="clear" w:color="auto" w:fill="E3EFF7"/>
        <w:spacing w:before="150"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2. d</w:t>
      </w:r>
    </w:p>
    <w:p w:rsidR="00A86150" w:rsidRDefault="00F714D4">
      <w:pPr>
        <w:shd w:val="clear" w:color="auto" w:fill="E3EFF7"/>
        <w:spacing w:before="150"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3. c</w:t>
      </w:r>
    </w:p>
    <w:p w:rsidR="00A86150" w:rsidRDefault="00F714D4">
      <w:pPr>
        <w:shd w:val="clear" w:color="auto" w:fill="E3EFF7"/>
        <w:spacing w:before="150"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4. d</w:t>
      </w:r>
    </w:p>
    <w:p w:rsidR="00A86150" w:rsidRDefault="00F714D4">
      <w:pPr>
        <w:shd w:val="clear" w:color="auto" w:fill="E3EFF7"/>
        <w:spacing w:before="15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5. 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21</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2"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Liability of Principal and Agent; Termination of Agency</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512"/>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liability in contract</w:t>
      </w:r>
    </w:p>
    <w:p w:rsidR="00A86150" w:rsidRDefault="00F714D4">
      <w:pPr>
        <w:numPr>
          <w:ilvl w:val="0"/>
          <w:numId w:val="512"/>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liability in tort</w:t>
      </w:r>
    </w:p>
    <w:p w:rsidR="00A86150" w:rsidRDefault="00F714D4">
      <w:pPr>
        <w:numPr>
          <w:ilvl w:val="0"/>
          <w:numId w:val="512"/>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criminal liability</w:t>
      </w:r>
    </w:p>
    <w:p w:rsidR="00A86150" w:rsidRDefault="00F714D4">
      <w:pPr>
        <w:numPr>
          <w:ilvl w:val="0"/>
          <w:numId w:val="512"/>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agent’s personal liability in tort and contract</w:t>
      </w:r>
    </w:p>
    <w:p w:rsidR="00A86150" w:rsidRDefault="00F714D4">
      <w:pPr>
        <w:numPr>
          <w:ilvl w:val="0"/>
          <w:numId w:val="512"/>
        </w:numPr>
        <w:shd w:val="clear" w:color="auto" w:fill="EAE9DC"/>
        <w:tabs>
          <w:tab w:val="clear" w:pos="720"/>
          <w:tab w:val="num" w:pos="144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agency relationships are terminated</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r>
        <w:rPr>
          <w:rFonts w:ascii="Georgia" w:eastAsia="Times New Roman" w:hAnsi="Georgia" w:cs="Times New Roman"/>
          <w:color w:val="2689C6"/>
          <w:sz w:val="21"/>
          <w:szCs w:val="21"/>
        </w:rPr>
        <w:t>Chapter 20 "Relationships between Principal and Agent"</w:t>
      </w:r>
      <w:r>
        <w:rPr>
          <w:rFonts w:ascii="Georgia" w:eastAsia="Times New Roman" w:hAnsi="Georgia" w:cs="Times New Roman"/>
          <w:color w:val="333333"/>
          <w:sz w:val="21"/>
          <w:szCs w:val="21"/>
        </w:rPr>
        <w:t> we considered the relationships between agent and principal. Now we turn to relationships between third parties and the principal or agent. When the agent makes a contract for his principal or commits a tort in the course of his work, is the principal liable? What is the responsibility of the agent for torts committed and contracts entered into on behalf of his principal? How may the relationship be terminated so that the principal or agent will no longer have responsibility toward or liability for the acts of the other? These are the questions addressed in this chapter.</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21.1 Principal’s Contract Liability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13"/>
        </w:numPr>
        <w:shd w:val="clear" w:color="auto" w:fill="EAE9DC"/>
        <w:tabs>
          <w:tab w:val="clear" w:pos="720"/>
          <w:tab w:val="num" w:pos="19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the principal’s liability depends on whether the agent was authorized to make the contract.</w:t>
      </w:r>
    </w:p>
    <w:p w:rsidR="00A86150" w:rsidRDefault="00F714D4">
      <w:pPr>
        <w:numPr>
          <w:ilvl w:val="0"/>
          <w:numId w:val="513"/>
        </w:numPr>
        <w:shd w:val="clear" w:color="auto" w:fill="EAE9DC"/>
        <w:tabs>
          <w:tab w:val="clear" w:pos="720"/>
          <w:tab w:val="num" w:pos="16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how the agent’s authority is acquired: expressly, impliedly, or apparently.</w:t>
      </w:r>
    </w:p>
    <w:p w:rsidR="00A86150" w:rsidRDefault="00F714D4">
      <w:pPr>
        <w:numPr>
          <w:ilvl w:val="0"/>
          <w:numId w:val="513"/>
        </w:numPr>
        <w:shd w:val="clear" w:color="auto" w:fill="EAE9DC"/>
        <w:tabs>
          <w:tab w:val="clear" w:pos="720"/>
          <w:tab w:val="num" w:pos="1320"/>
        </w:tabs>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that the principal may also be liable—even if the agent had no authority—if the principal ratifies the agent’s contract after the fact.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Principal’s Contract Liability Requires That Agent Had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key to determining whether a principal is liable for contracts made by his agent is authority: was the agent authorized to negotiate the agreement and close the deal? Obviously, it would not be sensible to hold a contractor liable to pay for a whole load of lumber merely because a stranger wandered into the lumberyard saying, “I’m an agent for ABC Contractors; charge this to their account.” To be liable, the principal must have authorized the agent in some manner to act in his behalf, and that authorization must be communicated to the third party by the principal.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types of authority: express, implied, and apparent (see </w:t>
      </w:r>
      <w:r>
        <w:rPr>
          <w:rFonts w:ascii="Georgia" w:eastAsia="Times New Roman" w:hAnsi="Georgia" w:cs="Calibri"/>
          <w:color w:val="2689C6"/>
          <w:sz w:val="20"/>
          <w:szCs w:val="20"/>
          <w:lang w:val="en"/>
        </w:rPr>
        <w:t>Figure 21.1 "Types of Authority"</w:t>
      </w:r>
      <w:r>
        <w:rPr>
          <w:rFonts w:ascii="Georgia" w:eastAsia="Times New Roman" w:hAnsi="Georgia" w:cs="Calibri"/>
          <w:color w:val="333333"/>
          <w:sz w:val="20"/>
          <w:szCs w:val="20"/>
          <w:lang w:val="en"/>
        </w:rPr>
        <w:t>). We will consider each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Express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strongest form of authority is that which is expressly granted, often in written form. The principal consents to the agent’s actions, and the third party may then rely on the document attesting to the agent’s authority to deal on behalf of the principal. One common form of express authority is the standard signature card on file with banks allowing corporate agents to write checks on the company’s credit. The principal bears the risk of any wrongful action of his agent, as demonstrated in </w:t>
      </w:r>
      <w:r>
        <w:rPr>
          <w:rFonts w:ascii="Georgia" w:eastAsia="Times New Roman" w:hAnsi="Georgia" w:cs="Calibri"/>
          <w:i/>
          <w:iCs/>
          <w:color w:val="333333"/>
          <w:sz w:val="20"/>
          <w:szCs w:val="20"/>
          <w:lang w:val="en"/>
        </w:rPr>
        <w:t>Allen A. Funt Productions, Inc. v. Chemical Bank</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Allen A. Funt submitted to his bank through his production company various certificates permitting his accountant to use the company’s checking accounts.</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fact, for several years the accountant embezzled money from the company by writing checks to himself and depositing them in his own account. The company sued its bank, charging it with negligence, apparently for failing to monitor the amount of money taken by the accountant. But the court dismissed the negligence complaint, citing a state statute based on the common-law agency principle that a third party is entitled to rely on the express authorization given to an agent; in this case, the accountant drew checks on the account within the monetary limits contained in the signature cards on file with the bank. Letters of introduction and work orders are other types of express authority.</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21.1</w:t>
      </w:r>
      <w:r>
        <w:rPr>
          <w:rFonts w:ascii="Georgia" w:eastAsia="Times New Roman" w:hAnsi="Georgia" w:cs="Calibri"/>
          <w:i/>
          <w:iCs/>
          <w:color w:val="BB9966"/>
          <w:sz w:val="21"/>
          <w:szCs w:val="21"/>
          <w:lang w:val="en"/>
        </w:rPr>
        <w:t> Types of Authority</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2867025"/>
            <wp:effectExtent l="0" t="0" r="0" b="9525"/>
            <wp:docPr id="109" name="Picture 25" descr="http://images.flatworldknowledge.com/mayerlawentrep/mayerlawentrep-fig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ayerlawentrep/mayerlawentrep-fig39_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8670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detail of an agent’s work can be spelled out. It is impossible to delineate step-by-step the duties of a general agent; at best, a principal can set forth only the general nature of the duties that the agent is to perform. Even a special agent’s duties are difficult to describe in such detail as to leave him without discretion. If express authority were the only valid kind, there would be no efficient way to use an agent, both because the effort to describe the duties would be too great and because the third party would be reluctant to deal with him.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law permits authority to be “implied” by the relationship of the parties, the nature and customs of the business, the circumstances surrounding the act in question, the wording of the agency contract, and the knowledge that the agent has of facts relevant to the assignment. The general rule is that the agent has implied or “incidental” authority to perform acts incidental to or reasonably necessary to carrying out the transaction. Thus if a principal instructs her agent to “deposit a check in the bank today,” the agent has authority to drive to the bank unless the principal specifically prohibits the agent from doing so.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theory of implied authority is especially important to business in the realm of the business manager, who may be charged with running the entire business operation or only a small part of it. In either event, the business manager has a relatively large domain of implied authority. He can buy goods and services; hire, supervise, and fire employees; sell or junk inventory; take in receipts and pay debts; and in general, direct the ordinary operations of the business. The full extent of the manager’s authority depends on the circumstances—what is customary in the particular industry, in the particular business, and among the individuals directly concerned.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other hand, a manager does not have implicit authority to undertake unusual or extraordinary actions on behalf of his principal. In the absence of express permission, an agent may not sell part of the business, start a new business, change the nature of the business, incur debt (unless borrowing is integral to the business, as in banking, for example), or move the business premises. For example, the owner of a hotel appoints Andy manager; Andy decides to rename the hotel and commissions an artist to prepare a new logo for the hotel’s stationery. Andy has no implied authority to change the name or to commission the artist, though he does have implied authority to engage a printer to replenish the stationery supply—and possibly to make some design changes in the letterhead.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when there is no implied authority, in an emergency the agent may act in ways that would in the normal course require specific permission from the principal. If unforeseen circumstances arise and it is impracticable to communicate with the principal to find out what his wishes would be, the agent may do what is reasonably necessary in order to prevent substantial loss to his principal. During World War II, Eastern Wine Corporation marketed champagne in a bottle with a diagonal red stripe that infringed the trademark of a French producer. The French company had granted licenses to an American importer to market its champagne in the United States. The contract between producer and importer required the latter to notify the French company whenever a competitor appeared to be infringing its rights and to recommend steps by which the company could stop the infringement. The authority to institute suit was not expressly conferred, and ordinarily the right to do so would not be inferred. Because France was under German occupation, however, the importer was unable to communicate with the producer, its principal. The court held that the importer could file suit to enjoin Eastern Wine from continuing to display the infringing red diagonal stripe, since legal action was “essential to the preservation of the principal’s property.”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 that a person’s position can carry with it implied authority is fundamental to American business practice. But outside the United States this rule is not applicable, and the business executive traveling abroad should be aware that in civil-law countries it is customary to present proof of authority to transact corporate business—usually in the form of a power of attorney. This is not always an easy task. Not only must the power of the traveling executive be shown but the right of the corporate officer back in the United States to delegate authority must also be proven.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Apparent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agency relationship, the agent’s actions in dealing with third parties will affect the legal rights of the principal. What the third party knows about the agency agreement is irrelevant to the agent’s legal authority to act. That authority runs from principal to agent. As long as an agent has authorization, either express or implied, she may bind the principal legally. Thus the seller of a house may be ignorant of the buyer’s true identity; the person he supposes to be the prospective purchaser might be the agent of an undisclosed principal. Nevertheless, if the agent is authorized to make the purchase, the seller’s ignorance is not a ground for either seller or principal to void the deal.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if a person has no authority to act as an agent, or an agent has no authority to act in a particular way, is the principal free from all consequences? The answer depends on whether or not the agent has apparent authority—that is, on whether or not the third person reasonably believes from the principal’s words, written or spoken, or from his conduct that he has in fact consented to the agent’s actions. Apparent authority is a manifestation of authority communicated to the third person; it runs from principal to third party, not to the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Apparent authority is sometimes said to be based on the principle of estoppel. Estoppel is the doctrine that a person will not now be allowed to deny a promise or assertion she previously made where there has been detrimental reliance on that promise or assertion. Estoppel is commonly used to avoid injustice. It may be a substitute for the requirement of consideration in contract (making the promise of a gift enforceable where the donee has relied upon the promise), and it is sometimes available to circumvent the requirement of a writing under the Statute of Frauds.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Apparent authority can arise from prior business transactions. On July 10, Meggs sold to Buyer his business, the right to use the trade name Rose City Sheet Metal Works, and a list of suppliers he had used. Three days later, Buyer began ordering supplies from Central Supply Company, which was on Meggs’s list but with which Meggs had last dealt four years before. On September 3, Central received a letter from Meggs notifying it of Meggs’s sale of the business to Buyer. Buyer failed to pay Central, which sued Meggs. The court held that Rose City Sheet Metal Works had apparent authority to buy on Meggs’s credit; Meggs was liable for supplies purchased between July 10 and September 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such cases, and in cases involving the firing of a general manager, actual notice should be given promptly to all customers. See the discussion of </w:t>
      </w:r>
      <w:r>
        <w:rPr>
          <w:rFonts w:ascii="Georgia" w:eastAsia="Times New Roman" w:hAnsi="Georgia" w:cs="Calibri"/>
          <w:i/>
          <w:iCs/>
          <w:color w:val="333333"/>
          <w:sz w:val="20"/>
          <w:szCs w:val="20"/>
          <w:lang w:val="en"/>
        </w:rPr>
        <w:t>Kanavos v. Hancock Bank &amp; Trust Company</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21.4.1 "Implied Authority"</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Ratification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the agent possessed no actual authority and there was no apparent authority on which the third person could rely, the principal may still be liable if he ratifies or adopts the agent’s acts before the third person withdraws from the contract. Ratification usually relates back to the time of the undertaking, creating authority after the fact as though it had been established initially. Ratification is a voluntary act by the principal. Faced with the results of action purportedly done on his behalf but without authorization and through no fault of his own, he may affirm or disavow them as he chooses. To ratify, the principal may tell the parties concerned or by his conduct manifest that he is willing to accept the results as though the act were authorized. Or by his silence he may find under certain circumstances that he has ratified. Note that ratification does not require the usual consideration of contract law. The principal need be promised nothing extra for his decision to affirm to be binding on him. Nor does ratification depend on the position of the third party; for example, a loss stemming from his reliance on the agent’s representations is not required. In most situations, ratification leaves the parties where they expected to be, correcting the agent’s errors harmlessly and giving each party what was expected.</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principal is liable on an agent’s contract only if the agent was authorized by the principal to make the contract. Such authority is express, implied, or apparent.</w:t>
      </w:r>
      <w:r>
        <w:rPr>
          <w:rFonts w:ascii="Calibri" w:eastAsia="Times New Roman" w:hAnsi="Calibri" w:cs="Calibri"/>
          <w:i/>
          <w:iCs/>
          <w:color w:val="333333"/>
          <w:sz w:val="20"/>
          <w:szCs w:val="20"/>
          <w:lang w:val="en"/>
        </w:rPr>
        <w:t>Express</w:t>
      </w:r>
      <w:r>
        <w:rPr>
          <w:rFonts w:ascii="Calibri" w:eastAsia="Times New Roman" w:hAnsi="Calibri" w:cs="Calibri"/>
          <w:color w:val="333333"/>
          <w:sz w:val="20"/>
          <w:szCs w:val="20"/>
          <w:lang w:val="en"/>
        </w:rPr>
        <w:t> means made in words, orally or in writing; </w:t>
      </w:r>
      <w:r>
        <w:rPr>
          <w:rFonts w:ascii="Calibri" w:eastAsia="Times New Roman" w:hAnsi="Calibri" w:cs="Calibri"/>
          <w:i/>
          <w:iCs/>
          <w:color w:val="333333"/>
          <w:sz w:val="20"/>
          <w:szCs w:val="20"/>
          <w:lang w:val="en"/>
        </w:rPr>
        <w:t>implied</w:t>
      </w:r>
      <w:r>
        <w:rPr>
          <w:rFonts w:ascii="Calibri" w:eastAsia="Times New Roman" w:hAnsi="Calibri" w:cs="Calibri"/>
          <w:color w:val="333333"/>
          <w:sz w:val="20"/>
          <w:szCs w:val="20"/>
          <w:lang w:val="en"/>
        </w:rPr>
        <w:t> means the agent has authority to perform acts incidental to or reasonably necessary to carrying out the transaction for which she has express authority. </w:t>
      </w:r>
      <w:r>
        <w:rPr>
          <w:rFonts w:ascii="Calibri" w:eastAsia="Times New Roman" w:hAnsi="Calibri" w:cs="Calibri"/>
          <w:i/>
          <w:iCs/>
          <w:color w:val="333333"/>
          <w:sz w:val="20"/>
          <w:szCs w:val="20"/>
          <w:lang w:val="en"/>
        </w:rPr>
        <w:t>Apparent authority</w:t>
      </w:r>
      <w:r>
        <w:rPr>
          <w:rFonts w:ascii="Calibri" w:eastAsia="Times New Roman" w:hAnsi="Calibri" w:cs="Calibri"/>
          <w:color w:val="333333"/>
          <w:sz w:val="20"/>
          <w:szCs w:val="20"/>
          <w:lang w:val="en"/>
        </w:rPr>
        <w:t> arises where the principal gives the third party reason to believe that the agent had authority. The reasonableness of the third party’s belief is based on all the circumstances—all the facts. Even if the agent has no authority, the principal may, after the fact, ratify the contract made by the agent.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14"/>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Could express authority be established by silence on the part of the principal?</w:t>
      </w:r>
    </w:p>
    <w:p w:rsidR="00A86150" w:rsidRDefault="00F714D4">
      <w:pPr>
        <w:numPr>
          <w:ilvl w:val="0"/>
          <w:numId w:val="5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the concept of implied authority very important in business situations?</w:t>
      </w:r>
    </w:p>
    <w:p w:rsidR="00A86150" w:rsidRDefault="00F714D4">
      <w:pPr>
        <w:numPr>
          <w:ilvl w:val="0"/>
          <w:numId w:val="514"/>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the doctrine of apparent authority—that is, why would the law impose a contract on a “principal” when in fact there was no principal-agent relationship with the “agent” at all?</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3"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Allen A. Funt Productions, Inc. v. Chemical Bank</w:t>
      </w:r>
      <w:r>
        <w:rPr>
          <w:rFonts w:ascii="Calibri" w:eastAsia="Times New Roman" w:hAnsi="Calibri" w:cs="Calibri"/>
          <w:color w:val="333333"/>
          <w:sz w:val="20"/>
          <w:szCs w:val="20"/>
        </w:rPr>
        <w:t>, 405 N.Y.S.2d 94 (1978).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Allen Funt (1914–99) was an American television producer, director, and writer, best known as the creator and host of </w:t>
      </w:r>
      <w:r>
        <w:rPr>
          <w:rFonts w:ascii="Calibri" w:eastAsia="Times New Roman" w:hAnsi="Calibri" w:cs="Calibri"/>
          <w:i/>
          <w:iCs/>
          <w:color w:val="333333"/>
          <w:sz w:val="20"/>
          <w:szCs w:val="20"/>
        </w:rPr>
        <w:t>Candid Camera</w:t>
      </w:r>
      <w:r>
        <w:rPr>
          <w:rFonts w:ascii="Calibri" w:eastAsia="Times New Roman" w:hAnsi="Calibri" w:cs="Calibri"/>
          <w:color w:val="333333"/>
          <w:sz w:val="20"/>
          <w:szCs w:val="20"/>
        </w:rPr>
        <w:t> from the 1940s to 1980s, which was broadcast as either a regular show or a series of specials. Its most notable run was from 1960 to 1967 on CBS.</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 H. Mumm Champagne v. Eastern Wine Corp.</w:t>
      </w:r>
      <w:r>
        <w:rPr>
          <w:rFonts w:ascii="Calibri" w:eastAsia="Times New Roman" w:hAnsi="Calibri" w:cs="Calibri"/>
          <w:color w:val="333333"/>
          <w:sz w:val="20"/>
          <w:szCs w:val="20"/>
        </w:rPr>
        <w:t>, 52 F.Supp. 167 (S.D.N.Y. 1943).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Meggs v. Central Supply Co.</w:t>
      </w:r>
      <w:r>
        <w:rPr>
          <w:rFonts w:ascii="Calibri" w:eastAsia="Times New Roman" w:hAnsi="Calibri" w:cs="Calibri"/>
          <w:color w:val="333333"/>
          <w:sz w:val="20"/>
          <w:szCs w:val="20"/>
        </w:rPr>
        <w:t>, 307 N.E.2d 288 (Ind. App. 1974).</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21.2 Principal’s Tort and Criminal Liability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15"/>
        </w:numPr>
        <w:shd w:val="clear" w:color="auto" w:fill="EAE9DC"/>
        <w:tabs>
          <w:tab w:val="clear" w:pos="720"/>
          <w:tab w:val="num" w:pos="28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in what circumstances a principal will be vicariously liable for torts committed by employees.</w:t>
      </w:r>
    </w:p>
    <w:p w:rsidR="00A86150" w:rsidRDefault="00F714D4">
      <w:pPr>
        <w:numPr>
          <w:ilvl w:val="0"/>
          <w:numId w:val="515"/>
        </w:numPr>
        <w:shd w:val="clear" w:color="auto" w:fill="EAE9DC"/>
        <w:tabs>
          <w:tab w:val="clear" w:pos="720"/>
          <w:tab w:val="num" w:pos="25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difference between agents whose tort and criminal liability may be imputed to the employer and those whose liability will not be so imputed.</w:t>
      </w:r>
    </w:p>
    <w:p w:rsidR="00A86150" w:rsidRDefault="00F714D4">
      <w:pPr>
        <w:numPr>
          <w:ilvl w:val="0"/>
          <w:numId w:val="515"/>
        </w:numPr>
        <w:shd w:val="clear" w:color="auto" w:fill="EAE9DC"/>
        <w:tabs>
          <w:tab w:val="clear" w:pos="720"/>
          <w:tab w:val="num" w:pos="22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when the principal will be vicariously liable for intentional torts committed by the agent.</w:t>
      </w:r>
    </w:p>
    <w:p w:rsidR="00A86150" w:rsidRDefault="00F714D4">
      <w:pPr>
        <w:numPr>
          <w:ilvl w:val="0"/>
          <w:numId w:val="515"/>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is meant by “the scope of employment,” within which the agent’s actions may be attributed to the principal and without which they will not.</w:t>
      </w:r>
    </w:p>
    <w:p w:rsidR="00A86150" w:rsidRDefault="00F714D4">
      <w:pPr>
        <w:numPr>
          <w:ilvl w:val="0"/>
          <w:numId w:val="515"/>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special cases of vicarious liability.</w:t>
      </w:r>
    </w:p>
    <w:p w:rsidR="00A86150" w:rsidRDefault="00F714D4">
      <w:pPr>
        <w:numPr>
          <w:ilvl w:val="0"/>
          <w:numId w:val="515"/>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principal’s liability for crimes committed by the agent.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Principal’s Tort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Distinction between Direct and Vicarious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is the principal liable for injuries that the agent causes another to suffer?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Direct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distinction between torts prompted by the principal himself and torts of which the principal was innocent. If the principal directed the agent to commit a tort or knew that the consequences of the agent’s carrying out his instructions would bring harm to someone, the principal is liable. This is an application of the general common-law principle that one cannot escape liability by delegating an unlawful act to another. The syndicate that hires a hitman is as culpable of murder as the man who pulls the trigger. Similarly, a principal who is negligent in his use of agents will be held liable for their negligence. This rule comes into play when the principal fails to supervise employees adequately, gives faulty directions, or hires incompetent or unsuitable people for a particular job. Imposing liability on the principal in these cases is readily justifiable since it is the principal’s own conduct that is the underlying fault; the principal here is directly liable.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Vicarious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principle of liability for one’s agent is much broader, extending to acts of which the principal had no knowledge, that he had no intention to commit nor involvement in, and that he may in fact have expressly prohibited the agent from engaging in. This is the principle of respondeat superior (“let the master answer”) or the master-servant doctrine, which imposes on the principalvicarious liability (</w:t>
      </w:r>
      <w:r>
        <w:rPr>
          <w:rFonts w:ascii="Georgia" w:eastAsia="Times New Roman" w:hAnsi="Georgia" w:cs="Calibri"/>
          <w:i/>
          <w:iCs/>
          <w:color w:val="333333"/>
          <w:sz w:val="20"/>
          <w:szCs w:val="20"/>
          <w:lang w:val="en"/>
        </w:rPr>
        <w:t>vicarious</w:t>
      </w:r>
      <w:r>
        <w:rPr>
          <w:rFonts w:ascii="Georgia" w:eastAsia="Times New Roman" w:hAnsi="Georgia" w:cs="Calibri"/>
          <w:color w:val="333333"/>
          <w:sz w:val="20"/>
          <w:szCs w:val="20"/>
          <w:lang w:val="en"/>
        </w:rPr>
        <w:t> means “indirectly, as, by, or through a substitute”) under which the principal is responsible for acts committed by the agent within the scope of the employment (see </w:t>
      </w:r>
      <w:r>
        <w:rPr>
          <w:rFonts w:ascii="Georgia" w:eastAsia="Times New Roman" w:hAnsi="Georgia" w:cs="Calibri"/>
          <w:color w:val="2689C6"/>
          <w:sz w:val="20"/>
          <w:szCs w:val="20"/>
          <w:lang w:val="en"/>
        </w:rPr>
        <w:t>Figure 21.2 "Principal’s Tort Liability"</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21.2</w:t>
      </w:r>
      <w:r>
        <w:rPr>
          <w:rFonts w:ascii="Georgia" w:eastAsia="Times New Roman" w:hAnsi="Georgia" w:cs="Calibri"/>
          <w:i/>
          <w:iCs/>
          <w:color w:val="BB9966"/>
          <w:sz w:val="21"/>
          <w:szCs w:val="21"/>
          <w:lang w:val="en"/>
        </w:rPr>
        <w:t> Principal’s Tort Liability</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2847975"/>
            <wp:effectExtent l="0" t="0" r="0" b="9525"/>
            <wp:docPr id="111" name="Picture 26" descr="http://images.flatworldknowledge.com/mayerlawentrep/mayerlawentrep-fig3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mayerlawentrep/mayerlawentrep-fig39_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847975"/>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modern basis for vicarious liability is sometimes termed the “deep pocket” theory: the principal (usually a corporation) has deeper pockets than the agent, meaning that it has the wherewithal to pay for the injuries traceable one way or another to events it set in motion. A million-dollar industrial accident is within the means of a company or its insurer; it is usually not within the means of the agent—employee—who caused 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“deep pocket” of the defendant-company is not always very deep, however. For many small businesses, in fact, the principle of respondeat superior is one of life or death. One example was the closing in San Francisco of the much-beloved Larraburu Brothers Bakery—at the time, the world’s second largest sourdough bread maker. The bakery was held liable for $2 million in damages after one of its delivery trucks injured a six-year-old boy. The bakery’s insurance policy had a limit of $1.25 million, and the bakery could not absorb the excess. The Larraburus had no choice but to cease operations. (See</w:t>
      </w:r>
      <w:hyperlink r:id="rId54" w:tgtFrame="_blank" w:history="1">
        <w:r>
          <w:rPr>
            <w:rStyle w:val="Hyperlink"/>
            <w:rFonts w:ascii="Georgia" w:eastAsia="Times New Roman" w:hAnsi="Georgia" w:cs="Calibri"/>
            <w:color w:val="2689C6"/>
            <w:sz w:val="20"/>
            <w:szCs w:val="20"/>
            <w:lang w:val="en"/>
          </w:rPr>
          <w:t>http://www.outsidelands.org/larraburu.php</w:t>
        </w:r>
      </w:hyperlink>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Respondeat superior raises three difficult questions: (1) What type of agents can create tort liability for the principal? (2) Is the principal liable for the agent’s intentional torts? (3) Was the agent acting within the scope of his employment? We will consider these questions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Agents for Whom Principals Are Vicariously Liable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the broadest liability is imposed on the master in the case of tortious physical conduct by a servant, as discussed in </w:t>
      </w:r>
      <w:r>
        <w:rPr>
          <w:rFonts w:ascii="Georgia" w:eastAsia="Times New Roman" w:hAnsi="Georgia" w:cs="Calibri"/>
          <w:color w:val="2689C6"/>
          <w:sz w:val="20"/>
          <w:szCs w:val="20"/>
          <w:lang w:val="en"/>
        </w:rPr>
        <w:t>Chapter 20 "Relationships between Principal and Agent"</w:t>
      </w:r>
      <w:r>
        <w:rPr>
          <w:rFonts w:ascii="Georgia" w:eastAsia="Times New Roman" w:hAnsi="Georgia" w:cs="Calibri"/>
          <w:color w:val="333333"/>
          <w:sz w:val="20"/>
          <w:szCs w:val="20"/>
          <w:lang w:val="en"/>
        </w:rPr>
        <w:t>. If the servant acted within the scope of his employment—that is, if the servant’s wrongful conduct occurred while performing his job—the master will be liable to the victim for damages unless, as we have seen, the victim was another employee, in which event the workers’ compensation system will be invoked. Vicarious tort liability is primarily a function of the employment relationship and not agency status.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an individual or a company is not vicariously liable for the tortious acts of independent contractors. The plumber who rushes to a client’s house to repair a leak and causes a traffic accident does not subject the homeowner to liability. But there are exceptions to the rule. Generally, these exceptions fall into a category of duties that the law deems nondelegable. In some situations, one person is obligated to provide protection to or care for another. The failure to do so results in liability whether or not the harm befell the other because of an independent contractor’s wrongdoing. Thus a homeowner has a duty to ensure that physical conditions in and around the home are not unreasonably dangerous. If the owner hires an independent contracting firm to dig a sewer line and the contractor negligently fails to guard passersby against the danger of falling into an open trench, the homeowner is liable because the duty of care in this instance cannot be delegated. (The contractor is, of course, liable to the homeowner for any damages paid to an injured passerby.)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for Agent’s Intentional Torts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nineteenth century, a principal was rarely held liable for intentional wrongdoing by the agent if the principal did not command the act complained of. The thought was that one could never infer authority to commit a willfully wrongful act. Today, liability for intentional torts is imputed to the principal if the agent is acting to further the principal’s business. See the very disturbing</w:t>
      </w:r>
      <w:r>
        <w:rPr>
          <w:rFonts w:ascii="Georgia" w:eastAsia="Times New Roman" w:hAnsi="Georgia" w:cs="Calibri"/>
          <w:i/>
          <w:iCs/>
          <w:color w:val="333333"/>
          <w:sz w:val="20"/>
          <w:szCs w:val="20"/>
          <w:lang w:val="en"/>
        </w:rPr>
        <w:t>Lyon v. Carey</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21.4.2 "Employer’s Liability for Employee’s Intentional Torts: Scope of Employment"</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Deviations from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is that a principal is liable for torts only if the servant committed them “in the scope of employment.” But determining what this means is not easy.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“Scope of Employment” Problem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be clear that the person causing an injury is the agent of another. But a principal cannot be responsible for every act of an agent. If an employee is following the letter of his instructions, it will be easy to determine liability. But suppose an agent deviates in some way from his job. The classic test of liability was set forth in an 1833 English case, </w:t>
      </w:r>
      <w:r>
        <w:rPr>
          <w:rFonts w:ascii="Georgia" w:eastAsia="Times New Roman" w:hAnsi="Georgia" w:cs="Calibri"/>
          <w:i/>
          <w:iCs/>
          <w:color w:val="333333"/>
          <w:sz w:val="20"/>
          <w:szCs w:val="20"/>
          <w:lang w:val="en"/>
        </w:rPr>
        <w:t>Joel v. Morrison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plaintiff was run over on a highway by a speeding cart and horse. The driver was the employee of another, and inside was a fellow employee. There was no question that the driver had acted carelessly, but what he and his fellow employee were doing on the road where the plaintiff was injured was disputed. For weeks before and after the accident, the cart had never been driven in the vicinity in which the plaintiff was walking, nor did it have any business there. The suggestion was that the employees might have gone out of their way for their own purposes. As the great English jurist Baron Parke put it, “If the servants, being on their master’s business, took a detour to call upon a friend, the master will be responsible.…But if he was going on a frolic of his own, without being at all on his master’s business, the master will not be liable.” In applying this test, the court held the employer liable.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 is thus one of degree, and it is not always easy to decide when a detour has become so great as to be transformed into a frolic. For a time, a rather mechanical rule was invoked to aid in making the decision. The courts looked to the servant’s purposes in “detouring.” If the servant’s mind was fixed on accomplishing his own purposes, then the detour was held to be outside the scope of employment; hence the tort was not imputed to the master. But if the servant also intended to accomplish his master’s purposes during his departure from the letter of his assignment, or if he committed the wrong while returning to his master’s task after the completion of his frolic, then the tort was held to be within the scope of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test is not always easy to apply. If a hungry deliveryman stops at a restaurant outside the normal lunch hour, intending to continue to his next delivery after eating, he is within the scope of employment. But suppose he decides to take the truck home that evening, in violation of rules, in order to get an early start the next morning. Suppose he decides to stop by the beach, which is far away from his route. Does it make a difference if the employer knows that his deliverymen do this?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Zone of Risk Test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 decisions in the last forty years have moved toward a different standard, one that looks to the foreseeability of the agent’s conduct. By this standard, an employer may be held liable for his employee’s conduct even when devoted entirely to the employee’s own purposes, as long as it was foreseeable that the agent might act as he did. This is the “zone of risk” test. The employer will be within the zone of risk for vicarious liability if the employee is where she is supposed to be, doing—more or less—what she is supposed to be doing, and the incident arose from the employee’s pursuit of the employer’s interest (again, more or less). That is, the employer is within the zone of risk if the servant is in the place within which, if the master were to send out a search party to find a missing employee, it would be reasonable to look. See Section 4, </w:t>
      </w:r>
      <w:r>
        <w:rPr>
          <w:rFonts w:ascii="Georgia" w:eastAsia="Times New Roman" w:hAnsi="Georgia" w:cs="Calibri"/>
          <w:i/>
          <w:iCs/>
          <w:color w:val="333333"/>
          <w:sz w:val="20"/>
          <w:szCs w:val="20"/>
          <w:lang w:val="en"/>
        </w:rPr>
        <w:t>Cockrell v. Pearl River Valley Water Supply Dist.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Special Cases of Vicarious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Vicarious liability is not limited to harm caused in the course of an agency relationship. It may also be imposed in other areas, including torts of family members, and other torts governed by statute or regulation. We will examine each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Use of Automobiles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problem commonly arises when an automobile owner lends his vehicle to a personal friend, someone who is not an agent, and the borrower injures a third person. Is the owner liable? In many states, the owner is not liable; in other states, however, two approaches impose liability on the owner.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approach is legislative: owner’s consent statutes make the owner liable when the automobile is being driven with his consent or knowledge. The second approach to placing liability on the owner is judicial and known as thefamily purpose doctrine. Under this doctrine, a family member who negligently injures someone with the car subjects the owner to liability if the family member was furthering family purposes. These are loosely defined to include virtually every use to which a child, for example, might put a car. In a Georgia case, </w:t>
      </w:r>
      <w:r>
        <w:rPr>
          <w:rFonts w:ascii="Georgia" w:eastAsia="Times New Roman" w:hAnsi="Georgia" w:cs="Calibri"/>
          <w:i/>
          <w:iCs/>
          <w:color w:val="333333"/>
          <w:sz w:val="20"/>
          <w:szCs w:val="20"/>
          <w:lang w:val="en"/>
        </w:rPr>
        <w:t>Dixon v. Phillips</w:t>
      </w:r>
      <w:r>
        <w:rPr>
          <w:rFonts w:ascii="Georgia" w:eastAsia="Times New Roman" w:hAnsi="Georgia" w:cs="Calibri"/>
          <w:color w:val="333333"/>
          <w:sz w:val="20"/>
          <w:szCs w:val="20"/>
          <w:lang w:val="en"/>
        </w:rPr>
        <w:t>, the father allowed his minor son to drive the car but expressly forbade him from letting anyone else do so.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Nevertheless, the son gave the wheel to a friend and a collision occurred while both were in the car. The court held the father liable because he made the car available for the pleasure and convenience of his son and other family members.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Torts of Family Members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the husband was liable for the torts of his wife, not because she was considered an agent but because she was considered to be an extension of him. “Husband and wife were only one person in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says Holmes, and any act of the wife was supposed to have been done at the husband’s direction (to which Mr. Dickens’s Mr. Bumble responded, in the memorable line, “If the law supposes that, the law is a ass—a idiot”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This ancient view has been abrogated by statute or by court ruling in all the states, so that now a wife is solely responsible for her own torts unless she in fact serves as her husband’s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wives, children are not presumed at common law to be agents or extensions of the father so that normally parents are not vicariously liable for their children’s torts. However, they can be held liable for failing to control children known to be dangerous.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states have statutorily changed the common-law rule, making parents responsible for willful or malicious tortious acts of their children whether or not they are known to be mischief-makers. Thus the Illinois Parental Responsibility Law provides the following: “The parent or legal guardian of an unemancipated minor who resides with such parent or legal guardian is liable for actual damages for the willful or malicious acts of such minor which cause injury to a person or property.”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Several other states impose a monetary limit on such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Torts Governed by Statute or Regulation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certain types of conduct that statutes or regulation attempt to control by placing the burden of liability on those presumably in a position to prevent the unwanted conduct. An example is the “Dramshop Act,” which in many states subjects the owner of a bar to liability if the bar continues to serve an intoxicated patron who later is involved in an accident while intoxicated. Another example involves the sale of adulterated or short-weight foodstuffs: the employer of one who sells such may be liable, even if the employer did not know of the sales.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Principal’s Criminal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general proposition, a principal will not be held liable for an agent’s unauthorized criminal acts if the crimes are those requiring specific intent. Thus a department store proprietor who tells his chief buyer to get the “best deal possible” on next fall’s fashions is not liable if the buyer steals clothes from the manufacturer. A principal will, however, be liable if the principal directed, approved, or participated in the crime. Cases here involve, for example, a corporate principal’s liability for agents’ activity in antitrust violations—price-fixing is one such violation.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narrow exception to the broad policy of immunity. Courts have ruled that under certain regulatory statutes and regulations, an agent’s criminality may be imputed to the principal, just as civil liability is imputed under Dramshop Acts. These include pure food and drug acts, speeding ordinances, building regulations, child labor rules, and minimum wage and maximum hour legislation. Misdemeanor criminal liability may be imposed upon corporations and individual employees for the sale or shipment of adulterated food in interstate commerce, notwithstanding the fact that the defendant may have had no actual knowledge that the food was adulterated at the time the sale or shipment was made.</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principal will be liable for the employee’s torts in two circumstances: first, if the principal was directly responsible, as in hiring a person the principal knew or should have known was incompetent or dangerous; second, if the employee committed the tort in the scope of business for the principal. This is the master-servant doctrine or respondeat superior. It imposes vicarious liability on the employer: the master (employer) will be liable if the employee was in the zone of activity creating a risk for the employer (“zone of risk” test), that is—generally—if the employee was where he was supposed to be, when he was supposed to be there, and the incident arose out of the employee’s interest (however perverted) in promoting the employer’s business.</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Special cases of vicarious liability arise in several circumstances. For example, the owner of an automobile may be liable for torts committed by one who borrows it, or if it is—even if indirectly—used for family purposes. Parents are, by statute in many states, liable for their children’s torts. Similarly by statute, the sellers and employers of sellers of alcohol or adulterated or short-weight foodstuffs may be liable. The employer of one who commits a crime is not usually liable unless the employer put the employee up to the crime or knew that a crime was being committed. But some prophylactic statutes impose liability on the employer for the employee’s crime—even if the employee had no intention to commit it—as a means to force the employer to prevent such actions.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16"/>
        </w:numPr>
        <w:shd w:val="clear" w:color="auto" w:fill="E3EFF7"/>
        <w:tabs>
          <w:tab w:val="clear" w:pos="720"/>
          <w:tab w:val="num" w:pos="19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direct and vicarious employer tort liability?</w:t>
      </w:r>
    </w:p>
    <w:p w:rsidR="00A86150" w:rsidRDefault="00F714D4">
      <w:pPr>
        <w:numPr>
          <w:ilvl w:val="0"/>
          <w:numId w:val="516"/>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meant by the “zone of risk” test?</w:t>
      </w:r>
    </w:p>
    <w:p w:rsidR="00A86150" w:rsidRDefault="00F714D4">
      <w:pPr>
        <w:numPr>
          <w:ilvl w:val="0"/>
          <w:numId w:val="516"/>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what circumstances will an employer be liable for intentional torts of the employee?</w:t>
      </w:r>
    </w:p>
    <w:p w:rsidR="00A86150" w:rsidRDefault="00F714D4">
      <w:pPr>
        <w:numPr>
          <w:ilvl w:val="0"/>
          <w:numId w:val="516"/>
        </w:numPr>
        <w:shd w:val="clear" w:color="auto" w:fill="E3EFF7"/>
        <w:tabs>
          <w:tab w:val="clear" w:pos="720"/>
          <w:tab w:val="num" w:pos="16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will the employer be liable for an employee’s criminal acts?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Joel v. Morrison</w:t>
      </w:r>
      <w:r>
        <w:rPr>
          <w:rFonts w:ascii="Calibri" w:eastAsia="Times New Roman" w:hAnsi="Calibri" w:cs="Calibri"/>
          <w:color w:val="333333"/>
          <w:sz w:val="20"/>
          <w:szCs w:val="20"/>
        </w:rPr>
        <w:t>, 6 Carrington &amp; Payne 501.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Dixon v. Phillips</w:t>
      </w:r>
      <w:r>
        <w:rPr>
          <w:rFonts w:ascii="Calibri" w:eastAsia="Times New Roman" w:hAnsi="Calibri" w:cs="Calibri"/>
          <w:color w:val="333333"/>
          <w:sz w:val="20"/>
          <w:szCs w:val="20"/>
        </w:rPr>
        <w:t>, 217 S.E.2d 331 (Ga. 1975).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O.W. Holmes, </w:t>
      </w:r>
      <w:r>
        <w:rPr>
          <w:rFonts w:ascii="Calibri" w:eastAsia="Times New Roman" w:hAnsi="Calibri" w:cs="Calibri"/>
          <w:i/>
          <w:iCs/>
          <w:color w:val="333333"/>
          <w:sz w:val="20"/>
          <w:szCs w:val="20"/>
        </w:rPr>
        <w:t>Agency</w:t>
      </w:r>
      <w:r>
        <w:rPr>
          <w:rFonts w:ascii="Calibri" w:eastAsia="Times New Roman" w:hAnsi="Calibri" w:cs="Calibri"/>
          <w:color w:val="333333"/>
          <w:sz w:val="20"/>
          <w:szCs w:val="20"/>
        </w:rPr>
        <w:t>, 4 Harvard Law Rev. 353 (1890–91).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Charles Dickens, </w:t>
      </w:r>
      <w:r>
        <w:rPr>
          <w:rFonts w:ascii="Calibri" w:eastAsia="Times New Roman" w:hAnsi="Calibri" w:cs="Calibri"/>
          <w:i/>
          <w:iCs/>
          <w:color w:val="333333"/>
          <w:sz w:val="20"/>
          <w:szCs w:val="20"/>
        </w:rPr>
        <w:t>Oliver Twist</w:t>
      </w:r>
      <w:r>
        <w:rPr>
          <w:rFonts w:ascii="Calibri" w:eastAsia="Times New Roman" w:hAnsi="Calibri" w:cs="Calibri"/>
          <w:color w:val="333333"/>
          <w:sz w:val="20"/>
          <w:szCs w:val="20"/>
        </w:rPr>
        <w:t>, (London: 1838), chap 51.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Ill. Rev. Stat. (2005), chapter 70, paragraph 51.</w:t>
      </w:r>
      <w:hyperlink r:id="rId55" w:tgtFrame="_blank" w:history="1">
        <w:r>
          <w:rPr>
            <w:rStyle w:val="Hyperlink"/>
            <w:rFonts w:ascii="Calibri" w:eastAsia="Times New Roman" w:hAnsi="Calibri" w:cs="Calibri"/>
            <w:color w:val="2689C6"/>
            <w:sz w:val="20"/>
            <w:szCs w:val="20"/>
          </w:rPr>
          <w:t>http://law.justia.com/illinois/codes/2005/chapter57/2045.html</w:t>
        </w:r>
      </w:hyperlink>
      <w:r>
        <w:rPr>
          <w:rFonts w:ascii="Calibri" w:eastAsia="Times New Roman"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21.3</w:t>
      </w:r>
      <w:r>
        <w:rPr>
          <w:rFonts w:ascii="Calibri" w:eastAsia="Times New Roman" w:hAnsi="Calibri" w:cs="Calibri"/>
          <w:b/>
          <w:bCs/>
          <w:color w:val="333333"/>
          <w:sz w:val="36"/>
          <w:szCs w:val="36"/>
        </w:rPr>
        <w:t> Agent’s Personal Liability for Torts and Contracts; Termination of Agency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numPr>
          <w:ilvl w:val="0"/>
          <w:numId w:val="517"/>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agent’s personal liability for tort.</w:t>
      </w:r>
    </w:p>
    <w:p w:rsidR="00A86150" w:rsidRDefault="00F714D4">
      <w:pPr>
        <w:numPr>
          <w:ilvl w:val="0"/>
          <w:numId w:val="517"/>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agent’s personal liability for contract.</w:t>
      </w:r>
    </w:p>
    <w:p w:rsidR="00A86150" w:rsidRDefault="00F714D4">
      <w:pPr>
        <w:numPr>
          <w:ilvl w:val="0"/>
          <w:numId w:val="517"/>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ways the agency relationship is terminated.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Agent’s Personal Liability for Torts and Contracts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Tort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a principal is held vicariously liable and must pay damages to an injured third person does not excuse the agent who actually committed the tortious acts. A person is always liable for his or her own torts (unless the person is insane, involuntarily intoxicated, or acting under extreme duress). The agent is personally liable for his wrongful acts and must reimburse the principal for any damages the principal was forced to pay, as long as the principal did not authorize the wrongful conduct. The agent directed to commit a tort remains liable for his own conduct but is not obliged to repay the principal. Liability as an agent can be burdensome, sometimes perhaps more burdensome than as a principal. The latter normally purchases insurance to cover against wrongful acts of agents, but liability insurance policies frequently do not cover the employee’s personal liability if the employee is named in a lawsuit individually. Thus doctors’ and hospitals’ malpractice policies protect a doctor from both her own mistakes and those of nurses and others that the doctor would be responsible for; nurses, however, might need their own coverage. In the absence of insurance, an agent is at serious risk in this lawsuit-conscious age. The risk is not total. The agent is not liable for torts of other agents unless he is personally at fault—for example, by negligently supervising a junior or by giving faulty instructions. For example, an agent, the general manager for a principal, hires Brown as a subordinate. Brown is competent to do the job but by failing to exercise proper control over a machine negligently injures Ted, a visitor to the premises. The principal and Brown are liable to Ted, but the agent is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Contract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makes sense that an agent should be liable for her own torts; it would be a bad social policy indeed if a person could escape tort liability based on her own fault merely because she acted in an agency capacity. It also makes sense that—as is the general rule—an agent is not liable on contracts she makes on the principal’s behalf; the agent is not a party to a contract made by the agent on behalf of the principal. No public policy would be served by imposing liability, and in many cases it would not make sense. Suppose an agent contracts to buy $25 million of rolled aluminum for a principal, an airplane manufacturer. The agent personally could not reasonably perform such contract, and it is not intended by the parties that she should be liable. (Although the rule is different in England, where an agent residing outside the country is liable even if it is clear that he is signing in an agency capacity.) But there are three exceptions to this rule: (1) if the agent is undisclosed or partially disclosed, (2) if the agent lacks authority or exceeds it, or (3) if the agent entered into the contract in a personal capacity. We consider each situation.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Agent for Undisclosed or Partially Disclosed Principal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agent need not, and frequently will not, inform the person with whom he is negotiating that he is acting on behalf of a principal. The secret principal is usually called an “undisclosed principal.” Or the agent may tell the other person that he is acting as an agent but not disclose the principal’s name, in which event the principal is “partially disclosed.” To understand the difficulties that may occur, consider the following hypothetical but common example. A real estate developer known for building amusement parks wants to acquire several parcels of land to construct a new park. He wants to keep his identity secret to hold down the land cost. If the landowners realized that a major building project was about to be launched, their asking price would be quite high. So the developer obtains two options to purchase land by using two secret agents—Betty and Clem.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Betty does not mention to sellers that she is an agent; therefore, to those sellers the developer is an undisclosed principal. Clem tells those with whom he is dealing that he is an agent but refuses to divulge the developer’s name or his business interest in the land. Thus the developer is, to the latter sellers, a partially disclosed principal. Suppose the sellers get wind of the impending construction and want to back out of the deal. Who may enforce the contracts against them?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developer and the agents may sue to compel transfer of title. The undisclosed or partially disclosed principal may act to enforce his rights unless the contract specifically prohibits it or there is a representation that the signatories are not signing for an undisclosed principal. The agents may also bring suit to enforce the principal’s contract rights because, as agents for an undisclosed or partially disclosed principal, they are considered parties to their contracts.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suppose the developer attempts to call off the deal. Whom may the sellers sue? Both the developer and the agents are liable. That the sellers had no knowledge of the developer’s identity—or even that there was a developer—does not invalidate the contract. If the sellers first sue agent Betty (or Clem), they may still recover the purchase price from the developer as long as they had no knowledge of his identity prior to winning the first lawsuit. The developer is discharged from liability if, knowing his identity, the plaintiffs persist in a suit against the agents and recover a judgment against them anyway. Similarly, if the seller sues the principal and recovers a judgment, the agents are relieved of liability. The seller thus has a “right of election” to sue either the agent or the undisclosed principal, a right that in many states may be exercised any time before the seller collects on the judgment.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Lack of Authority in Agent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agent who purports to make a contract on behalf of a principal, but who in fact has no authority to do so, is liable to the other party. The theory is that the agent has warranted to the third party that he has the requisite authority. The principal is not liable in the absence of apparent authority or ratification. But the agent does not warrant that the principal has capacity. Thus an agent for a minor is not liable on a contract that the minor later disavows unless the agent expressly warranted that the principal had attained his majority. In short, the implied warranty is that the agent has authority to make a deal, not that the principal will necessarily comply with the contract once the deal is made.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Agent Acting on Own Account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agent will be liable on contracts made in a personal capacity—for instance, when the agent personally guarantees repayment of a debt. The agent’s intention to be personally liable is often difficult to determine on the basis of his signature on a contract. Generally, a person signing a contract can avoid personal liability only by showing that he was in fact signing as an agent. If the contract is signed “Jones, Agent,” Jones can introduce evidence to show that there was never an intention to hold him personally liable. But if he signed “Jones” and neither his agency nor the principal’s name is included, he will be personally liable. This can be troublesome to agents who routinely indorse checks and notes. There are special rules governing these situations.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Termination of Agency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agency relationship is not permanent. Either by action of the parties or by law, the relationship will eventually terminate.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By Act of the Parties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Certainly the parties to an agency contract can terminate the agreement. As with the creation of the relationship, the agreement may be terminated either expressly or implicitly.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Express Termination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agreements contain specified circumstances whose occurrence signals the end of the agency. The most obvious of these circumstances is the expiration of a fixed period of time (“agency to terminate at the end of three months” or “on midnight, December 31”). An agreement may also terminate on the accomplishment of a specified act (“on the sale of the house”) or following a specific event (“at the conclusion of the last horse race”).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Mutual consent between the parties will end the agency. Moreover, the principal may revoke the agency or the agent may renounce it; such a revocation orrenunciation of agency would be an express termination. Even a contract that states the agreement is irrevocable will not be binding, although it can be the basis for a damage suit against the one who breached the agreement by revoking or renouncing it. As with any contract, a person has the </w:t>
      </w:r>
      <w:r>
        <w:rPr>
          <w:rFonts w:ascii="Georgia" w:eastAsia="Times New Roman" w:hAnsi="Georgia" w:cs="Calibri"/>
          <w:i/>
          <w:iCs/>
          <w:color w:val="333333"/>
          <w:sz w:val="20"/>
          <w:szCs w:val="20"/>
        </w:rPr>
        <w:t>power</w:t>
      </w:r>
      <w:r>
        <w:rPr>
          <w:rFonts w:ascii="Georgia" w:eastAsia="Times New Roman" w:hAnsi="Georgia" w:cs="Calibri"/>
          <w:color w:val="333333"/>
          <w:sz w:val="20"/>
          <w:szCs w:val="20"/>
        </w:rPr>
        <w:t> to breach, even in absence of the </w:t>
      </w:r>
      <w:r>
        <w:rPr>
          <w:rFonts w:ascii="Georgia" w:eastAsia="Times New Roman" w:hAnsi="Georgia" w:cs="Calibri"/>
          <w:i/>
          <w:iCs/>
          <w:color w:val="333333"/>
          <w:sz w:val="20"/>
          <w:szCs w:val="20"/>
        </w:rPr>
        <w:t>right</w:t>
      </w:r>
      <w:r>
        <w:rPr>
          <w:rFonts w:ascii="Georgia" w:eastAsia="Times New Roman" w:hAnsi="Georgia" w:cs="Calibri"/>
          <w:color w:val="333333"/>
          <w:sz w:val="20"/>
          <w:szCs w:val="20"/>
        </w:rPr>
        <w:t> to do so. If the agency is coupled with an interest, however, so that the authority to act is given to secure an interest that the agent has in the subject matter of the agency, then the principal lacks the power to revoke the agreement.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Implied Termination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 number of other circumstances that will spell the end of the relationship by implication. Unspecified events or changes in business conditions or the value of the subject matter of the agency might lead to a reasonable inference that the agency should be terminated or suspended; for example, the principal desires the agent to buy silver but the silver market unexpectedly rises and silver doubles in price overnight. Other circumstances that end the agency include disloyalty of the agent (e.g., he accepts an appointment that is adverse to his first principal or embezzles from the principal), bankruptcy of the agent or of the principal, the outbreak of war (if it is reasonable to infer that the principal, knowing of the war, would not want the agent to continue to exercise authority), and a change in the law that makes a continued carrying out of the task illegal or seriously interferes with 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By Operation of Law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Aside from the express termination (by agreement of both or upon the insistence of one), or the necessary or reasonable inferences that can be drawn from their agreements, the law voids agencies under certain circumstances. The most frequent termination by operation of law is the death of a principal or an agent. The death of an agent also terminates the authority of subagents he has appointed, unless the principal has expressly consented to the continuing validity of their appointment. Similarly, if the agent or principal loses capacity to enter into an agency relationship, it is suspended or terminated. The agency terminates if its purpose becomes illegal.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though authority has terminated, whether by action of the parties or operation of law, the principal may still be subject to liability. Apparent authority in many instances will still exist; this is called lingering authority. It is imperative for a principal on termination of authority to notify all those who may still be in a position to deal with the agent. The only exceptions to this requirement are when termination is effected by death, loss of the principal’s capacity, or an event that would make it impossible to carry out the object of the agency.</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person is always liable for her own torts, so an agent who commits a tort is liable; if the tort was in the scope of employment the principal is liable too. Unless the principal put the agent up to committing the tort, the agent will have to reimburse the principal. An agent is not generally liable for contracts made; the principal is liable. But the agent will be liable if he is undisclosed or partially disclosed, if the agent lacks authority or exceeds it, or, of course, if the agent entered into the contract in a personal capacity.</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Agencies terminate expressly or impliedly or by operation of law. An agency terminates expressly by the terms of the agreement or mutual consent, or by the principal’s revocation or the agent’s renunciation. An agency terminates impliedly by any number of circumstances in which it is reasonable to assume one or both of the parties would not want the relationship to continue. An agency will terminate by operation of law when one or the other party dies or becomes incompetent, or if the object of the agency becomes illegal. However, an agent may have apparent lingering authority, so the principal, upon termination of the agency, should notify those who might deal with the agent that the relationship is severed.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51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Pauline, the owner of a large bakery business, wishes to expand her facilities by purchasing the adjacent property. She engages Alice as an agent to negotiate the deal with the property owner but instructs her not to tell the property owner that she—Alice—is acting as an agent because Pauline is concerned that the property owner would demand a high price. A reasonable contract is made. When the economy sours, Pauline decides not to expand and cancels the plan. Who is liable for the breach?</w:t>
      </w:r>
    </w:p>
    <w:p w:rsidR="00A86150" w:rsidRDefault="00F714D4">
      <w:pPr>
        <w:numPr>
          <w:ilvl w:val="0"/>
          <w:numId w:val="51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Peter, the principal, instructs his agent, Alice, to tour England and purchase antique dining room furniture for Peter’s store. Alice buys an antique bed set. Who is liable, Peter or Alice? Suppose the seller did not know of the limit on Alice’s authority and sells the bed set to Alice in good faith. What happens when Peter discovers he owes the seller for the set?</w:t>
      </w:r>
    </w:p>
    <w:p w:rsidR="00A86150" w:rsidRDefault="00F714D4">
      <w:pPr>
        <w:numPr>
          <w:ilvl w:val="0"/>
          <w:numId w:val="51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will the agency terminate expressly?</w:t>
      </w:r>
    </w:p>
    <w:p w:rsidR="00A86150" w:rsidRDefault="00F714D4">
      <w:pPr>
        <w:numPr>
          <w:ilvl w:val="0"/>
          <w:numId w:val="51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Agent is hired by Principal to sell a new drug, Phobbot. Six months later, as it becomes apparent that Phobbot has nasty side effects (including death), the Food and Drug Administration orders the drug pulled from the shelves. Agent’s agency is terminated; what terminology is appropriate to describe how?</w:t>
      </w:r>
    </w:p>
    <w:p w:rsidR="00A86150" w:rsidRDefault="00F714D4">
      <w:pPr>
        <w:numPr>
          <w:ilvl w:val="0"/>
          <w:numId w:val="51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Principal engages Agent to buy lumber, and in that capacity Agent deals with several large timber owners. Agent’s contract ends on July 31; on August 1, Agent buys $150,000 worth of lumber from a seller with whom he had dealt previously on Principal’s behalf. Who is liable and why?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21.4</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Implied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Kanavos v. Hancock Bank &amp; Trust Company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439 N.E.2d 311 (Mass. 1982)</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KASS,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close of the plaintiff’s evidence, the defendant moved for a directed verdict, which the trial judge allowed. The judge’s reason for so doing was that the plaintiff, in his contract action, failed to introduce sufficient evidence tending to prove that the bank officer who made the agreement with which the plaintiff sought to charge the bank had any authority to make it. Upon review of the record we are of opinion that there was evidence which, if believed, warranted a finding that the bank officer had the requisite authority or that the bank officer had apparent authority to make the agreement in controversy. We therefore reverse the judgment.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approximately ten years prior to 1975, Harold Kanavos and his brother borrowed money on at least twenty occasions from the Hancock Bank &amp; Trust Company (the Bank), and, during that period, the loan officer with whom Kanavos always dealt was James M. Brown. The aggregate loans made by the Bank to Kanavos at any given time went as high as $800,000.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Over that same decade, Brown’s responsibilities at the Bank grew, and he had become executive vice-president. Brown was also the chief loan officer for the Bank, which had fourteen or fifteen branches in addition to its head office. Physically, Brown’s office was at the head office, toward the rear of the main banking floor, opposite the office of the president—whose name was Kelley. Often Brown would tell Kanavos that he had to check an aspect of a loan transaction with Kelley, but Kelley always backed Brown up on those occasions.…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Harold Kanavos, entered into an agreement with the defendant Bank whereby stock owned by the Kanavos brothers was sold to the Bank and the plaintiff was given an option to repurchase the stock. Kanavos’ suit against the Bank was based on an amendment to the agreement offered by Brown.]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Kanavos was never permitted to introduce in evidence the terms of the offer Brown made. That offer was contained in a writing, dated July 16, 1976, on bank letterhead, which read as follows: “This letter is to confirm our conversation regarding your option to re-purchase the subject property. In lieu of your not exercising your option, we agree to pay you $40,000 representing a commission upon our sale of the subject property, and in addition, will give you the option to match the price of sale of said property to extend for a 60 day period from the time our offer is received.” Brown signed the letter as executive vice-president. The basis of exclusion was that the plaintiff had not established the authority of Brown to make with Kanavos the arrangement memorialized in the July 16, 1976, letter.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Brown’s job description impliedly authorized the right of last refusal or cash payment modification is a question of how, in the circumstances, a person in Brown’s position could reasonably interpret his authority. Whether Brown had apparent authority to make the July 16, 1976, modification is a question of how, in the circumstances, a third person, e.g., a customer of the Bank such as Kanavos, would reasonably interpret Brown’s authority in light of the manifestations of his principal, the Bank.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Titles of office generally do not establish apparent authority. Brown’s status as executive vice-president was not, therefore, a badge of apparent authority to modify agreements to which the Bank was a party.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Trappings of office, e.g., office and furnishing, private secretary, while they may have some tendency to suggest executive responsibility, do not without other evidence provide a basis for finding apparent authority. Apparent authority is drawn from a variety of circumstances. Thus in </w:t>
      </w:r>
      <w:r>
        <w:rPr>
          <w:rFonts w:ascii="Georgia" w:eastAsia="Times New Roman" w:hAnsi="Georgia" w:cs="Calibri"/>
          <w:i/>
          <w:iCs/>
          <w:color w:val="333333"/>
          <w:sz w:val="20"/>
          <w:szCs w:val="20"/>
        </w:rPr>
        <w:t>Federal Nat. Bank v. O’Connell</w:t>
      </w:r>
      <w:r>
        <w:rPr>
          <w:rFonts w:ascii="Georgia" w:eastAsia="Times New Roman" w:hAnsi="Georgia" w:cs="Calibri"/>
          <w:color w:val="333333"/>
          <w:sz w:val="20"/>
          <w:szCs w:val="20"/>
        </w:rPr>
        <w:t>…(1940), it was held apparent authority could be found because an officer who was a director, vice-president and treasurer took an active part in directing the affairs of the bank in question and was seen by third parties talking with customers and negotiating with them. In </w:t>
      </w:r>
      <w:r>
        <w:rPr>
          <w:rFonts w:ascii="Georgia" w:eastAsia="Times New Roman" w:hAnsi="Georgia" w:cs="Calibri"/>
          <w:i/>
          <w:iCs/>
          <w:color w:val="333333"/>
          <w:sz w:val="20"/>
          <w:szCs w:val="20"/>
        </w:rPr>
        <w:t>Costonis v. Medford Housing Authy</w:t>
      </w:r>
      <w:r>
        <w:rPr>
          <w:rFonts w:ascii="Georgia" w:eastAsia="Times New Roman" w:hAnsi="Georgia" w:cs="Calibri"/>
          <w:color w:val="333333"/>
          <w:sz w:val="20"/>
          <w:szCs w:val="20"/>
        </w:rPr>
        <w:t>.…(1961), the executive director of a public housing authority was held to have apparent authority to vary specifications on the basis of the cumulative effect of what he had done and what the authority appeared to permit him to do.</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instant case there was evidence of the following variety of circumstances: Brown’s title of executive vice-president; the location of his office opposite the president; his frequent communications with the president; the long course of dealing and negotiations; the encouragement of Kanavos by the president to deal with Brown; the earlier amendment of the agreement by Brown on behalf of the Bank on material points, namely the price to be paid by the Bank for the shares and the repurchase price; the size of the Bank (fourteen or fifteen branches in addition to the main office); the secondary, rather than fundamental, nature of the change in the terms of the agreement now repudiated by the Bank, measured against the context of the overall transaction; and Brown’s broad operating authority…all these added together would support a finding of apparent authority. When a corporate officer, as here, is allowed to exercise general executive responsibilities, the “public expectation is that the corporation should be bound to engagements made on its behalf by those who presume to have, and convincingly appear to have, the power to agree.” [Citation] This principle does not apply, of course, where in the business context, the requirement of specific authority is presumed, e.g., the sale of a major asset by a corporation or a transaction which by its nature commits the corporation to an obligation outside the scope of its usual activity. The modification agreement signed by Brown and dated July 16, 1976, should have been admitted in evidence, and a verdict should not have been directed.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reversed.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1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“titles of office” insufficient to establish apparent authority?</w:t>
      </w:r>
    </w:p>
    <w:p w:rsidR="00A86150" w:rsidRDefault="00F714D4">
      <w:pPr>
        <w:numPr>
          <w:ilvl w:val="0"/>
          <w:numId w:val="51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“trappings of office” insufficient to establish apparent authority?</w:t>
      </w:r>
    </w:p>
    <w:p w:rsidR="00A86150" w:rsidRDefault="00F714D4">
      <w:pPr>
        <w:numPr>
          <w:ilvl w:val="0"/>
          <w:numId w:val="51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relationship between apparent authority and estoppel? Who is estopped to do what, and why?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Employer’s Liability for Employee’s Intentional Torts: Scope of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Lyon v. Carey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533 F.2d 649 (Cir. Ct. App. DC 1976)</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McMillan,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Corene Antoinette Lyon, plaintiff, recovered a $33,000.00 verdict [about $142,000 in 2010 dollars] in the United States District Court for the District of Columbia before Judge Barrington T. Parker and a jury, against the corporate defendants, George’s Radio and Television Company, Inc., and Pep Line Trucking Company, Inc. The suit for damages arose out of an assault, including rape, committed with a knife and other weapons upon the plaintiff on May 9, 1972, by Michael Carey, a nineteen-year-old deliveryman for Pep Line Trucking Company, Inc. Three months after the trial, Judge Parker set aside the verdict and rendered judgment for both defendants notwithstanding the verdict. Plaintiff appealed.…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 assault was perhaps at the outer bounds of respondeat superior, the case was properly one for the jury. Whether the assault in this case was the outgrowth of a job-related controversy or simply a personal adventure of the deliveryman, was a question for the jury. This was the import of the trial judge’s instructions. The verdict as to Pep Line should not have been disturbed.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Irene Lyon bought a mattress and springs for her bed from the defendant George’s Radio and Television Company, Inc. The merchandise was to be delivered on May 9, 1972. Irene Lyon had to be at work and the plaintiff [Irene’s sister] Corene Lyon, had agreed to wait in her sister’s apartment to receive the delivery.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C.O.D. balance of $13.24 was due on the merchandise, and Irene Lyon had left a check for $13.24 to cover that balance. Plaintiff had been requested by her sister to “wait until the mattress and the springs came and to check and make sure they were okay.”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fully clothed, answered the door. Her description of what happened is sufficiently brief and unqualified that it will bear repeating in full. She testified, without objection,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 went to the door, and I looked in the peephole, and I asked who was there. The young man told me he was a delivery man from George’s. He showed me a receipt, and it said, ‘George’s.’ He said he [needed cash on delivery—COD], so I let him in, and I told him to bring the mattress upstairs and he said, ‘No,’ that he wasn’t going to lug them upstairs, and he wanted the COD first, and I told him I wanted to see the mattress and box springs to make sure they were okay, and he said no, he wasn’t going to lug them upstairs [until he got the check].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this went back and forwards and so he was getting angry, and I told him to wait right here while I go get the COD. I went to the bedroom to get the check, and I picked it up, and I turned around and he was right there.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then I was giving him the check and then he told me that his boss told him not to accept a check, that he wanted cash money, and that if I didn’t give him cash money, he was going to take it on my ass, and he told me that he was no delivery man, he was a rapist and then he threw me on the bed.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Talk louder, young lady, the jury can’t hear you.</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witness] And then he threw me on the bed, and he had a knife to my throat.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attorney] Then what happened?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then he raped me.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pre-trial deposition was a part of the record on appeal, and it shows that Carey raped plaintiff at knife point; that then he chased her all over the apartment with a knife and scissors and cut plaintiff in numerous places on her face and body, beat and otherwise attacked her. All of the physical injury other than the rape occurred after rather than before the rape had been accomplished.…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[Carey was convicted of rape and sent to prison. The court determined that George’s was properly dismissed because Pep Line, Carey’s employer, was an independent contractor over which George’s had no control.]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principal question, therefore, is whether the evidence discloses any other basis upon which a jury could reasonably find Pep Line, the employer of Carey, liable for the assault.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Michael Carey was in the employment of the defendant Pep Line as a deliveryman. He was authorized to make the delivery of the mattress and springs plaintiff’s sister had bought. He gained access to the apartment only upon a showing of the delivery receipt for the merchandise. His employment contemplated that he visit and enter that particular apartment. Though the apartment was not owned by nor in the control of his employer, it was nevertheless a place he was expected by his employer to enter.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Carey entered, under the credentials of his employment and the delivery receipt, a dispute arose naturally and immediately between him and the plaintiff about two items of great significance in connection with his job. These items were the request of the plaintiff, the customer’s agent, to inspect the mattress and springs before payment (which would require their being brought upstairs before the payment was made), and Carey’s insistence on getting cash rather than a check.</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dispute arose out of the very transaction which had brought Carey to the premises, and, according to the plaintiff’s evidence, out of the employer’s instructions to get cash only before delivery.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face of things, Pep Line Trucking Company, Inc. is liable, under two previous decisions of the Court of Appeals for the District of Columbia Circuit. [Citation (1953)] held a taxi owner liable for damages (including a broken leg) sustained by a customer who had been run over by the taxi in pursuit of a dispute between the driver and the customer about a fare. [Citation (1939)], held a restaurant owner liable to a restaurant patron who was beaten with a stick by a restaurant employee, after a disagreement over the service. The theory was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well established that an employer may be held responsible in tort for assaults committed by an employee while he is acting within the scope of his employment, even though he may act wantonly and contrary to his employer’s instructions. [Citations] “…having placed [the employee] in charge and committed the management of the business to his care, defendants may not escape liability either on the ground of his infirmity of temperament or because, under the influence of passion aroused by plaintiff’s threat to report the circumstances, he went beyond the ordinary line of duty and inflicted the injury shown in this case.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Munick v. City of Durham</w:t>
      </w:r>
      <w:r>
        <w:rPr>
          <w:rFonts w:ascii="Georgia" w:eastAsia="Times New Roman" w:hAnsi="Georgia" w:cs="Calibri"/>
          <w:color w:val="333333"/>
          <w:sz w:val="20"/>
          <w:szCs w:val="20"/>
        </w:rPr>
        <w:t> ([Citation], Supreme Court of North Carolina, 1921), though not a binding precedent, is informative and does show that the theory of liability advanced by the plaintiff is by no means recent in origin. The plaintiff, Munick, a Russian born Jew, testified that he went to the Durham, North Carolina city water company office on April 17, 1919, and offered to pay his bill with “three paper dollars, one silver dollar, and fifty cents in pennies.” The pennies were in a roll “like the bank fixes them.” The clerk gave a receipt and the plaintiff prepared to leave the office. The office manager came into the room, saw the clerk counting the pennies, became enraged at the situation, shoved the pennies onto the floor and ordered Munick to pick them up. Bolton, the manager, “locked the front door and took me by the jacket and called me ‘God damned Jew,’ and said, ‘I want only bills.’ I did not say anything and he hit me in the face. I did not resist, and the door was locked and I could not get out.…” With the door locked, Bolton then repeatedly choked and beat the plaintiff, finally extracted a bill in place of the pennies, and ordered him off the premises with injuries including finger marks on his neck that could be seen for eight or ten days. Bolton was convicted of unlawful assault [but the case against the water company was dismissed].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North Carolina Supreme Court (Clark, C. J.) reversed the trial court’s dismissal and held that the case should have gone to the jury. The court…said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now fully established that corporations may be held liable for negligent and malicious torts, and that responsibility will be imputed whenever such wrongs are committed by their employees and agents in the course of their employment and within its scope * * * in many of the cases, and in reliable textbooks * * * ‘course of employment’ is stated and considered as sufficiently inclusive; but, whether the one or the other descriptive term is used, they have the same significance in importing liability on the part of the principal when the agent is engaged in the work that its principal has employed or directed him to do and * * * in the effort to accomplish it. When such conduct comes within the description that constitutes an actionable wrong, the corporation principal, as in other cases of principal and agent, is liable not only for ‘the act itself, but for the ways and means employed in the performance thereof.’</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 Thompson, Negligence, s 554, it is pointed out that, unless the above principle is maintained: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will always be more safe and profitable for a man to conduct his business vicariously than in his own person. He would escape liability for the consequences of many acts connected with his business, springing from the imperfections of human nature, because done by another, for which he would be responsible if done by himself. Meanwhile, the public, obliged to deal or come in contact with his agent, for injuries done by them must be left wholly without redress. He might delegate to persons pecuniarily irresponsible the care of large factories, of extensive mines, of ships at sea, or of railroad trains on land, and these persons, by the use of the extensive power thus committed to them, might inflict wanton and malicious injuries on third persons, without other restraint than that which springs from the imperfect execution of the criminal laws. A doctrine so fruitful of mischief could not long stand unshaken in an enlightened jurisprudence.’ This court has often held the master liable, even if the agent was willful, provided it was committed in the course of his employment.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act of a servant done to effect some independent purpose of his own and not with reference to the service in which he is employed, or while he is acting as his own master for the time being, is not within the scope of his employment so as to render the master liable therefor. In these circumstances the servant alone is liable for the injury inflicted.” [Citation].…”The general idea is that the employee at the time of doing the wrongful act, in order to fix liability on the employer, must have been acting in behalf of the latter and not on his own account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principal physical (as opposed to psychic) damage to the plaintiff is a number of disfiguring knife wounds on her head, face, arms, breasts and body. If the instrumentalities of assault had not included rape, the case would provoke no particular curiosity nor interest because it comes within all the classic requirements for recovery against the master. The verdict is not attacked as excessive, and could not be excessive in light of the physical injuries inflicted.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may be suggested that [some of the cases discussed] are distinguishable because in each of those cases the plaintiff was a business visitor on the defendant’s “premises.”…Home delivery customers are usually in their homes, sometimes alone; and deliveries of merchandise may expose householders to one-on-one confrontations with deliverymen. It would be a strange rule indeed which, while allowing recovery for assaults committed in “the store,” would deny a master’s liability for an assault committed on a lone woman in her own home, by a deliveryman required by his job to enter the home.…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as in [one case discussed], the assault was not motivated or triggered off by anything in the employment activity but was the result of only propinquity and lust, there should be no liability. However, if the assault, sexual or otherwise, was triggered off or motivated or occasioned by a dispute over the conduct then and there of the employer’s business, then the employer should be liable.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then, a question of fact for the trier of fact, rather than a question of law for the court, whether the assault stemmed from purely and solely personal sources or arose out of the conduct of the employer’s business; and the trial judge so instructed the jury.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follows that, under existing decisions of the District of Columbia Circuit, plaintiff has made out a case for the jury against Pep Line Trucking, Inc. unless the sexual character of one phase of the assault bars her from recovery for damages from all phases of the assault.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face, then, this question: Should the entire case be taken from the jury because, instead of a rod of wood (as in [one case]), in addition to weapons of steel (as in [one case, a knife]); and in addition to his hands (as in [the third case, regarding the dispute about the pennies]), Carey also employed a sexual weapon, a rod of flesh and blood in the pursuit of a job-related controversy?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answer is, No. It is a jury’s job to decide how much of plaintiff’s story to believe, and how much if any of the damages were caused by actions, including sexual assault, which stemmed from job-related sources rather than from purely personal origins.…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is affirmed as to the defendant George’s and reversed as to the defendant Pep Line Trucking Company, Inc.</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2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triggered the dispute here?</w:t>
      </w:r>
    </w:p>
    <w:p w:rsidR="00A86150" w:rsidRDefault="00F714D4">
      <w:pPr>
        <w:numPr>
          <w:ilvl w:val="0"/>
          <w:numId w:val="52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court observes, “On the face of things, Pep Line Trucking Company, Inc. is liable.” But there are two issues that give the court cause for more explanation. (1) Why does the court discuss the point that the assault did not occur on the employer’s premises? (2) Why does the court mention that the knife assault happened </w:t>
      </w:r>
      <w:r>
        <w:rPr>
          <w:rFonts w:ascii="Calibri" w:eastAsia="Times New Roman" w:hAnsi="Calibri" w:cs="Calibri"/>
          <w:i/>
          <w:iCs/>
          <w:color w:val="333333"/>
          <w:sz w:val="20"/>
          <w:szCs w:val="20"/>
        </w:rPr>
        <w:t>after</w:t>
      </w:r>
      <w:r>
        <w:rPr>
          <w:rFonts w:ascii="Calibri" w:eastAsia="Times New Roman" w:hAnsi="Calibri" w:cs="Calibri"/>
          <w:color w:val="333333"/>
          <w:sz w:val="20"/>
          <w:szCs w:val="20"/>
        </w:rPr>
        <w:t> the rape?</w:t>
      </w:r>
    </w:p>
    <w:p w:rsidR="00A86150" w:rsidRDefault="00F714D4">
      <w:pPr>
        <w:numPr>
          <w:ilvl w:val="0"/>
          <w:numId w:val="52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is difficult to imagine that a sexual assault could be anything other than some “purely and solely personal” gratification, unrelated to the employer’s business. How did the court address this?</w:t>
      </w:r>
    </w:p>
    <w:p w:rsidR="00A86150" w:rsidRDefault="00F714D4">
      <w:pPr>
        <w:numPr>
          <w:ilvl w:val="0"/>
          <w:numId w:val="52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as to the employer’s liability for intentional torts here?</w:t>
      </w:r>
    </w:p>
    <w:p w:rsidR="00A86150" w:rsidRDefault="00F714D4">
      <w:pPr>
        <w:numPr>
          <w:ilvl w:val="0"/>
          <w:numId w:val="52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the court mean when it says, “the assault was perhaps at the outer bounds of respondeat superior”?</w:t>
      </w:r>
    </w:p>
    <w:p w:rsidR="00A86150" w:rsidRDefault="00F714D4">
      <w:pPr>
        <w:numPr>
          <w:ilvl w:val="0"/>
          <w:numId w:val="52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Would the jury think about who had the “deep pocket” here? Who did have 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Employer’s Liability for Employee’s Intentional Torts: Scope of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Cockrell v. Pearl River Valley Water Supply Dist.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865 So.2d 357 (Miss. 2004)</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Pearl River Valley Water Supply District (“District”) was granted summary judgment pursuant to the Mississippi Tort Claims Act (MTCA) dismissing with prejudice all claims asserted against it by Sandra Cockrell. Cockrell appeals the ruling of the circuit court citing numerous errors. Finding the motion for summary judgment was properly granted in favor of the District, this Court affirms the final judgment entered by the Circuit Court of Rankin County.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Facts and Proceedings in the Trial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June 28, 1998, Sandra Cockrell was arrested for suspicion of driving under the influence of alcohol by Officer Joey James who was employed as a security patrol officer with the Reservoir Patrol of the Pearl River Valley Water Supply District. Officer James then transported Cockrell to the Reservoir Patrol office and administered an intoxilyzer test. The results of the test are not before us; however, we do know that after the test was administered, Officer James apologized to Cockrell for arresting her, and he assured her that he would prepare her paperwork so that she would not have to spend much time in jail. As they were leaving the Reservoir Patrol office, Officer James began asking Cockrell personal questions such as where she lived, whether she was dating anyone and if she had a boyfriend. Officer James then asked Cockrell for her cell phone number so that he could call and check on her. As they were approaching his patrol car for the trip to the Rankin County jail, Officer James informed Cockrell that she should be wearing handcuffs; however, he did not handcuff Cockrell, and he allowed her to ride in the front seat of the patrol car with him. In route to the jail, Cockrell became emotional and started crying. As she was fixing her makeup using the mirror on the sun visor, Officer James pulled his patrol car into a church parking lot and parked the car. He then pulled Cockrell towards him in an embrace and began stroking her back and hair telling her that things would be fine. Cockrell told Officer James to release her, but he continued to embrace her for approximately five minutes before continuing on to the jail.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June 30, 1998, Cockrell returned to the Reservoir Patrol office to retrieve her driver’s license. Officer James called Cockrell into his office and discussed her DUI charge with her. As she was leaving, Officer James grabbed her from behind, turned her around, pinned both of her arms behind her and pulled her to his chest. When Officer James bent down to kiss her, she ducked her head, thus causing Officer James to instead kiss her forehead. When Officer James finally released Cockrell, she ran out of the door and drove away. [Subsequently, Cockrell’s attorney threatened civil suit against Patrol; James was fired in October 1998.]</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22, 1999, Cockrell filed a complaint for damages against the District alleging that on the nights of June 28 and June 30, 1998, Officer James was acting within the course and scope of his employment with the District and that he acted with reckless disregard for her emotional well-being and safety.…On April 2, 2002, the District filed its motion for summary judgment alleging that there was no genuine issue of material fact regarding Cockrell’s claim of liability. The motion alleged that the conduct described by Cockrell was outside the course and scope of Officer James’s public employment as he was intending to satisfy his lustful urges. Cockrell responded to the motion arguing that the misconduct did occur in the course and scope of Officer James’s employment with the District and also that the misconduct did not reach the level of a criminal offense such that the District could be found not liable under the MTCA.</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entered a final judgment granting the District’s motion for summary judgment and dismissing the complaint with prejudice. The trial court found that the District could not be held liable under the MTCA for the conduct of Officer James which was both criminal and outside the course and scope of his employment. Cockrell…appeal[ed].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Discussion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Summary judgment is granted in cases where there is “no genuine issue as to any material fact and that the moving party is entitled to a judgment as a matter of law.”…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Cockrell contends there is a genuine issue of material of fact regarding whether Officer James was acting in the course and scope of his employment with the District during the incidents which occurred on the nights of June 28 and June 30, 1998. Cockrell argues Officer James’s conduct, although inappropriate, did not rise to the level of criminal conduct. Cockrell contends Officer James’s action of hugging Cockrell was similar to an officer consoling a victim of a crime. Cockrell does admit that Officer James’s action of kissing her is more difficult to view as within the course and scope of his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argues that although Officer James acted within the course and scope of his duties when he arrested Cockrell, his later conduct, which was intended to satisfy his lustful desires, was outside the scope of his employment with it.…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“Mississippi law provides that an activity must be in furtherance of the employer’s business to be within the scope and course of employment.” [Citation] To be within the course and scope of employment, an activity must carry out the employer’s purpose of the employment or be in furtherance of the employer’s business. [Citations] Therefore, if an employee steps outside his employer’s business for some reason which is not related to his employment, the relationship between the employee and the employer “is temporarily suspended and this is so ‘no matter how short the time and the [employer] is not liable for [the employee’s] acts during such time.’” “An employee’s personal unsanctioned recreational endeavors are beyond the course and scope of his employment.”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one case cited,] Officer Kerry Collins, a Jackson Police officer, was on duty when he came upon the parked car of L.T., a minor, and her boyfriend, who were about to engage in sexual activity. [Citation] Officer Collins instructed L.T. to take her boyfriend home, and he would follow her to make sure she followed his orders. After L.T. dropped off her boyfriend, Officer Collins continued to follow her until he pulled L.T. over. Officer Collins then instructed L.T. to follow him to his apartment or else he would inform L.T.’s parents of her activities. L.T. followed Officer Collins to his apartment where they engaged in sexual activity. Upon returning home, L.T. told her parents everything that had happened. L.T. and her parents filed suit against Officer Collins, the City of Jackson and the Westwood Apartments, where Officer Collins lived rent free in return for his services as a security guard.…The district court granted summary judgment in favor of the City finding that Officer Collins acted outside the course and scope of his employment with the Jackson Police Department.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[Citation] the plaintiff sued the Archdiocese of New Orleans for damages that allegedly resulted from his sexual molestation by a Catholic priest. The Fifth Circuit found that the priest was not acting within the course and scope of his employment. The Fifth Circuit held that “smoking marijuana and engaging in sexual acts with minor boys” in no way furthered the interests of his employer.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Southern District of Mississippi and the Fifth Circuit, applying Mississippi law, have held that sexual misconduct falls outside the course and scope of employment. There is no question that Officer James was within the course and scope of his employment when he first stopped Cockrell for suspicion of driving under the influence of alcohol. However, when Officer James diverted from his employment for personal reasons, he was no longer acting in the furtherance of his employer’s interests…Therefore, the District cannot be held liable…for the misconduct of Officer James which occurred outside the course and scope of his employment.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can this case and </w:t>
      </w:r>
      <w:r>
        <w:rPr>
          <w:rFonts w:ascii="Calibri" w:eastAsia="Times New Roman" w:hAnsi="Calibri" w:cs="Calibri"/>
          <w:i/>
          <w:iCs/>
          <w:color w:val="333333"/>
          <w:sz w:val="20"/>
          <w:szCs w:val="20"/>
        </w:rPr>
        <w:t>Lyon v. Carey</w:t>
      </w:r>
      <w:r>
        <w:rPr>
          <w:rFonts w:ascii="Calibri" w:eastAsia="Times New Roman" w:hAnsi="Calibri" w:cs="Calibri"/>
          <w:color w:val="333333"/>
          <w:sz w:val="20"/>
          <w:szCs w:val="20"/>
        </w:rPr>
        <w:t> (</w:t>
      </w:r>
      <w:r>
        <w:rPr>
          <w:rFonts w:ascii="Calibri" w:eastAsia="Times New Roman" w:hAnsi="Calibri" w:cs="Calibri"/>
          <w:color w:val="2689C6"/>
          <w:sz w:val="20"/>
          <w:szCs w:val="20"/>
        </w:rPr>
        <w:t>Section 21.4.2 "Employer’s Liability for Employee’s Intentional Torts: Scope of Employment"</w:t>
      </w:r>
      <w:r>
        <w:rPr>
          <w:rFonts w:ascii="Calibri" w:eastAsia="Times New Roman" w:hAnsi="Calibri" w:cs="Calibri"/>
          <w:color w:val="333333"/>
          <w:sz w:val="20"/>
          <w:szCs w:val="20"/>
        </w:rPr>
        <w:t>) be reconciled? Both involve an agent’s unacceptable behavior—assault—but in </w:t>
      </w:r>
      <w:r>
        <w:rPr>
          <w:rFonts w:ascii="Calibri" w:eastAsia="Times New Roman" w:hAnsi="Calibri" w:cs="Calibri"/>
          <w:i/>
          <w:iCs/>
          <w:color w:val="333333"/>
          <w:sz w:val="20"/>
          <w:szCs w:val="20"/>
        </w:rPr>
        <w:t>Lyon</w:t>
      </w:r>
      <w:r>
        <w:rPr>
          <w:rFonts w:ascii="Calibri" w:eastAsia="Times New Roman" w:hAnsi="Calibri" w:cs="Calibri"/>
          <w:color w:val="333333"/>
          <w:sz w:val="20"/>
          <w:szCs w:val="20"/>
        </w:rPr>
        <w:t> the agent’s actions were imputed to the principal, and in </w:t>
      </w:r>
      <w:r>
        <w:rPr>
          <w:rFonts w:ascii="Calibri" w:eastAsia="Times New Roman" w:hAnsi="Calibri" w:cs="Calibri"/>
          <w:i/>
          <w:iCs/>
          <w:color w:val="333333"/>
          <w:sz w:val="20"/>
          <w:szCs w:val="20"/>
        </w:rPr>
        <w:t>Cockrell</w:t>
      </w:r>
      <w:r>
        <w:rPr>
          <w:rFonts w:ascii="Calibri" w:eastAsia="Times New Roman" w:hAnsi="Calibri" w:cs="Calibri"/>
          <w:color w:val="333333"/>
          <w:sz w:val="20"/>
          <w:szCs w:val="20"/>
        </w:rPr>
        <w:t> the agent’s actions were not imputed to the principal.</w:t>
      </w:r>
    </w:p>
    <w:p w:rsidR="00A86150" w:rsidRDefault="00F714D4">
      <w:pPr>
        <w:numPr>
          <w:ilvl w:val="0"/>
          <w:numId w:val="5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governing the principal’s liability for the agent’s actions?</w:t>
      </w:r>
    </w:p>
    <w:p w:rsidR="00A86150" w:rsidRDefault="00F714D4">
      <w:pPr>
        <w:numPr>
          <w:ilvl w:val="0"/>
          <w:numId w:val="521"/>
        </w:numPr>
        <w:shd w:val="clear" w:color="auto" w:fill="E3EFF7"/>
        <w:tabs>
          <w:tab w:val="clear" w:pos="720"/>
          <w:tab w:val="num" w:pos="144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law governing the liability of principals for acts of their agents is well settled. Thus the cases turn on the facts. Who decides what the facts are in a lawsuit?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21.5</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made by an agent on behalf of the principal legally binds the principal. Three types of authority may bind the principal: (1) express authority—that which is actually given and spelled out, (2) implied authority—that which may fairly be inferred from the parties’ relationship and which is incidental to the agent’s express authority, and (3) apparent authority—that which reasonably appears to a third party under the circumstances to have been given by the principal. Even in the absence of authority, a principal may ratify the agent’s acts.</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principal may be liable for tortious acts of the agent but except under certain regulatory statutes may not be held criminally liable for criminal acts of agents not prompted by the principal. Under the doctrine of respondeat superior, a principal is generally liable for acts by a servant within the scope of employment. A principal usually will not be held liable for acts of nonservant agents that cause physical damage, although he will be held liable for nonphysical torts, such as misrepresentation. The principal will not be held liable for tortious acts of independent contractors, although the principal may be liable for injuries resulting from his failure to act in situations in which he was not legally permitted to delegate a duty to act. Whenever an agent is acting to further the principal’s business interests, the principal will be held vicariously liable for the agent’s intentional torts. What constitutes scope of employment is not easy to determine; the modern trend is to hold a principal liable for the conduct of an agent if it was foreseeable that the agent might act as he did.</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states have special rules of vicarious liability for special situations; for example, liability of an automobile owner for use by another. Spouses are not vicariously liable for each other, nor are parents for children, except for failing to control children known to be dangerous.</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general, an agent is not personally liable on contracts he has signed on behalf of a principal. This general rule has several exceptions recognized in most states: (1) when the agent is serving an undisclosed or partially disclosed principal, (2) when the agent lacks authority or exceeds his authority, and (3) if the agent entered into the contract in a personal capacity.</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agency relationship may be terminated by mutual consent, by express agreement of the parties that the agency will end at a certain time or on the occurrence of a certain event, or by an implied agreement arising out of the circumstances in each case. The agency may also be unilaterally revoked by the principal—unless the agency is coupled with an interest—or renounced by the agent. Finally, the agency will terminate by operation of law under certain circumstances, such as death of the principal or agent.</w:t>
      </w:r>
    </w:p>
    <w:p w:rsidR="00A86150" w:rsidRDefault="00A86150">
      <w:pPr>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Parke-Bernet Galleries, acting as agent for an undisclosed principal, sold a painting to Weisz. Weisz later discovered that the painting was a forgery and sued Parke-Bernet for breach of contract. In defense, Parke-Bernet argued that as a general rule, agents are not liable on contracts made for principals. Is this a good defense? Explain.</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Lynch was the loan officer at First Bank. Patterson applied to borrow $25,000. Bank policy required that Lynch obtain a loan guaranty from Patterson’s employer, a milk company. The manager of the milk company visited the bank and signed a guaranty on behalf of the company. The last paragraph of the guaranty stated, “This guaranty is signed by an officer having legal right to bind the company through authorization of the Board of Directors.” Should Lynch be satisfied with this guaranty? Would he be satisfied if the president of the milk company, who was also a director, affirmed that the manager had authority to sign the guaranty? Explain.</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Ralph owned a retail meat market. Ralph’s agent Sam, without authority but purporting to act on Ralph’s behalf, borrowed $7,500 from Ted. Although he never received the money, Ralph repaid $700 of the alleged loan and promised to repay the rest. If Sam had no authority to make the loan, is Ralph liable? Why?</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guest arrived early one morning at the Hotel Ohio. Clemens, a person in the hotel office who appeared to be in charge, walked behind the counter, registered the guest, gave him a key, and took him to his room. The guest also checked valuables (a diamond pin and money) with Clemens, who signed a receipt on behalf of the hotel. Clemens in fact was a roomer at the hotel, not an employee, and had no authority to act on behalf of the hotel. When Clemens absconded with the valuables, the guest sued the hotel. Is the hotel liable? Why?</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professional basketball player punched an opposing player in the face during the course of a game. The opponent, who was seriously injured, sued the owner of the team for damages. A jury awarded the player $222,000 [about $800,000 in 2010 dollars] for medical expenses, $200,000 [$700,000] for physical pain, $275,000 [$963,000] for mental anguish, $1,000,000 [$3.5 million] for lost earnings, and $1,500,000 [$5.2 million] in punitive damages (which was $500,000 more than requested by the player). The jury also awarded $50,000 [$150,000] to the player’s wife for loss of companionship. If we assume that the player who threw the punch acted out of personal anger and had no intention to further the business, how could the damage award against his principal be legally justified?</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doctor in a University of Chicago hospital seriously assaulted a patient in an examining room. The patient sued the hospital on the theory that the doctor was an agent or employee of the hospital and the assault occurred within the hospital. Is the hospital liable for the acts of its agent? Why?</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Hector was employed by a machine shop. One day he made a delivery for his employer and proceeded back to the shop. When he was four miles from the shop and on the road where it was located, he turned left onto another road to visit a friend. The friend lived five miles off the turnoff. On the way to the friend’s house, Hector caused an accident. The injured person sued Hector’s employer. Is the employer liable? Discuss.</w:t>
      </w:r>
    </w:p>
    <w:p w:rsidR="00A86150" w:rsidRDefault="00F714D4">
      <w:pPr>
        <w:numPr>
          <w:ilvl w:val="0"/>
          <w:numId w:val="5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fourteen-year-old boy, who had no driver’s license, took his parents’ car without permission and caused an automobile accident. A person injured in the accident sued the boy’s parents under the relevant state’s Parental Responsibility Law (mentioned in </w:t>
      </w:r>
      <w:r>
        <w:rPr>
          <w:rFonts w:ascii="Calibri" w:eastAsia="Times New Roman" w:hAnsi="Calibri" w:cs="Calibri"/>
          <w:color w:val="2689C6"/>
          <w:sz w:val="20"/>
          <w:szCs w:val="20"/>
        </w:rPr>
        <w:t>Section 21.2.1 "Principal’s Tort Liability"</w:t>
      </w:r>
      <w:r>
        <w:rPr>
          <w:rFonts w:ascii="Calibri" w:eastAsia="Times New Roman" w:hAnsi="Calibri" w:cs="Calibri"/>
          <w:color w:val="333333"/>
          <w:sz w:val="20"/>
          <w:szCs w:val="20"/>
        </w:rPr>
        <w:t>). Are the parents liable? Discuss.</w:t>
      </w:r>
    </w:p>
    <w:p w:rsidR="00A86150" w:rsidRDefault="00F714D4">
      <w:pPr>
        <w:numPr>
          <w:ilvl w:val="0"/>
          <w:numId w:val="522"/>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past decades the Catholic Church has paid out hundreds of millions of dollars in damage awards to people—mostly men—who claimed that when they were boys and teenagers they were sexually abused by their local parish priests, often on Church premises. That is, the men claimed they had been victims of child rape. Obviously, such behavior is antithetical to any reasonable standard of clergy behavior: the priests could not have been in the scope of employment. How is the Church liable?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523"/>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Authority that legally may bind the principal includes</w:t>
      </w:r>
    </w:p>
    <w:p w:rsidR="00A86150" w:rsidRDefault="00F714D4">
      <w:pPr>
        <w:pStyle w:val="ListParagraph"/>
        <w:numPr>
          <w:ilvl w:val="0"/>
          <w:numId w:val="52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authority</w:t>
      </w:r>
    </w:p>
    <w:p w:rsidR="00A86150" w:rsidRDefault="00F714D4">
      <w:pPr>
        <w:pStyle w:val="ListParagraph"/>
        <w:numPr>
          <w:ilvl w:val="0"/>
          <w:numId w:val="52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authority</w:t>
      </w:r>
    </w:p>
    <w:p w:rsidR="00A86150" w:rsidRDefault="00F714D4">
      <w:pPr>
        <w:pStyle w:val="ListParagraph"/>
        <w:numPr>
          <w:ilvl w:val="0"/>
          <w:numId w:val="52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apparent authority</w:t>
      </w:r>
    </w:p>
    <w:p w:rsidR="00A86150" w:rsidRDefault="00F714D4">
      <w:pPr>
        <w:pStyle w:val="ListParagraph"/>
        <w:numPr>
          <w:ilvl w:val="0"/>
          <w:numId w:val="52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25"/>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a general rule, a principal is not</w:t>
      </w:r>
    </w:p>
    <w:p w:rsidR="00A86150" w:rsidRDefault="00F714D4">
      <w:pPr>
        <w:pStyle w:val="ListParagraph"/>
        <w:numPr>
          <w:ilvl w:val="0"/>
          <w:numId w:val="52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liable for tortious acts of an agent, even when the principal is negligent</w:t>
      </w:r>
    </w:p>
    <w:p w:rsidR="00A86150" w:rsidRDefault="00F714D4">
      <w:pPr>
        <w:pStyle w:val="ListParagraph"/>
        <w:numPr>
          <w:ilvl w:val="0"/>
          <w:numId w:val="52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liable for acts of a servant within the scope of employment</w:t>
      </w:r>
    </w:p>
    <w:p w:rsidR="00A86150" w:rsidRDefault="00F714D4">
      <w:pPr>
        <w:pStyle w:val="ListParagraph"/>
        <w:numPr>
          <w:ilvl w:val="0"/>
          <w:numId w:val="52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criminally liable for acts of the agent</w:t>
      </w:r>
    </w:p>
    <w:p w:rsidR="00A86150" w:rsidRDefault="00F714D4">
      <w:pPr>
        <w:pStyle w:val="ListParagraph"/>
        <w:numPr>
          <w:ilvl w:val="0"/>
          <w:numId w:val="52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liable for nondelegable duties performed by independent contractors</w:t>
      </w:r>
    </w:p>
    <w:p w:rsidR="00A86150" w:rsidRDefault="00F714D4">
      <w:pPr>
        <w:numPr>
          <w:ilvl w:val="0"/>
          <w:numId w:val="527"/>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agent may be held personally liable on contracts signed on behalf of a principal when</w:t>
      </w:r>
    </w:p>
    <w:p w:rsidR="00A86150" w:rsidRDefault="00F714D4">
      <w:pPr>
        <w:pStyle w:val="ListParagraph"/>
        <w:numPr>
          <w:ilvl w:val="0"/>
          <w:numId w:val="52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agent is serving an undisclosed or partially disclosed principal</w:t>
      </w:r>
    </w:p>
    <w:p w:rsidR="00A86150" w:rsidRDefault="00F714D4">
      <w:pPr>
        <w:pStyle w:val="ListParagraph"/>
        <w:numPr>
          <w:ilvl w:val="0"/>
          <w:numId w:val="52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agent exceeds his authority</w:t>
      </w:r>
    </w:p>
    <w:p w:rsidR="00A86150" w:rsidRDefault="00F714D4">
      <w:pPr>
        <w:pStyle w:val="ListParagraph"/>
        <w:numPr>
          <w:ilvl w:val="0"/>
          <w:numId w:val="52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agent entered into the contract in a personal capacity</w:t>
      </w:r>
    </w:p>
    <w:p w:rsidR="00A86150" w:rsidRDefault="00F714D4">
      <w:pPr>
        <w:pStyle w:val="ListParagraph"/>
        <w:numPr>
          <w:ilvl w:val="0"/>
          <w:numId w:val="52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 are true</w:t>
      </w:r>
    </w:p>
    <w:p w:rsidR="00A86150" w:rsidRDefault="00F714D4">
      <w:pPr>
        <w:numPr>
          <w:ilvl w:val="0"/>
          <w:numId w:val="529"/>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agency relationship may be terminated by</w:t>
      </w:r>
    </w:p>
    <w:p w:rsidR="00A86150" w:rsidRDefault="00F714D4">
      <w:pPr>
        <w:pStyle w:val="ListParagraph"/>
        <w:numPr>
          <w:ilvl w:val="0"/>
          <w:numId w:val="53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implied agreement arising out of the circumstances</w:t>
      </w:r>
    </w:p>
    <w:p w:rsidR="00A86150" w:rsidRDefault="00F714D4">
      <w:pPr>
        <w:pStyle w:val="ListParagraph"/>
        <w:numPr>
          <w:ilvl w:val="0"/>
          <w:numId w:val="53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mutual consent of parties</w:t>
      </w:r>
    </w:p>
    <w:p w:rsidR="00A86150" w:rsidRDefault="00F714D4">
      <w:pPr>
        <w:pStyle w:val="ListParagraph"/>
        <w:numPr>
          <w:ilvl w:val="0"/>
          <w:numId w:val="53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death of the principal or agent</w:t>
      </w:r>
    </w:p>
    <w:p w:rsidR="00A86150" w:rsidRDefault="00F714D4">
      <w:pPr>
        <w:pStyle w:val="ListParagraph"/>
        <w:numPr>
          <w:ilvl w:val="0"/>
          <w:numId w:val="53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31"/>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liability for the agent’s acts of which the principal had no knowledge or intention to commit is called</w:t>
      </w:r>
    </w:p>
    <w:p w:rsidR="00A86150" w:rsidRDefault="00F714D4">
      <w:pPr>
        <w:pStyle w:val="ListParagraph"/>
        <w:numPr>
          <w:ilvl w:val="0"/>
          <w:numId w:val="53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liability</w:t>
      </w:r>
    </w:p>
    <w:p w:rsidR="00A86150" w:rsidRDefault="00F714D4">
      <w:pPr>
        <w:pStyle w:val="ListParagraph"/>
        <w:numPr>
          <w:ilvl w:val="0"/>
          <w:numId w:val="53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liability</w:t>
      </w:r>
    </w:p>
    <w:p w:rsidR="00A86150" w:rsidRDefault="00F714D4">
      <w:pPr>
        <w:pStyle w:val="ListParagraph"/>
        <w:numPr>
          <w:ilvl w:val="0"/>
          <w:numId w:val="53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respondeat superior</w:t>
      </w:r>
    </w:p>
    <w:p w:rsidR="00A86150" w:rsidRDefault="00F714D4">
      <w:pPr>
        <w:pStyle w:val="ListParagraph"/>
        <w:numPr>
          <w:ilvl w:val="0"/>
          <w:numId w:val="532"/>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53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3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53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3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53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22</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5"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Partnerships: General Characteristics and Formation</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534"/>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importance of partnership and the present status of partnership law</w:t>
      </w:r>
    </w:p>
    <w:p w:rsidR="00A86150" w:rsidRDefault="00F714D4">
      <w:pPr>
        <w:numPr>
          <w:ilvl w:val="0"/>
          <w:numId w:val="534"/>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extent to which a partnership is an entity</w:t>
      </w:r>
    </w:p>
    <w:p w:rsidR="00A86150" w:rsidRDefault="00F714D4">
      <w:pPr>
        <w:numPr>
          <w:ilvl w:val="0"/>
          <w:numId w:val="534"/>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tests that determine whether a partnership exists</w:t>
      </w:r>
    </w:p>
    <w:p w:rsidR="00A86150" w:rsidRDefault="00F714D4">
      <w:pPr>
        <w:numPr>
          <w:ilvl w:val="0"/>
          <w:numId w:val="534"/>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 by estoppel</w:t>
      </w:r>
    </w:p>
    <w:p w:rsidR="00A86150" w:rsidRDefault="00F714D4">
      <w:pPr>
        <w:numPr>
          <w:ilvl w:val="0"/>
          <w:numId w:val="534"/>
        </w:numPr>
        <w:shd w:val="clear" w:color="auto" w:fill="EAE9DC"/>
        <w:tabs>
          <w:tab w:val="clear" w:pos="720"/>
          <w:tab w:val="num" w:pos="216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 formation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22.1 Introduction to Partnerships and Entity Theory</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35"/>
        </w:numPr>
        <w:shd w:val="clear" w:color="auto" w:fill="EAE9DC"/>
        <w:tabs>
          <w:tab w:val="clear" w:pos="720"/>
          <w:tab w:val="num" w:pos="144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importance of partnership.</w:t>
      </w:r>
    </w:p>
    <w:p w:rsidR="00A86150" w:rsidRDefault="00F714D4">
      <w:pPr>
        <w:numPr>
          <w:ilvl w:val="0"/>
          <w:numId w:val="535"/>
        </w:numPr>
        <w:shd w:val="clear" w:color="auto" w:fill="EAE9DC"/>
        <w:tabs>
          <w:tab w:val="clear" w:pos="720"/>
          <w:tab w:val="num" w:pos="144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partnership history.</w:t>
      </w:r>
    </w:p>
    <w:p w:rsidR="00A86150" w:rsidRDefault="00F714D4">
      <w:pPr>
        <w:numPr>
          <w:ilvl w:val="0"/>
          <w:numId w:val="535"/>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entity characteristics of partnerships.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Importance of Partnership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would be difficult to conceive of a complex society that did not operate its businesses through organizations. In this chapter we study partnerships, limited partnerships, and limited liability companies, and we touch on joint ventures and business trusts.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two or more people form their own business or professional practice, they usually consider becoming partners. Partnership law defines a partnership as “the association of two or more persons to carry on as co-owners a business for profit…whether or not the persons intend to form a partnership.”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2011, there were more than three million business firms in the United States as partnerships (see </w:t>
      </w:r>
      <w:r>
        <w:rPr>
          <w:rFonts w:ascii="Georgia" w:eastAsia="Times New Roman" w:hAnsi="Georgia" w:cs="Calibri"/>
          <w:color w:val="2689C6"/>
          <w:sz w:val="20"/>
          <w:szCs w:val="20"/>
          <w:lang w:val="en"/>
        </w:rPr>
        <w:t>Table 22.1 "Selected Data: Number of US Partnerships, Limited Partnerships, and Limited Liability Companies"</w:t>
      </w:r>
      <w:r>
        <w:rPr>
          <w:rFonts w:ascii="Georgia" w:eastAsia="Times New Roman" w:hAnsi="Georgia" w:cs="Calibri"/>
          <w:color w:val="333333"/>
          <w:sz w:val="20"/>
          <w:szCs w:val="20"/>
          <w:lang w:val="en"/>
        </w:rPr>
        <w:t>, showing data to 2006), and partnerships are a common form of organization among accountants, lawyers, doctors, and other professionals. When we use the word </w:t>
      </w:r>
      <w:r>
        <w:rPr>
          <w:rFonts w:ascii="Georgia" w:eastAsia="Times New Roman" w:hAnsi="Georgia" w:cs="Calibri"/>
          <w:i/>
          <w:iCs/>
          <w:color w:val="333333"/>
          <w:sz w:val="20"/>
          <w:szCs w:val="20"/>
          <w:lang w:val="en"/>
        </w:rPr>
        <w:t>partnership</w:t>
      </w:r>
      <w:r>
        <w:rPr>
          <w:rFonts w:ascii="Georgia" w:eastAsia="Times New Roman" w:hAnsi="Georgia" w:cs="Calibri"/>
          <w:color w:val="333333"/>
          <w:sz w:val="20"/>
          <w:szCs w:val="20"/>
          <w:lang w:val="en"/>
        </w:rPr>
        <w:t>, we are referring to the </w:t>
      </w:r>
      <w:r>
        <w:rPr>
          <w:rFonts w:ascii="Georgia" w:eastAsia="Times New Roman" w:hAnsi="Georgia" w:cs="Calibri"/>
          <w:i/>
          <w:iCs/>
          <w:color w:val="333333"/>
          <w:sz w:val="20"/>
          <w:szCs w:val="20"/>
          <w:lang w:val="en"/>
        </w:rPr>
        <w:t>general business partnership</w:t>
      </w:r>
      <w:r>
        <w:rPr>
          <w:rFonts w:ascii="Georgia" w:eastAsia="Times New Roman" w:hAnsi="Georgia" w:cs="Calibri"/>
          <w:color w:val="333333"/>
          <w:sz w:val="20"/>
          <w:szCs w:val="20"/>
          <w:lang w:val="en"/>
        </w:rPr>
        <w:t>. There are also limited partnerships and limited liability partnerships, which are discussed in </w:t>
      </w:r>
      <w:r>
        <w:rPr>
          <w:rFonts w:ascii="Georgia" w:eastAsia="Times New Roman" w:hAnsi="Georgia" w:cs="Calibri"/>
          <w:color w:val="2689C6"/>
          <w:sz w:val="20"/>
          <w:szCs w:val="20"/>
          <w:lang w:val="en"/>
        </w:rPr>
        <w:t>Chapter 24 "Hybrid Business Forms"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22.1 Selected Data: Number of US Partnerships, Limited Partnerships, and Limited Liability Companies</w:t>
      </w:r>
    </w:p>
    <w:tbl>
      <w:tblPr>
        <w:tblW w:w="0" w:type="auto"/>
        <w:tblCellMar>
          <w:left w:w="0" w:type="dxa"/>
          <w:right w:w="0" w:type="dxa"/>
        </w:tblCellMar>
        <w:tblLook w:val="04A0" w:firstRow="1" w:lastRow="0" w:firstColumn="1" w:lastColumn="0" w:noHBand="0" w:noVBand="1"/>
      </w:tblPr>
      <w:tblGrid>
        <w:gridCol w:w="3370"/>
        <w:gridCol w:w="1095"/>
        <w:gridCol w:w="1095"/>
        <w:gridCol w:w="1095"/>
        <w:gridCol w:w="1095"/>
      </w:tblGrid>
      <w:tr w:rsidR="00A8615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A86150">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2006</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 number of active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2,375,375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2,546,877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2,763,625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2,947,116</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14,108,458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15,556,553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16,211,908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16,727,803</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limited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378,921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402,238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413,712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432,550</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6,262,103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7,023,921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6,946,986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6,738,737</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limited liability companies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1,091,502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1,270,236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1,465,223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1,630,161</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4,226,099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4,949,808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5,640,146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6,361,958</w:t>
            </w:r>
          </w:p>
        </w:tc>
      </w:tr>
    </w:tbl>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Source: IRS, </w:t>
      </w:r>
      <w:hyperlink r:id="rId56" w:tgtFrame="_blank" w:history="1">
        <w:r>
          <w:rPr>
            <w:rStyle w:val="Hyperlink"/>
            <w:rFonts w:ascii="Georgia" w:eastAsia="Times New Roman" w:hAnsi="Georgia" w:cs="Calibri"/>
            <w:color w:val="2689C6"/>
            <w:sz w:val="20"/>
            <w:szCs w:val="20"/>
            <w:lang w:val="en"/>
          </w:rPr>
          <w:t>http://www.irs.gov/pub/irs-soi/09sprbul.pdf</w:t>
        </w:r>
      </w:hyperlink>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Partnerships are also popular as investment vehicles. Partnership law and tax law permit an investor to put capital into a limited partnership and realize tax benefits without liability for the acts of the general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you do not plan to work within a partnership, it can be important to understand the law that governs it. Why? Because it is possible to become someone’s partner without intending to or even realizing that a partnership has been created. Knowledge of the law can help you avoid partnership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Partnership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Through the Twentieth Century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 is an ancient form of business enterprise, and special laws governing partnerships date as far back as 2300 BC, when the Code of Hammurabi explicitly regulated the relations between partners. Partnership was an important part of Roman law, and it played a significant role in the law merchant, the international commercial law of the Middle 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nineteenth century, in both England and the United States, partnership was a popular vehicle for business enterprise. But the law governing it was jumbled. Common-law principles were mixed with equitable standards, and the result was considerable confusion. Parliament moved to reduce the uncertainty by adopting the Partnership Act of 1890, but codification took longer in the United States. The Commissioners on Uniform State Laws undertook the task at the turn of the twentieth century. The Uniform Partnership Act (UPA), completed in 1914, and the Uniform Limited Partnership Act (ULPA), completed in 1916, were the basis of partnership law for many decades. UPA and ULPA were adopted by all states except Louisiana.</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Current State of Partnership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its name, UPA was not enacted uniformly among the states; moreover, it had some shortcomings. So the states tinkered with it, and by the 1980s, the National Conference of Commissioners on Uniform Laws (NCCUL) determined that a revised version was in order. An amended UPA appeared in 1992, and further amendments were promulgated in 1993, 1994, 1996, and 1997. The NCCUL reports that thirty-nine states have adopted some version of the revised act. This chapter will discuss the Revised Uniform Partnership Act (RUPA) as promulgated in 1997, but because not all jurisdictions have not adopted it, where RUPA makes significant changes, the original 1914 UPA will also be considered.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NCCUL observes in its “prefatory note” to the 1997 act: “The Revised Act is largely a series of ‘default rules’ that govern the relations among partners in situations they have not addressed in a partnership agreement. The primary focus of RUPA is the small, often informal, partnership. Larger partnerships generally have a partnership agreement addressing, and often modifying, many of the provisions of the partnership 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Entity Theory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Meaning of “Legal Entity”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significant difference between a partnership and most other kinds of business organization relates to whether, and the extent to which, the business is a legal entity. A legal entity is a person or group that the law recognizes as having legal rights, such as the right to own and dispose of property, to sue and be sued, and to enter into contracts; the entity theory is the concept of a business firm as a legal person, with existence and accountability separate from its owners. When individuals carry out a common enterprise as partners, a threshold legal question is whether the partnership is a legal entity. The common law said no. In other words, under the common-law theory, a partnership was but a convenient name for an aggregate of individuals, and the rights and duties recognized and imposed by law are those of the individual partners. By contrast, the mercantile theory of the law merchant held that a partnership is a legal entity that can have rights and duties independent of those of its members.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drafting of the 1914 UPA, a debate raged over which theory to adopt. The drafters resolved the debate through a compromise. In Section 6(1), UPA provides a neutral definition of partnership (“an association of two or more persons to carry on as co-owners a business for profit”) and retained the common-law theory that a partnership is an aggregation of individuals—theaggregate theory.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RUPA moved more toward making partnerships entities. According to the NCCUL, “The Revised Act enhances the entity treatment of partnerships to achieve simplicity for state law purposes, particularly in matters concerning title to partnership property. RUPA does not, however, relentlessly apply the entity approach. The aggregate approach is retained for some purposes, such as partners’ joint and several liability.”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Section 201(a) provides, “A partnership is an entity distinct from its partners.”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Entity Characteristics of a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RUPA, then, a partnership has entity characteristics, but the partners remain guarantors of partnership obligations, as always—that is the partners’ joint and several liability noted in the previous paragraph (and discussed further in </w:t>
      </w:r>
      <w:r>
        <w:rPr>
          <w:rFonts w:ascii="Georgia" w:eastAsia="Times New Roman" w:hAnsi="Georgia" w:cs="Calibri"/>
          <w:color w:val="2689C6"/>
          <w:sz w:val="20"/>
          <w:szCs w:val="20"/>
          <w:lang w:val="en"/>
        </w:rPr>
        <w:t>Chapter 23 "Partnership Operation and Termination"</w:t>
      </w:r>
      <w:r>
        <w:rPr>
          <w:rFonts w:ascii="Georgia" w:eastAsia="Times New Roman" w:hAnsi="Georgia" w:cs="Calibri"/>
          <w:color w:val="333333"/>
          <w:sz w:val="20"/>
          <w:szCs w:val="20"/>
          <w:lang w:val="en"/>
        </w:rPr>
        <w:t>). This is a very important point and a primary weakness of the partnership form: all partners are, and each one of them is, ultimately personally liable for the obligations of the partnership, without limit, which includes personal and unlimited liability. This personal liability is very distasteful, and it has been abolished, subject to some exceptions, with limited partnerships and limited liability companies, as discussed in </w:t>
      </w:r>
      <w:r>
        <w:rPr>
          <w:rFonts w:ascii="Georgia" w:eastAsia="Times New Roman" w:hAnsi="Georgia" w:cs="Calibri"/>
          <w:color w:val="2689C6"/>
          <w:sz w:val="20"/>
          <w:szCs w:val="20"/>
          <w:lang w:val="en"/>
        </w:rPr>
        <w:t>Chapter 24 "Hybrid Business Forms"</w:t>
      </w:r>
      <w:r>
        <w:rPr>
          <w:rFonts w:ascii="Georgia" w:eastAsia="Times New Roman" w:hAnsi="Georgia" w:cs="Calibri"/>
          <w:color w:val="333333"/>
          <w:sz w:val="20"/>
          <w:szCs w:val="20"/>
          <w:lang w:val="en"/>
        </w:rPr>
        <w:t>. And, of course, the owners of corporations are also not generally liable for the corporation’s obligations, which is a major reason for the corporate form’s popularity.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 Accounting Purposes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versions of the law, the partnership may keep business records as if it were a separate entity, and its accountants may treat it as such for purposes of preparing income statements and balance sheets.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 Purposes of Taxation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versions of the law, partnerships are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taxable entities, so they do not pay income taxes. Instead, each partner’s distributive share, which includes income or other gain, loss, deductions, and credits, must be included in the partner’s personal income tax return, whether or not the share is actually distributed.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 Purposes of Litigation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litigation, the aggregate theory causes some inconvenience in naming and serving partnership defendants: under UPA, lawsuits to enforce a partnership contract or some other right must be filed in the name of all the partners. Similarly, to sue a partnership, the plaintiff must name and sue each of the partners. This cumbersome procedure was modified in many states, which enacted special statutes expressly permitting suits by and against partnerships in the firm name. In suits on a claim in federal court, a partnership may sue and be sued in its common name. The move by RUPA to make partnerships entities changed very little. Certainly it provides that “a partnership may sue and be sued in the name of the partnership”—that’s handy where the plaintiff hopes for a judgment against the partnership, without recourse to the individual partners’ personal assets.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But a plaintiff must still name the partnership and the partners individually to have access to both estates, the partnership and the individuals’: “A judgment against a partnership is not by itself a judgment against a partner. A judgment against a partnership may not be satisfied from a partner’s assets unless there is also a judgment against the partner.”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 Purposes of Owning Real Estate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Aggregate theory concepts bedeviled property co-ownership issues, so UPA finessed the issue by stating that partnership property, real or personal, could be held in the name of the partners as “tenants in partnership”—a type of co-ownership—or it could be held in the name of the partnership.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Under RUPA, “property acquired by the partnership is property of the partnership and not of the partners.”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But RUPA is no different from UPA in practical effect. The latter provides that “property originally brought into the partnership stock or subsequently acquired by purchase…on account of the partnership, is partnership property.”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Under either law, a partner may bring onto the partnership premises her own property, not acquired in the name of the partnership or with its credit, and it remains her separate property. Under neither law can a partner unilaterally dispose of partnership property, however labeled, for the obvious reason that one cannot dispose of another’s property or property rights without permission.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And keep in mind that partnership law is the default: partners are free to make up partnership agreements as they like, subject to some limitations. They are free to set up property ownership rules as they like.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 Purposes of Bankruptcy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federal bankruptcy law—state partnership law is preempted—a partnership is an entity that may voluntarily seek the haven of a bankruptcy court or that may involuntarily be thrust into a bankruptcy proceeding by its creditors. The partnership cannot discharge its debts in a liquidation proceeding under Chapter 7 of the bankruptcy law, but it can be rehabilitated under Chapter 11 (see </w:t>
      </w:r>
      <w:r>
        <w:rPr>
          <w:rFonts w:ascii="Georgia" w:eastAsia="Times New Roman" w:hAnsi="Georgia" w:cs="Calibri"/>
          <w:color w:val="2689C6"/>
          <w:sz w:val="20"/>
          <w:szCs w:val="20"/>
          <w:lang w:val="en"/>
        </w:rPr>
        <w:t>Chapter 35 "Bankruptcy"</w:t>
      </w:r>
      <w:r>
        <w:rPr>
          <w:rFonts w:ascii="Georgia" w:eastAsia="Times New Roman" w:hAnsi="Georgia" w:cs="Calibri"/>
          <w:color w:val="333333"/>
          <w:sz w:val="20"/>
          <w:szCs w:val="20"/>
          <w:lang w:val="en"/>
        </w:rPr>
        <w:t>).</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Partnership law is very important because it is the way most small businesses are organized and because it is possible for a person to become a partner without intending to. Partnership law goes back a long way, but in the United States, most states—but not all—have adopted the Revised Uniform Partnership Act (RUPA, 1997) over the previous Uniform Partnership Act, originally promulgated in 1914. One salient change made by RUPA is to directly announce that a partnership is an entity: it is like a person for purposes of accounting, litigation, bankruptcy, and owning real estate. Partnerships do not pay taxes; the individual partners do. But in practical terms, what RUPA does is codify already-existing state law on these matters, and partners are free to organize their relationship as they like in the partnership agreement.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3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was UPA set out for states to adopt? When was RUPA promulgated for state adoption?</w:t>
      </w:r>
    </w:p>
    <w:p w:rsidR="00A86150" w:rsidRDefault="00F714D4">
      <w:pPr>
        <w:numPr>
          <w:ilvl w:val="0"/>
          <w:numId w:val="536"/>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it mean to say that the partnership act is the “default position”? For what types of partnership is UPA (or RUPA) likely to be of most importance?</w:t>
      </w:r>
    </w:p>
    <w:p w:rsidR="00A86150" w:rsidRDefault="00F714D4">
      <w:pPr>
        <w:numPr>
          <w:ilvl w:val="0"/>
          <w:numId w:val="536"/>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aggregate theory of partnership? The entity theory?</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Revised Uniform Partnership Act, Section 202(a).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NCCUSL, Uniform Law Commission, “Acts: Partnership Act,”</w:t>
      </w:r>
      <w:hyperlink r:id="rId57" w:tgtFrame="_blank" w:history="1">
        <w:r>
          <w:rPr>
            <w:rStyle w:val="Hyperlink"/>
            <w:rFonts w:ascii="Calibri" w:eastAsia="Times New Roman" w:hAnsi="Calibri" w:cs="Calibri"/>
            <w:color w:val="2689C6"/>
            <w:sz w:val="20"/>
            <w:szCs w:val="20"/>
          </w:rPr>
          <w:t>http://www.nccusl.org/Act.aspx?title=Partnership%20Act</w:t>
        </w:r>
      </w:hyperlink>
      <w:r>
        <w:rPr>
          <w:rFonts w:ascii="Calibri" w:eastAsia="Times New Roman" w:hAnsi="Calibri" w:cs="Calibri"/>
          <w:color w:val="333333"/>
          <w:sz w:val="20"/>
          <w:szCs w:val="20"/>
        </w:rPr>
        <w:t>. The following states </w:t>
      </w:r>
      <w:r>
        <w:rPr>
          <w:rFonts w:ascii="Calibri" w:eastAsia="Times New Roman" w:hAnsi="Calibri" w:cs="Calibri"/>
          <w:i/>
          <w:iCs/>
          <w:color w:val="333333"/>
          <w:sz w:val="20"/>
          <w:szCs w:val="20"/>
        </w:rPr>
        <w:t>have</w:t>
      </w:r>
      <w:r>
        <w:rPr>
          <w:rFonts w:ascii="Calibri" w:eastAsia="Times New Roman" w:hAnsi="Calibri" w:cs="Calibri"/>
          <w:color w:val="333333"/>
          <w:sz w:val="20"/>
          <w:szCs w:val="20"/>
        </w:rPr>
        <w:t>adopted the RUPA: Alabama, Alaska, Arizona, Arkansas, California, Colorado, Delaware, District of Columbia, Florida, Hawaii, Idaho, Illinois, Iowa, Kansas, Kentucky, Maine, Maryland, Minnesota, Mississippi, Montana, Nebraska, Nevada, New Jersey, New Mexico, North Dakota, Oklahoma, Oregon, Puerto Rico, South Dakota (substantially similar), Tennessee, Texas (substantially similar), US Virgin Islands, Vermont, Virginia, and Washington. Connecticut, West Virginia, and Wyoming adopted the 1992 or 1994 version. Here are the states that have </w:t>
      </w:r>
      <w:r>
        <w:rPr>
          <w:rFonts w:ascii="Calibri" w:eastAsia="Times New Roman" w:hAnsi="Calibri" w:cs="Calibri"/>
          <w:i/>
          <w:iCs/>
          <w:color w:val="333333"/>
          <w:sz w:val="20"/>
          <w:szCs w:val="20"/>
        </w:rPr>
        <w:t>not</w:t>
      </w:r>
      <w:r>
        <w:rPr>
          <w:rFonts w:ascii="Calibri" w:eastAsia="Times New Roman" w:hAnsi="Calibri" w:cs="Calibri"/>
          <w:color w:val="333333"/>
          <w:sz w:val="20"/>
          <w:szCs w:val="20"/>
        </w:rPr>
        <w:t> adopted RUPA (Louisiana never adopted UPA at all): Georgia, Indiana, Massachusetts, Michigan, Mississippi, New Hampshire, New York, North Carolina, Ohio, Pennsylvania, Rhode Island, and Wisconsin.</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University of Pennsylvania Law School, Biddle Law Library, “Uniform Partnership Act (1997),” NCCUSL Archives,</w:t>
      </w:r>
      <w:hyperlink r:id="rId58" w:tgtFrame="_blank" w:history="1">
        <w:r>
          <w:rPr>
            <w:rStyle w:val="Hyperlink"/>
            <w:rFonts w:ascii="Calibri" w:eastAsia="Times New Roman" w:hAnsi="Calibri" w:cs="Calibri"/>
            <w:color w:val="2689C6"/>
            <w:sz w:val="20"/>
            <w:szCs w:val="20"/>
          </w:rPr>
          <w:t>http://www.law.upenn.edu/bll/archives/ulc/fnact99/1990s/upa97fa.pdf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University of Pennsylvania Law School, Biddle Law Library, “Uniform Partnership Act (1997),” NCCUSL Archives,</w:t>
      </w:r>
      <w:hyperlink r:id="rId59" w:tgtFrame="_blank" w:history="1">
        <w:r>
          <w:rPr>
            <w:rStyle w:val="Hyperlink"/>
            <w:rFonts w:ascii="Calibri" w:eastAsia="Times New Roman" w:hAnsi="Calibri" w:cs="Calibri"/>
            <w:color w:val="2689C6"/>
            <w:sz w:val="20"/>
            <w:szCs w:val="20"/>
          </w:rPr>
          <w:t>http://www.law.upenn.edu/bll/archives/ulc/fnact99/1990s/upa97fa.pdf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RUPA, Section 201(a).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RUPA, Section 307(a).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RUPA, Section 307(c).</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Uniform Partnership Act, Section 25(1); UPA, Section 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RUPA, Section 203.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UPA, Section 8(1).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UPA, Sections 9(3)(a) and 25; RUPA, Section 302.</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22.2 Partnership Formation</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37"/>
        </w:numPr>
        <w:shd w:val="clear" w:color="auto" w:fill="EAE9DC"/>
        <w:tabs>
          <w:tab w:val="clear" w:pos="720"/>
          <w:tab w:val="num" w:pos="252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creation of an express partnership.</w:t>
      </w:r>
    </w:p>
    <w:p w:rsidR="00A86150" w:rsidRDefault="00F714D4">
      <w:pPr>
        <w:numPr>
          <w:ilvl w:val="0"/>
          <w:numId w:val="537"/>
        </w:numPr>
        <w:shd w:val="clear" w:color="auto" w:fill="EAE9DC"/>
        <w:tabs>
          <w:tab w:val="clear" w:pos="720"/>
          <w:tab w:val="num" w:pos="216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creation of an implied partnership.</w:t>
      </w:r>
    </w:p>
    <w:p w:rsidR="00A86150" w:rsidRDefault="00F714D4">
      <w:pPr>
        <w:numPr>
          <w:ilvl w:val="0"/>
          <w:numId w:val="537"/>
        </w:numPr>
        <w:shd w:val="clear" w:color="auto" w:fill="EAE9DC"/>
        <w:tabs>
          <w:tab w:val="clear" w:pos="720"/>
          <w:tab w:val="num" w:pos="180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tests of partnership existence.</w:t>
      </w:r>
    </w:p>
    <w:p w:rsidR="00A86150" w:rsidRDefault="00F714D4">
      <w:pPr>
        <w:numPr>
          <w:ilvl w:val="0"/>
          <w:numId w:val="537"/>
        </w:numPr>
        <w:shd w:val="clear" w:color="auto" w:fill="EAE9DC"/>
        <w:tabs>
          <w:tab w:val="clear" w:pos="720"/>
          <w:tab w:val="num" w:pos="1440"/>
        </w:tabs>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partnership by estoppel.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of an Express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 in General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way of forming a partnership is expressly—that is, in words, orally or in writing. Such a partnership is called an express partnership. If parties have an express partnership with no partnership agreement, the relevant law—the Uniform Partnership Act (UPA) or the Revised Uniform Partnership Act (RUPA)—applies the governing rules.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Assume that three persons have decided to form a partnership to run a car dealership. Able contributes $250,000. Baker contributes the building and space in which the business will operate. Carr contributes his services; he will manage the dealership.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question is whether Able, Baker, and Carr must have a partnership agreement. As should be clear from the foregoing discussion, no agreement is necessary as long as the tests of partnership are met. However, they </w:t>
      </w:r>
      <w:r>
        <w:rPr>
          <w:rFonts w:ascii="Georgia" w:eastAsia="Times New Roman" w:hAnsi="Georgia" w:cs="Calibri"/>
          <w:i/>
          <w:iCs/>
          <w:color w:val="333333"/>
          <w:sz w:val="20"/>
          <w:szCs w:val="20"/>
          <w:lang w:val="en"/>
        </w:rPr>
        <w:t>ought</w:t>
      </w:r>
      <w:r>
        <w:rPr>
          <w:rFonts w:ascii="Georgia" w:eastAsia="Times New Roman" w:hAnsi="Georgia" w:cs="Calibri"/>
          <w:color w:val="333333"/>
          <w:sz w:val="20"/>
          <w:szCs w:val="20"/>
          <w:lang w:val="en"/>
        </w:rPr>
        <w:t> to have an agreement in order to spell out their rights and duties among themselves.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agreement itself is a contract and should follow the principles and rules spelled out in </w:t>
      </w:r>
      <w:r>
        <w:rPr>
          <w:rFonts w:ascii="Georgia" w:eastAsia="Times New Roman" w:hAnsi="Georgia" w:cs="Calibri"/>
          <w:color w:val="2689C6"/>
          <w:sz w:val="20"/>
          <w:szCs w:val="20"/>
          <w:lang w:val="en"/>
        </w:rPr>
        <w:t>Chapter 8 "Introduction to Contract Law"</w:t>
      </w:r>
      <w:r>
        <w:rPr>
          <w:rFonts w:ascii="Georgia" w:eastAsia="Times New Roman" w:hAnsi="Georgia" w:cs="Calibri"/>
          <w:color w:val="333333"/>
          <w:sz w:val="20"/>
          <w:szCs w:val="20"/>
          <w:lang w:val="en"/>
        </w:rPr>
        <w:t> through </w:t>
      </w:r>
      <w:r>
        <w:rPr>
          <w:rFonts w:ascii="Georgia" w:eastAsia="Times New Roman" w:hAnsi="Georgia" w:cs="Calibri"/>
          <w:color w:val="2689C6"/>
          <w:sz w:val="20"/>
          <w:szCs w:val="20"/>
          <w:lang w:val="en"/>
        </w:rPr>
        <w:t>Chapter 16 "Remedies"</w:t>
      </w:r>
      <w:r>
        <w:rPr>
          <w:rFonts w:ascii="Georgia" w:eastAsia="Times New Roman" w:hAnsi="Georgia" w:cs="Calibri"/>
          <w:color w:val="333333"/>
          <w:sz w:val="20"/>
          <w:szCs w:val="20"/>
          <w:lang w:val="en"/>
        </w:rPr>
        <w:t> of this book. Because it is intended to govern the relations of the partners toward themselves and their business, every partnership contract should set forth clearly the following terms: (1) the name under which the partners will do business; (2) the names of the partners; (3) the nature, scope, and location of the business; (4) the capital contributions of each partner; (5) how profits and losses are to be divided; (6) how salaries, if any, are to be determined; (7) the responsibilities of each partner for managing the business; (8) limitations on the power of each partner to bind the firm; (9) the method by which a given partner may withdraw from the partnership; (10) continuation of the firm in the event of a partner’s death and the formula for paying a partnership interest to his heirs; and (11) method of dissolution.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Specific Issues of Concern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forming a partnership, three of these items merit special attention. And note again that if the parties do not provide for these in their agreement, RUPA will do it for them as the default.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Who Can Be a Partner?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discussed earlier in this chapter, a partnership is not limited to a direct association between human beings but may also include an association between other entities, such as corporations or even partnerships themselves.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Family members can be partners, and partnerships between parents and minor children are lawful, although a partner who is a minor may disaffirm the agreement.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Written versus Oral Agreements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business cannot be performed within one year from the time that the agreement is entered into, the partnership agreement should be in writing to avoid invalidation under the Statute of Frauds. Most partnerships have no fixed term, however, and are partnerships “at will” and therefore not covered by the Statute of Frauds.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Validity of the Partnership Name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Able, Baker, and Carr decide that it makes good business sense to choose an imposing, catchy, and well-known name for their dealership—General Motors Corporation. There are two reasons why they cannot do so. First, their business is a partnership, not a corporation, and should not be described as one. Second, the name is deceptive because it is the name of an existing business. Furthermore, if not registered, the name would violate the assumed or fictitious name statutes of most states. These require that anyone doing business under a name other than his real name register the name, together with the names and addresses of the proprietors, in some public office. (Often, the statutes require the proprietors to publish this information in the newspapers when the business is started.) As </w:t>
      </w:r>
      <w:r>
        <w:rPr>
          <w:rFonts w:ascii="Georgia" w:eastAsia="Times New Roman" w:hAnsi="Georgia" w:cs="Calibri"/>
          <w:i/>
          <w:iCs/>
          <w:color w:val="333333"/>
          <w:sz w:val="20"/>
          <w:szCs w:val="20"/>
          <w:lang w:val="en"/>
        </w:rPr>
        <w:t>Loomis v. Whitehead</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22.3.2 "Creation of a Partnership: Registering the Name"</w:t>
      </w:r>
      <w:r>
        <w:rPr>
          <w:rFonts w:ascii="Georgia" w:eastAsia="Times New Roman" w:hAnsi="Georgia" w:cs="Calibri"/>
          <w:color w:val="333333"/>
          <w:sz w:val="20"/>
          <w:szCs w:val="20"/>
          <w:lang w:val="en"/>
        </w:rPr>
        <w:t> shows, if a business fails to comply with the statute, it could find that it will be unable to file suit to enforce its contracts.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of Implied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implied partnership exists when in fact there are two or more persons carrying on a business as co-owners for profit. For example, Carlos decides to paint houses during his summer break. He gathers some materials and gets several jobs. He hires Wally as a helper. Wally is very good, and pretty soon both of them are deciding what jobs to do and how much to charge, and they are splitting the profits. They have an implied partnership, without intending to create a partnership at all.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Tests of Partnership Existence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how do we know whether an implied partnership </w:t>
      </w:r>
      <w:r>
        <w:rPr>
          <w:rFonts w:ascii="Georgia" w:eastAsia="Times New Roman" w:hAnsi="Georgia" w:cs="Calibri"/>
          <w:i/>
          <w:iCs/>
          <w:color w:val="333333"/>
          <w:sz w:val="20"/>
          <w:szCs w:val="20"/>
          <w:lang w:val="en"/>
        </w:rPr>
        <w:t>has</w:t>
      </w:r>
      <w:r>
        <w:rPr>
          <w:rFonts w:ascii="Georgia" w:eastAsia="Times New Roman" w:hAnsi="Georgia" w:cs="Calibri"/>
          <w:color w:val="333333"/>
          <w:sz w:val="20"/>
          <w:szCs w:val="20"/>
          <w:lang w:val="en"/>
        </w:rPr>
        <w:t> been created? Obviously, we know if there is an express agreement. But partnerships can come into existence quite informally, indeed, without any formality—they can be created accidentally. In contrast to the corporation, which is the creature of statute, partnership is a catchall term for a large variety of working relationships, and frequently, uncertainties arise about whether or not a particular relationship is that of partnership. The law can reduce the uncertainty in advance only at the price of severely restricting the flexibility of people to associate. As the chief drafter of the Uniform Partnership Act (UPA, 1914) explained,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other business associations are statutory in origin. They are formed by the happening of an event designated in a statute as necessary to their formation. In corporations this act may be the issuing of a charter by the proper officer of the state; in limited partnerships, the filing by the associates of a specified document in a public office. On the other hand, an infinite number of combinations of circumstances may result in co-ownership of a business. Partnership is the residuum, including all forms of co-ownership, of a business except those business associations organized under a specific statute.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22.1</w:t>
      </w:r>
      <w:r>
        <w:rPr>
          <w:rFonts w:ascii="Georgia" w:eastAsia="Times New Roman" w:hAnsi="Georgia" w:cs="Calibri"/>
          <w:i/>
          <w:iCs/>
          <w:color w:val="BB9966"/>
          <w:sz w:val="21"/>
          <w:szCs w:val="21"/>
          <w:lang w:val="en"/>
        </w:rPr>
        <w:t> Partnership Tests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2228850"/>
            <wp:effectExtent l="0" t="0" r="0" b="0"/>
            <wp:docPr id="115" name="Picture 27" descr="http://images.flatworldknowledge.com/mayerlawentrep/mayerlawentrep-fig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lawentrep/mayerlawentrep-fig40_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228850"/>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it is frequently important to know whether a partnership exists (as when a creditor has dealt with only one party but wishes to also hold others liable by claiming they were partners, see </w:t>
      </w:r>
      <w:r>
        <w:rPr>
          <w:rFonts w:ascii="Georgia" w:eastAsia="Times New Roman" w:hAnsi="Georgia" w:cs="Calibri"/>
          <w:color w:val="2689C6"/>
          <w:sz w:val="20"/>
          <w:szCs w:val="20"/>
          <w:lang w:val="en"/>
        </w:rPr>
        <w:t>Section 22.3.1 "Tests of Partnership Existence"</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Chaiken v. Employment Security Commission</w:t>
      </w:r>
      <w:r>
        <w:rPr>
          <w:rFonts w:ascii="Georgia" w:eastAsia="Times New Roman" w:hAnsi="Georgia" w:cs="Calibri"/>
          <w:color w:val="333333"/>
          <w:sz w:val="20"/>
          <w:szCs w:val="20"/>
          <w:lang w:val="en"/>
        </w:rPr>
        <w:t>), a number of tests have been established that are clues to the existence of a partnership (see </w:t>
      </w:r>
      <w:r>
        <w:rPr>
          <w:rFonts w:ascii="Georgia" w:eastAsia="Times New Roman" w:hAnsi="Georgia" w:cs="Calibri"/>
          <w:color w:val="2689C6"/>
          <w:sz w:val="20"/>
          <w:szCs w:val="20"/>
          <w:lang w:val="en"/>
        </w:rPr>
        <w:t>Figure 22.1 "Partnership Tests"</w:t>
      </w:r>
      <w:r>
        <w:rPr>
          <w:rFonts w:ascii="Georgia" w:eastAsia="Times New Roman" w:hAnsi="Georgia" w:cs="Calibri"/>
          <w:color w:val="333333"/>
          <w:sz w:val="20"/>
          <w:szCs w:val="20"/>
          <w:lang w:val="en"/>
        </w:rPr>
        <w:t>). We return to the definition of a partnership: “the association of two or more persons to carry on as co-owners a business for profit[.]” The three elements are (1) the association of persons, (2) as co-owners, (3) for profit.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Association of Persons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element is pretty obvious. A partnership is a contractual agreement among persons, so the persons involved need to have </w:t>
      </w:r>
      <w:r>
        <w:rPr>
          <w:rFonts w:ascii="Georgia" w:eastAsia="Times New Roman" w:hAnsi="Georgia" w:cs="Calibri"/>
          <w:i/>
          <w:iCs/>
          <w:color w:val="333333"/>
          <w:sz w:val="20"/>
          <w:szCs w:val="20"/>
          <w:lang w:val="en"/>
        </w:rPr>
        <w:t>capacity</w:t>
      </w:r>
      <w:r>
        <w:rPr>
          <w:rFonts w:ascii="Georgia" w:eastAsia="Times New Roman" w:hAnsi="Georgia" w:cs="Calibri"/>
          <w:color w:val="333333"/>
          <w:sz w:val="20"/>
          <w:szCs w:val="20"/>
          <w:lang w:val="en"/>
        </w:rPr>
        <w:t> to contract. But RUPA does not provide that only </w:t>
      </w:r>
      <w:r>
        <w:rPr>
          <w:rFonts w:ascii="Georgia" w:eastAsia="Times New Roman" w:hAnsi="Georgia" w:cs="Calibri"/>
          <w:i/>
          <w:iCs/>
          <w:color w:val="333333"/>
          <w:sz w:val="20"/>
          <w:szCs w:val="20"/>
          <w:lang w:val="en"/>
        </w:rPr>
        <w:t>natural</w:t>
      </w:r>
      <w:r>
        <w:rPr>
          <w:rFonts w:ascii="Georgia" w:eastAsia="Times New Roman" w:hAnsi="Georgia" w:cs="Calibri"/>
          <w:color w:val="333333"/>
          <w:sz w:val="20"/>
          <w:szCs w:val="20"/>
          <w:lang w:val="en"/>
        </w:rPr>
        <w:t> persons can be partners; it defines </w:t>
      </w:r>
      <w:r>
        <w:rPr>
          <w:rFonts w:ascii="Georgia" w:eastAsia="Times New Roman" w:hAnsi="Georgia" w:cs="Calibri"/>
          <w:i/>
          <w:iCs/>
          <w:color w:val="333333"/>
          <w:sz w:val="20"/>
          <w:szCs w:val="20"/>
          <w:lang w:val="en"/>
        </w:rPr>
        <w:t>person</w:t>
      </w:r>
      <w:r>
        <w:rPr>
          <w:rFonts w:ascii="Georgia" w:eastAsia="Times New Roman" w:hAnsi="Georgia" w:cs="Calibri"/>
          <w:color w:val="333333"/>
          <w:sz w:val="20"/>
          <w:szCs w:val="20"/>
          <w:lang w:val="en"/>
        </w:rPr>
        <w:t> as follows: “‘Person’ means an individual, corporation, business trust, estate, trust, partnership, association, joint venture, government, governmental subdivision, agency, or instrumentality, or any other legal or commercial entity.”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Thus unless state law precludes it, a corporation can be a partner in a partnership. The same is true under UPA.</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Co-owners of a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what two or more people own is clearly a business—including capital assets, contracts with employees or agents, an income stream, and debts incurred on behalf of the operation—a partnership exists. A tougher question arises when two or more persons co-own property. Do they automatically become partners? The answer can be important: if one of the owners while doing business pertinent to the property injures a stranger, the latter could sue the other owners if there is a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Co-ownership comes in many guises. The four most common are joint tenancy, tenancy in common, tenancy by the entireties, and community property. In joint tenancy, the owners hold the property under a single instrument, such as a deed, and if one dies, the others automatically become owners of the deceased’s share, which does not descend to his heirs. Tenancy in common has the reverse rule: the survivor tenants do not take the deceased’s share. Each tenant in common has a distinct estate in the property. The tenancy by the entirety and community property (in community-property states) forms of ownership are limited to spouses, and their effects are similar to that of joint tenancy.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a husband and wife who own their home as tenants by the entirety (or community property) decide to spend the summer at the seashore and rent their home for three months. Is their co-ownership sufficient to establish that they are partners? The answer is no. By UPA Section 7(2) and RUPA Section 202(b)(1), the various forms of joint ownership by themselves do not establish partnership, whether or not the co-owners share profits made by the use of the property. To establish a partnership, the ownership must be of a business, not merely of property.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Sharing of Profits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aspects to consider with regard to profits: first, whether the business is for-profit, and second, whether there is a sharing of the profit.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Business for Profit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Unincorporated nonprofit organizations (UNAs) cannot be partnerships. The paucity of coherent law governing these organizations gave rise in 2005 to the National Conference of Commissioners of Uniform Laws’ promulgation of the Revised Uniform Unincorporated Nonprofit Association Act (RUUNAA). The prefatory note to this act says, “RUUNAA was drafted with small informal associations in mind. These informal organizations are likely to have no legal advice and so fail to consider legal and organizational questions, including whether to incorporate. The act provides better answers than the common law for a limited number of legal problems…There are probably hundreds of thousands of UNAs in the United States including unincorporated nonprofit philanthropic, educational, scientific and literary clubs, sporting organizations, unions, trade associations, political organizations, churches, hospitals, and condominium and neighborhood associations.”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At least twelve states have adopted RUUNAA or its predecessor.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Sharing the Profit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While co-ownership does not establish a partnership unless there is a business, a business by itself is not a partnership unless co-ownership is present. Of the tests used by courts to determine co-ownership, perhaps the most important is sharing of profits. Section 202(c) of RUPA provides that “a person who receives a share of the profits of a business is presumed to be a partner in the business,” but this presumption can be rebutted by showing that the share of the profits paid out was (1) to repay a debt; (2) wages or compensation to an independent contractor; (3) rent; (4) an annuity, retirement, or health benefit to a representative of a deceased or retired partner; (5) interest on a loan, or rights to income, proceeds, or increase in value from collateral; or (5) for the sale of the goodwill of a business or other property. Section 7(4) of UPA is to the same effect.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Factors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are not limited to the profit-sharing test; they also look at these factors, among others: the right to participate in decision making, the duty to share liabilities, and the manner in which the business is operated. </w:t>
      </w:r>
      <w:r>
        <w:rPr>
          <w:rFonts w:ascii="Georgia" w:eastAsia="Times New Roman" w:hAnsi="Georgia" w:cs="Calibri"/>
          <w:color w:val="2689C6"/>
          <w:sz w:val="20"/>
          <w:szCs w:val="20"/>
          <w:lang w:val="en"/>
        </w:rPr>
        <w:t>Section 22.3.1 "Tests of Partnership Existence"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Chaiken v. Employment Security Commission</w:t>
      </w:r>
      <w:r>
        <w:rPr>
          <w:rFonts w:ascii="Georgia" w:eastAsia="Times New Roman" w:hAnsi="Georgia" w:cs="Calibri"/>
          <w:color w:val="333333"/>
          <w:sz w:val="20"/>
          <w:szCs w:val="20"/>
          <w:lang w:val="en"/>
        </w:rPr>
        <w:t>, illustrates how these factors are weighed in court.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of Partnership by Estoppel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if two people are not legally partners, then third parties cannot so regard them. For example, Mr. Tot and Mr. Tut own equal shares of a house that they rent but do not regard it as a business and are not in fact partners. They do have a loose “understanding” that since Mr. Tot is mechanically adept, he will make necessary repairs whenever the tenants call. On his way to the house one day to fix its boiler, Mr. Tot injures a pedestrian, who sues both Mr. Tot and Mr. Tut. Since they are not partners, the pedestrian cannot sue them as if they were; hence Mr. Tut has no partnership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Mr. Tot and Mr. Tut happened to go to a lumberyard together to purchase materials that Mr. Tot intended to use to add a room to the house. Short of cash, Mr. Tot looks around and espies Mr. Tat, who greets his two friends heartily by saying within earshot of the salesman who is debating whether to extend credit, “Well, how are my two partners this morning?” Messrs. Tot and Tut say nothing but smile faintly at the salesman, who mistakenly but reasonably believes that the two are acknowledging the partnership. The salesman knows Mr. Tat well and assumes that since Mr. Tat is rich, extending credit to the “partnership” is a “sure thing.” Messrs. Tot and Tut fail to pay. The lumberyard is entitled to collect from Mr. Tat, even though he may have forgotten completely about the incident by the time suit is filed. Under Uniform Partnership Act Section 16(1), Mr. Tat would be liable for the debt as being part of a partnership by estoppel. The Revised Uniform Partnership Act is to the same effect: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308. Liability of Purported Partner.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 by estoppel has two elements: (1) a representation to a third party that there is in fact a partnership and (2) reliance by the third party on the representation. See </w:t>
      </w:r>
      <w:r>
        <w:rPr>
          <w:rFonts w:ascii="Georgia" w:eastAsia="Times New Roman" w:hAnsi="Georgia" w:cs="Calibri"/>
          <w:color w:val="2689C6"/>
          <w:sz w:val="20"/>
          <w:szCs w:val="20"/>
          <w:lang w:val="en"/>
        </w:rPr>
        <w:t>Section 22.3.3 "Partnership by Estoppel"</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Chavers v. Epsco, Inc.</w:t>
      </w:r>
      <w:r>
        <w:rPr>
          <w:rFonts w:ascii="Georgia" w:eastAsia="Times New Roman" w:hAnsi="Georgia" w:cs="Calibri"/>
          <w:color w:val="333333"/>
          <w:sz w:val="20"/>
          <w:szCs w:val="20"/>
          <w:lang w:val="en"/>
        </w:rPr>
        <w:t>, for an example of partnership by estoppel.</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partnership is any two or more persons—including corporate persons—carrying on a business as co-owners for profit. A primary test of whether a partnership exists is whether there is a sharing of profits, though other factors such as sharing decision making, sharing liabilities, and how the business is operated are also examined.</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Most partnerships are expressly created. Several factors become important in the partnership agreement, whether written or oral. These include the name of the business, the capital contributions of each partner, profit sharing, and decision making. But a partnership can also arise by implication or by estoppel, where one has held herself as a partner and another has relied on that representation.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necessary—or at least useful—to have tests to determine whether a partnership exists?</w:t>
      </w:r>
    </w:p>
    <w:p w:rsidR="00A86150" w:rsidRDefault="00F714D4">
      <w:pPr>
        <w:numPr>
          <w:ilvl w:val="0"/>
          <w:numId w:val="5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elements of the business organization are examined to make this determination?</w:t>
      </w:r>
    </w:p>
    <w:p w:rsidR="00A86150" w:rsidRDefault="00F714D4">
      <w:pPr>
        <w:numPr>
          <w:ilvl w:val="0"/>
          <w:numId w:val="5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Jacob rents farmland from Davis and pays Davis a part of the profits from the crop in rent. Is Davis a partner? What if Davis offers suggestions on what to plant and when? Now is he a partner?</w:t>
      </w:r>
    </w:p>
    <w:p w:rsidR="00A86150" w:rsidRDefault="00F714D4">
      <w:pPr>
        <w:numPr>
          <w:ilvl w:val="0"/>
          <w:numId w:val="5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elements should be included in a written partnership agreement?</w:t>
      </w:r>
    </w:p>
    <w:p w:rsidR="00A86150" w:rsidRDefault="00F714D4">
      <w:pPr>
        <w:numPr>
          <w:ilvl w:val="0"/>
          <w:numId w:val="538"/>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an implied partnership?</w:t>
      </w:r>
    </w:p>
    <w:p w:rsidR="00A86150" w:rsidRDefault="00F714D4">
      <w:pPr>
        <w:numPr>
          <w:ilvl w:val="0"/>
          <w:numId w:val="538"/>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partnership by estoppel, and why are its “partners” estopped to deny its existence?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7"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 </w:t>
      </w:r>
      <w:r>
        <w:rPr>
          <w:rFonts w:ascii="Calibri" w:eastAsia="Times New Roman" w:hAnsi="Calibri" w:cs="Calibri"/>
          <w:b/>
          <w:bCs/>
          <w:color w:val="333333"/>
          <w:sz w:val="20"/>
          <w:szCs w:val="20"/>
        </w:rPr>
        <w:t>joint venture</w:t>
      </w:r>
      <w:r>
        <w:rPr>
          <w:rFonts w:ascii="Calibri" w:eastAsia="Times New Roman" w:hAnsi="Calibri" w:cs="Calibri"/>
          <w:color w:val="333333"/>
          <w:sz w:val="20"/>
          <w:szCs w:val="20"/>
        </w:rPr>
        <w:t>—sometimes known as a joint adventure, coadventure, joint enterprise, joint undertaking, syndicate, group, or pool—is an association of persons to carry on a particular task until completed. In essence, a joint venture is a “temporary partnership.” In the United States, the use of joint ventures began with the railroads in the late 1800s. Throughout the middle part of the twentieth century joint ventures were common in the manufacturing sector. By the late 1980s, they increasingly appeared in both manufacturing and service industries as businesses looked for new, competitive strategies. They are aggressively promoted on the Internet: “Joint Ventures are in, and if you’re not utilizing this strategic weapon, chances are your competition is, or will soon be, using this to their advantage.…possibly against you!” (Scott Allen, “Joint Venturing 101,” About.com Entrepreneurs,</w:t>
      </w:r>
      <w:hyperlink r:id="rId61" w:tgtFrame="_blank" w:history="1">
        <w:r>
          <w:rPr>
            <w:rStyle w:val="Hyperlink"/>
            <w:rFonts w:ascii="Calibri" w:eastAsia="Times New Roman" w:hAnsi="Calibri" w:cs="Calibri"/>
            <w:color w:val="2689C6"/>
            <w:sz w:val="20"/>
            <w:szCs w:val="20"/>
          </w:rPr>
          <w:t>http://entrepreneurs.about.com/od/beyondstartup/a/jointventures.htm</w:t>
        </w:r>
      </w:hyperlink>
      <w:r>
        <w:rPr>
          <w:rFonts w:ascii="Calibri" w:eastAsia="Times New Roman" w:hAnsi="Calibri" w:cs="Calibri"/>
          <w:color w:val="333333"/>
          <w:sz w:val="20"/>
          <w:szCs w:val="20"/>
        </w:rPr>
        <w:t>).As a risk-avoiding device, the joint venture allows two or more firms to pool their differing expertise so that neither needs to “learn the ropes” from the beginning; neither needs the entire capital to start the enterprise.Partnership rules generally apply, although the relationship of the joint venturers is closer to that of special than general agency as discussed in </w:t>
      </w:r>
      <w:r>
        <w:rPr>
          <w:rFonts w:ascii="Calibri" w:eastAsia="Times New Roman" w:hAnsi="Calibri" w:cs="Calibri"/>
          <w:color w:val="2689C6"/>
          <w:sz w:val="20"/>
          <w:szCs w:val="20"/>
        </w:rPr>
        <w:t>Chapter 20 "Relationships between Principal and Agent"</w:t>
      </w:r>
      <w:r>
        <w:rPr>
          <w:rFonts w:ascii="Calibri" w:eastAsia="Times New Roman" w:hAnsi="Calibri" w:cs="Calibri"/>
          <w:color w:val="333333"/>
          <w:sz w:val="20"/>
          <w:szCs w:val="20"/>
        </w:rPr>
        <w:t>. Joint venturers are fiduciaries toward one another. Although no formality is necessary, the associates will usually sign an agreement. The joint venture need have no group name, though it may have one. Property may be owned jointly. Profits and losses will be shared, as in a partnership, and each associate has the right to participate in management. Liability is unlimited.Sometimes two or more businesses will form a joint venture to carry out a specific task—prospecting for oil, building a nuclear reactor, doing basic scientific research—and will incorporate the joint venture. In that case, the resulting business—known as a “joint venture corporation”—is governed by corporation law, not the law of partnership, and is not a joint venture in the sense described here. Increasingly, companies are forming joint ventures to do business abroad; foreign investors or governments own significant interests in these joint ventures. For example, in 1984 General Motors entered into a joint venture with Toyota to revive GM’s shuttered Fremont, California, assembly plant to create New United Motor Manufacturing, Inc. (NUMMI). For GM the joint venture was an opportunity to learn about lean manufacturing from the Japanese company, while Toyota gained its first manufacturing base in North America and a chance to test its production system in an American labor environment. Until May 2010, when the copartnership ended and the plant closed, NUMMI built an average of six thousand vehicles a week, or nearly eight million cars and trucks. These vehicles were the Chevrolet Nova (1984–88), the Geo Prizm (1989–97), the Chevrolet Prizm (1998–2002), and the Hilux (1991–95, predecessor of the Tacoma), as well as the Toyota Voltz, the Japanese right-hand-drive version of the Pontiac Vibe. The latter two were based on the Toyota Matrix. Paul Stenquist, “GM and Toyota’s Joint Venture Ends in California,”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April 2, 2010,</w:t>
      </w:r>
      <w:hyperlink r:id="rId62" w:tgtFrame="_blank" w:history="1">
        <w:r>
          <w:rPr>
            <w:rStyle w:val="Hyperlink"/>
            <w:rFonts w:ascii="Calibri" w:eastAsia="Times New Roman" w:hAnsi="Calibri" w:cs="Calibri"/>
            <w:color w:val="2689C6"/>
            <w:sz w:val="20"/>
            <w:szCs w:val="20"/>
          </w:rPr>
          <w:t>http://wheels.blogs.nytimes.com/2010/04/02/g-m-and-toyotas-joint-venture-ends-in-california</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 D. Lewis, “The Uniform Partnership Act,” </w:t>
      </w:r>
      <w:r>
        <w:rPr>
          <w:rFonts w:ascii="Calibri" w:eastAsia="Times New Roman" w:hAnsi="Calibri" w:cs="Calibri"/>
          <w:i/>
          <w:iCs/>
          <w:color w:val="333333"/>
          <w:sz w:val="20"/>
          <w:szCs w:val="20"/>
        </w:rPr>
        <w:t>Yale Law Journal</w:t>
      </w:r>
      <w:r>
        <w:rPr>
          <w:rFonts w:ascii="Calibri" w:eastAsia="Times New Roman" w:hAnsi="Calibri" w:cs="Calibri"/>
          <w:color w:val="333333"/>
          <w:sz w:val="20"/>
          <w:szCs w:val="20"/>
        </w:rPr>
        <w:t> 24 (1915): 617, 622.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RUPA, Section 101(10).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Revised Uniform Unincorporated Nonprofit Associations Act,</w:t>
      </w:r>
      <w:hyperlink r:id="rId63" w:tgtFrame="_blank" w:history="1">
        <w:r>
          <w:rPr>
            <w:rStyle w:val="Hyperlink"/>
            <w:rFonts w:ascii="Calibri" w:eastAsia="Times New Roman" w:hAnsi="Calibri" w:cs="Calibri"/>
            <w:color w:val="2689C6"/>
            <w:sz w:val="20"/>
            <w:szCs w:val="20"/>
          </w:rPr>
          <w:t>http://www.abanet.org/intlaw/leadership/policy/RUUNAA_Final_08.pdf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22.3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Tests of Partnership Existence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Chaiken v. Employment Security Commission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274 A.2d 707 (Del. 1971)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STOREY,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Employment Security Commission, hereinafter referred to as the Commission, levied an involuntary assessment against Richard K. Chaiken, complainant, hereinafter referred to as Chaiken, for not filing his unemployment security assessment report. Pursuant to the same statutory section, a hearing was held and a determination made by the Commission that Chaiken was the employer of two barbers in his barber shop and that he should be assessed as an employer for his share of unemployment compensation contributions. Chaiken appealed the Commission’s decision.…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in the administrative hearing and in his appeal brief Chaiken argues that he had entered into partnership agreements with each of his barbers and, therefore, was and is not subject to unemployment compensation assessment. The burden is upon the individual assessed to show that he is outside the ambit of the statutory sections requiring assessment. If Chaiken’s partnership argument fails he has no secondary position and he fails to meet his burden.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Chaiken contends that he and his “partners”:</w:t>
      </w:r>
    </w:p>
    <w:p w:rsidR="00A86150" w:rsidRDefault="00F714D4">
      <w:pPr>
        <w:pStyle w:val="ListParagraph"/>
        <w:numPr>
          <w:ilvl w:val="0"/>
          <w:numId w:val="539"/>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properly registered the partnership name and names of partners in the prothonotary’s office, in accordance with [the relevant statute],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pStyle w:val="ListParagraph"/>
        <w:numPr>
          <w:ilvl w:val="0"/>
          <w:numId w:val="539"/>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properly filed federal partnership information returns and paid federal taxes quarterly on an estimated basis, and</w:t>
      </w:r>
    </w:p>
    <w:p w:rsidR="00A86150" w:rsidRDefault="00F714D4">
      <w:pPr>
        <w:pStyle w:val="ListParagraph"/>
        <w:numPr>
          <w:ilvl w:val="0"/>
          <w:numId w:val="539"/>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duly executed partnership agreements.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the three factors, the last is most important. Agreements of “partnership” were executed between Chaiken and Mr. Strazella, a barber in the shop, and between Chaiken and Mr. Spitzer, similarly situated. The agreements were nearly identical. The first paragraph declared the creation of a partnership and the location of business. The second provided that Chaiken would provide barber chair, supplies, and licenses, while the other partner would provide tools of the trade. The paragraph also declared that upon dissolution of the partnership, ownership of items would revert to the party providing them. The third paragraph declared that the income of the partnership would be divided 30% for Chaiken, 70% for Strazella; 20% for Chaiken and 80% for Spitzer. The fourth paragraph declared that all partnership policy would be decided by Chaiken, whose decision was final. The fifth paragraph forbade assignment of the agreement without permission of Chaiken. The sixth paragraph required Chaiken to hold and distribute all receipts. The final paragraph stated hours of work for Strazella and Spitzer and holidays.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mere existence of an agreement labeled “partnership” agreement and the characterization of signatories as “partners” docs not conclusively prove the existence of a partnership. Rather, the intention of the parties, as explained by the wording of the agreement, is paramount.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partnership is defined as an association of two or more persons to carry on as co-owners a business for profit. As co-owners of a business, partners have an equal right in the decision making process. But this right may be abrogated by agreement of the parties without destroying the partnership concept, provided other partnership elements are present.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while paragraph four reserves for Chaiken all right to determine partnership policy, it is not standing alone, fatal to the partnership concept. Co-owners should also contribute valuable consideration for the creation of the business. Under paragraph two, however, Chaiken provides the barber chair (and implicitly the barber shop itself), mirror, licenses and linen, while the other partners merely provide their tools and labor—nothing more than any barber-employee would furnish. Standing alone, however, mere contribution of work and skill can be valuable consideration for a partnership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 interests may be assignable, although it is not a violation of partnership law to prohibit assignment in a partnership agreement. Therefore, paragraph five on assignment of partnership interests does not violate the partnership concept. On the other hand, distribution of partnership assets to the partners upon dissolution is only allowed after all partnership liabilities are satisfied. But paragraph two of the agreement, in stating the ground rules for dissolution, makes no declaration that the partnership assets will be utilized to pay partnership expenses before reversion to their original owners. This deficiency militates against a finding in favor of partnership intent since it is assumed Chaiken would have inserted such provision had he thought his lesser partners would accept such liability. Partners do accept such liability, employees do not.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importantly, co-owners carry on “a business for profit.” The phrase has been interpreted to mean that partners share in the profits and the losses of the business. The intent to divide the profits is an indispensable requisite of partnership. Paragraph three of the agreement declares that each partner shall share in the income of the business. There is no sharing of the profits, and as the agreement is drafted, there are no profits. Merely sharing the gross returns does not establish a partnership. Nor is the sharing of profits prima facie evidence of a partnership where the profits received are in payment of wages.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failure to share profits, therefore, is fatal to the partnership concept here.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Evaluating Chaiken’s agreement in light of the elements implicit in a partnership, no partnership intent can be found. The absence of the important right of decision making or the important duty to share liabilities upon dissolution individually may not be fatal to a partnership. But when both are absent, coupled with the absence of profit sharing, they become strong factors in discrediting the partnership argument. Such weighing of the elements against a partnership finding compares favorably with </w:t>
      </w:r>
      <w:r>
        <w:rPr>
          <w:rFonts w:ascii="Georgia" w:eastAsia="Times New Roman" w:hAnsi="Georgia" w:cs="Calibri"/>
          <w:i/>
          <w:iCs/>
          <w:color w:val="333333"/>
          <w:sz w:val="20"/>
          <w:szCs w:val="20"/>
          <w:lang w:val="en"/>
        </w:rPr>
        <w:t>Fenwick v. Unemployment Compensation Commission</w:t>
      </w:r>
      <w:r>
        <w:rPr>
          <w:rFonts w:ascii="Georgia" w:eastAsia="Times New Roman" w:hAnsi="Georgia" w:cs="Calibri"/>
          <w:color w:val="333333"/>
          <w:sz w:val="20"/>
          <w:szCs w:val="20"/>
          <w:lang w:val="en"/>
        </w:rPr>
        <w:t>, which decided against the partnership theory on similar facts, including the filing of partnership income tax forms.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the total circumstances of the case taken together indicate the employer-employee relationship between Chaiken and his barbers. The agreement set forth the hours of work and days off—unusual subjects for partnership agreements. The barbers brought into the relationship only the equipment required of all barber shop operators. And each barber had his own individual “partnership” with Chaiken. Furthermore, Chaiken conducted all transactions with suppliers, and purchased licenses, insurance, and the lease for the business property in his own name. Finally, the name “Richard’s Barber Shop” continued to be used after the execution of the so-called partnership agreements. [The Commission’s decision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54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unemployment board sue Chaiken?</w:t>
      </w:r>
    </w:p>
    <w:p w:rsidR="00A86150" w:rsidRDefault="00F714D4">
      <w:pPr>
        <w:numPr>
          <w:ilvl w:val="0"/>
          <w:numId w:val="54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Chaiken set up this “partnership”?</w:t>
      </w:r>
    </w:p>
    <w:p w:rsidR="00A86150" w:rsidRDefault="00F714D4">
      <w:pPr>
        <w:numPr>
          <w:ilvl w:val="0"/>
          <w:numId w:val="54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factors did the court examine to determine whether there was a partnership here? Which one was the most important?</w:t>
      </w:r>
    </w:p>
    <w:p w:rsidR="00A86150" w:rsidRDefault="00F714D4">
      <w:pPr>
        <w:numPr>
          <w:ilvl w:val="0"/>
          <w:numId w:val="540"/>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it be unusual in a partnership agreement to set forth the hours of work and days off?</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of a Partnership: Registering the Name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Loomis v. Whitehead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183 P.3d 890 (Nev. 2008)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 Curiam.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appeal, we address whether [Nevada Revised Statute] NRS 602.070 bars the partners of an unregistered fictitious name partnership from bringing an action arising out of a business agreement that was not made under the fictitious name. [The statute] prohibits persons who fail to file an assumed or fictitious name certificate from suing on any contract or agreement made under the assumed or fictitious name. We conclude that it does not bar the partners from bringing the action so long as the partners did not conduct the business or enter into an agreement under the fictitious name or otherwise mislead the other party into thinking that he was doing business with some entity other than the partners themselves.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Background Facts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Appellants Leroy Loomis and David R. Shanahan raised and sold cattle in Elko County, Nevada. Each of the appellants had certain responsibilities relating to the cattle business. Loomis supplied the livestock and paid expenses, while Shanahan managed the day-to-day care of the cattle. Once the cattle were readied for market and sold, Loomis and Shanahan would share the profits equally. While Loomis and Shanahan often called themselves the 52 Cattle Company, they had no formal partnership agreement and did not file an assumed or fictitious name certificate in that name. Loomis and Shanahan bring this appeal after an agreement entered into with respondent Jerry Carr Whitehead failed.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fall of 2003, Shanahan entered into a verbal agreement with Whitehead, a rancher, through Whitehead’s ranch foreman to have their cattle wintered at Whitehead’s ranch. Neither Loomis nor Whitehead was present when the ranch foreman made the deal with Shanahan, but the parties agree that there was no mention of the 52 Cattle Company at the time they entered into the agreement or anytime during the course of business thereafter. Shanahan and Loomis subsequently alleged that their cattle were malnourished and that a number of their cattle died from starvation that winter at Whitehead’s ranch. Whitehead denied these allegations.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Suit against Whitehead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summer, Shanahan and Loomis sued Whitehead, claiming negligence and breach of contract. Later, well into discovery, Whitehead was made aware of the existence of the 52 Cattle Company when Shanahan stated in his deposition that he did not actually own any of the cattle on Whitehead’s ranch. In his deposition, he described the partnership arrangement. At about the same time, Whitehead learned that the name “52 Cattle Company” was not registered with the Elko County Clerk.</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Whitehead then filed a motion for partial summary judgment, asserting that, pursuant to NRS 602.070, Loomis and Shanahan’s failure to register their fictitiously named partnership with the county clerk barred them from bringing a legal action. The district court agreed with Whitehead, granted the motion, and dismissed Loomis and Shanahan’s claims. Loomis and Shanahan timely appealed.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Discussion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found that Loomis and Shanahan conducted business under a fictitious name without filing a fictitious name certificate with the Elko County Clerk as required by NRS 602.010.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district court therefore concluded that, pursuant to NRS 602.070, they were barred from bringing an action against Whitehead because they did not file a fictitious name certificate for the 52 Cattle Company.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Loomis and Shanahan contend that the district court erred in granting partial summary judgment because they did not enter into a contract with Whitehead under the name of the 52 Cattle Company, and they did not conduct business with Whitehead under that name. Loomis and Shanahan argue that NRS 602.070 is not applicable to their action against Whitehead because they did not mislead Whitehead into thinking that he was doing business with anyone other than them. We agree.…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looking at a statute’s language, this court is bound to follow the statute’s plain meaning, unless the plain meaning was clearly not intended. Here, in using the phrase “under the assumed or fictitious name,” the statute clearly bars bringing an action when the claims arise from a contract, transaction, or business conducted beneath the banner of an unregistered fictitious name. However, NRS 602.070 does not apply to individual partners whose transactions or business with another party were not performed under the fictitious name.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Whitehead knew that Shanahan entered into the oral contract under his own name. He initially thought that Shanahan owned the cattle and Loomis had “some type of interest.” Shanahan did not enter into the contract under the fictitious “52 Cattle Company” name. Moreover, Whitehead does not allege that he was misled by either Loomis or Shanahan in any way that would cause him to think he was doing business with the 52 Cattle Company. In fact, Whitehead did not know of the 52 Cattle Company until Shanahan mentioned it in his deposition. Under these circumstances, when there simply was no indication that Loomis and Shanahan represented that they were conducting business as the 52 Cattle Company and no reliance by Whitehead that he was doing business with the 52 Cattle Company, NRS 602.070 does not bar the suit against Whitehead.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therefore reverse the district court’s partial summary judgment in this instance and remand for trial because, while the lawsuit between Loomis and Whitehead involved partnership business, the transaction at issue was not conducted and the subsequent suit was not maintained under the aegis of the fictitiously named partnership.</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54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the fictitious name statute might well be, as the court here describes it, “to prevent fraud and to give the public information about those entities with which they conduct business.” But that’s not what the statute says; it says nobody can sue on a cause of action arising out of business conducted under a fictitious name if the name is not registered. The legislature determined the consequence of failure to register. Should the court disregard the statute’s plain, unambiguous meaning?</w:t>
      </w:r>
    </w:p>
    <w:p w:rsidR="00A86150" w:rsidRDefault="00F714D4">
      <w:pPr>
        <w:numPr>
          <w:ilvl w:val="0"/>
          <w:numId w:val="54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was one of two arguments by the dissent in this case. The second one was based on this problem: Shanahan and Loomis agreed that the cattle at issue were partnership cattle bearing the “52” brand. That is, the cows were</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Shanahan’s; they were the partnership’s. When Whitehead moved to dismiss Shanahan’s claim—again, because the cows weren’t Shanahan’s—Shanahan conceded that but for the existence of the partnership he would have no claim against Whitehead. If there is no claim against the defendant except insofar as he harmed the partnership business (the cattle), how could the majority assert that claims against Whitehead did not arise out of “the business” conducted under 52 Cattle Company? Who has the better argument, the majority or the dissent?</w:t>
      </w:r>
    </w:p>
    <w:p w:rsidR="00A86150" w:rsidRDefault="00F714D4">
      <w:pPr>
        <w:numPr>
          <w:ilvl w:val="0"/>
          <w:numId w:val="54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Here is another problem along the same lines but with a different set of facts and a Uniform Partnership Act (UPA) jurisdiction (i.e., pre–Revised Uniform Partnership Act [RUPA]). Suppose the plaintiffs had a partnership (as they did here), but the claim by one was that the other partner had stolen several head of cattle, and UPA was in effect so that the partnership property was owned as “tenant in partnership”—the cattle would be owned by the partners as a whole. A person who steals his own property cannot be criminally liable; therefore, a partner cannot be guilty of stealing (or misappropriating) firm property. Thus under UPA there arise anomalous cases, for example, in </w:t>
      </w:r>
      <w:r>
        <w:rPr>
          <w:rFonts w:ascii="Calibri" w:eastAsia="Times New Roman" w:hAnsi="Calibri" w:cs="Calibri"/>
          <w:i/>
          <w:iCs/>
          <w:color w:val="333333"/>
          <w:sz w:val="20"/>
          <w:szCs w:val="20"/>
          <w:lang w:val="en"/>
        </w:rPr>
        <w:t>People v. Zinke</w:t>
      </w:r>
      <w:r>
        <w:rPr>
          <w:rFonts w:ascii="Calibri" w:eastAsia="Times New Roman" w:hAnsi="Calibri" w:cs="Calibri"/>
          <w:color w:val="333333"/>
          <w:sz w:val="20"/>
          <w:szCs w:val="20"/>
          <w:lang w:val="en"/>
        </w:rPr>
        <w:t>, 555 N.E.2d 263 (N.Y. 1990), which is a criminal case, Zinke embezzled over a million dollars from his own investment firm but the prosecutor’s case against him was dismissed because, the New York court said, “partners cannot be prosecuted for stealing firm property.” If the partnership is a legal entity, as under RUPA, how is this result changed?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Partnership by Estoppel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Chavers v. Epsco, Inc.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98 S.W.3d 421 (Ark. 2003)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Hannah, J.</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Appellants Reggie Chavers and Mark Chavers appeal a judgment entered against them by the Craighead County Circuit Court. Reggie and Mark argue that the trial court erred in holding them liable for a company debt based upon partnership by estoppel because the proof was vague and insufficient and there was no detrimental reliance on the part of a creditor. We hold that the trial court was not clearly erroneous in finding liability based upon partnership by estoppel. Accordingly, we affirm.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Gary Chavers operated Chavers Welding and Construction (“CWC”), a construction and welding business, in Jonesboro. Gary’s sons Reggie Chavers and Mark Chavers joined their father in the business after graduating from high school. Gary, Mark, and Reggie maintain that CWC was a sole proprietorship owned by Gary, and that Reggie and Mark served only as CWC employees, not as CWC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February 1999, CWC entered into an agreement with Epsco, Inc. (“Epsco”), a staffing service, to provide payroll and employee services for CWC. Initially, Epsco collected payments for its services on a weekly basis, but later, Epsco extended credit to CWC. Melton Clegg, President of Epsco, stated that his decision to extend credit to CWC was based, in part, on his belief that CWC was a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CWC’s account with Epsco became delinquent, and Epsco filed a complaint against Gary, Reggie, and Mark, individually, and doing business as CWC, to recover payment for the past due account. Gary discharged a portion of his obligation to Epsco due to his filing for bankruptcy. Epsco sought to recover CWC’s remaining debt from Reggie and Mark. After a hearing on March 7, 2002, the trial court issued a letter opinion, finding that Reggie and Mark “represented themselves to [Epsco] as partners in an existing partnership and operated in such a fashion to give creditors in general, and Epsco in particular, the impression that such creditors/potential creditors were doing business with a partnership.…” On May 21, 2002, the trial court entered an order stating that Reggie and Mark were partners by estoppel as relates to Epsco. The trial court found that Reggie and Mark were jointly and severally liable for the debt of CWC in the amount of $80,360.92. In addition, the trial court awarded Epsco pre-judgment interest at the rate of six percent, post-judgment interest at the rate of ten percent, and attorney’s fees in the amount of $8,036.92.</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relevant Arkansas statute provides]: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When a person, by words spoken or written or by conduct, represents himself, or consents to another representing him to any one, as a partner in an existing partnership or with one (1) or more persons not actual partners, he is liable to any person to whom such representation has been made, who has, on the faith of such representation, given credit to the actual or apparent partnership, and if he has made such representation or consented to its being made in a public manner, he is liable to that person, whether the representation has or has not been made or communicated to that person so giving credit by or with the knowledge of the apparent partner making the representation or consenting to it being made.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When a partnership liability results, he is liable as though he were an actual member of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long recognized the doctrine of partnership by estoppel. [Citation, 1840], the court stated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who hold themselves out to the world as partners in business or trade, are to be so regarded as to creditors and third persons; and the partnership may be established by any evidence showing that they so hold themselves out to the public, and were so regarded by the trading community.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Further, we have stated that “[p]artnerships may be proved by circumstantial evidence; and evidence will sometimes fix a joint liability, where persons are charged as partners, in a suit by a third person, when they are not, in fact, partners as between themselves.” [Citation, 1843.]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[Citation, 1906], the court noted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who holds himself out as a partner of a firm is estopped to deny such representation, not only as to those as to whom the representation was directly made, but as to all others who had knowledge of such holding out and in reliance thereon sold goods to the firm.…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“if the party himself puts out the report that he is a partner, he will be liable to all those selling goods to the firm on the faith and credit of such report.” [Citation] When a person holds himself out as a member of partnership, any one dealing with the firm on the faith of such representation is entitled to assume the relation continues until notice of some kind is given of its discontinuance.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[Citation, 1944], the court wrote: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 thoroughly well-settled rule that persons who are not as between themselves partners, or as between whom there is in fact no legal partnership, may nevertheless become subject to the liabilities of partners, either by holding themselves out as partners to the public and the world generally or to particular individuals, or by knowingly or negligently permitting another person to do so. All persons who hold themselves out, or knowingly permit others to hold them out, to the public as partners, although they are not in partnership, become bound as partners to all who deal with them in their apparent relation.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liability as a partner of a person who holds himself out as a partner, or permits others to do so, is predicated on the doctrine of estoppel and on the policy of the law seeking to prevent frauds on those who lend their money on the apparent credit of those who are held out as partners. One holding himself out as a partner or knowingly permitting himself to be so held out is estopped from denying liability as a partner to one who has extended credit in reliance thereon, although no partnership has in fact existed.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present case, the trial court cited specific examples of representations made by Reggie and Mark indicating that they were partners of CWC, including correspondence to Epsco, checks written to Epsco, business cards distributed to the public, and credit applications. We will discuss each in turn.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Faxed Credit References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Epsco argues that Plaintiff’s Exhibit # 1, a faxed list of credit references, clearly indicates that Gary was the owner and that Reggie and Mark were partners in the business. The fax lists four credit references, and it includes CWC’s contact information. The contact information lists CWC’s telephone number, fax number, and federal tax number. The last two lines of the contact information state: “Gary Chavers Owner” and “Reggie Chavers and Mark Chavers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Gary testified that he did not know that the list of credit references was faxed to Epsco. In addition, he testified that his signature was not at the bottom of the fax. He testified that his former secretary might have signed his name to the fax; however, he stated that he did not authorize his secretary to sign or fax a list of credit references to Epsco. Moreover, Gary testified that the first time he saw the list of credit references was at the bench trial.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gives deference to the superior position of the trial judge to determine the credibility of the witnesses and the weight to be accorded their testimony. [Citations] Though there was a dispute concerning whether Gary faxed the list to Epsco, the trial court found that Epsco received the faxed credit references from CWC and relied on CWC’s statement that Reggie and Mark were partners. The trial court’s finding is not clearly erroneous.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Fax Cover Sheet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trial, Epsco introduced Plaintiff’s Exhibit # 2, a fax cover sheet from “Chavers Construction” to Epsco. The fax cover sheet was dated July 19, 2000. The fax cover sheet contained the address, telephone number, and fax number of the business. Listed under this information was “Gary, Reggie, or Mark Chavers.” Epsco argues that Gary, Reggie, and Mark are all listed on the fax cover sheet, and that this indicates that they were holding themselves out to the public as partners of the business. The trial court’s finding that the fax cover sheet indicated that Reggie and Mark were holding themselves out as partners of CWC is not clearly erroneous.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Epsco Personnel Credit Application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Epsco introduced Plaintiff’s Exhibit # 9, a personnel credit application, which was received from CWC. Adams testified that the exhibit represented a completed credit application that she received from CWC. The type of business checked on the credit application is “partnership.” Adams testified that the application showed the company to be a partnership, and that this information was relied upon in extending credit. Clegg testified that he viewed the credit application which indicated that CWC was a partnership, and that his decision to extend credit to CWC was based, in part, on his belief that CWC was a partnership. Gary denied filling out the credit application 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was within the trial court’s discretion to find Adams’s and Clegg’s testimony more credible than Gary’s testimony and to determine that Epsco relied on the statement of partnership on the credit application before extending credit to CWC. The trial court’s finding concerning the credit application is not clearly erroneous.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Checks to Epsco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Epsco argues that Plaintiff’s Exhibit # 3 and Plaintiff’s Exhibit # 11, checks written to Epsco showing the CWC account to be in the name of “Gary A. or Reggie J. Chavers,” indicates that Reggie was holding himself out to be a partner of CWC. Plaintiff’s Exhibit # 3 was signed by Gary, and Plaintiff’s Exhibit # 11 was signed by Reggie. The checks are evidence that Reggie was holding himself out to the public as a partner of CWC, and Epsco could have detrimentally relied on the checks before extending credit to CWC. The trial court was not clearly erroneous in finding that the checks supported a finding of partnership by estoppel.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Business Card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Epsco introduced Plaintiff’s Exhibit # 4, a business card that states “Chavers Welding, Construction &amp; Crane Service.” Listed on the card as “owners” are Gary Chavers and Reggie Chavers. Gary testified that the business cards were printed incorrectly, and that Reggie’s name should not have been included as an owner. He also testified that some of the cards might have been handed out, and that it was possible that he might have given one of the cards to a business listed as one of CWC’s credit references on Plaintiff’s Exhibit # 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business card listing Reggie as an owner indicates that Reggie was holding himself out as a partner. As we stated in [Citation] when a person holds himself out as a member of partnership, any one dealing with the firm on the faith of such representation is entitled to assume the relation continues until notice of some kind is given of its discontinuance. There is no indication that Reggie ever informed any person who received a business card that the business relationship listed on the card was incorrect or had been discontinued. The trial court’s finding concerning the business card is not clearly erroneous.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Dealership Application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Epsco introduced Plaintiff’s Exhibit # 5, an application form from “Chavers Welding,” signed by Reggie, seeking a dealership from Sukup Manufacturing. The application, dated January 23, 1997, lists “Gary &amp; Reggie Chavers” as owners of “Chavers Welding.” The application is signed by Reggie. Reggie admits that he signed the dealership application and represented that he was an owner of “Chavers Welding,” but he dismisses his statement of ownership as mere “puffery” on his part. Epsco argues that instead, the application shows that Reggie was holding himself out to the public as being a partner. The trial court’s determination that Reggie’s dealership application supports a finding of partnership by estoppel is not clearly erroneous.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the trial court was not clearly erroneous in finding that Reggie and Mark held themselves out as partners of CWC and that Epsco detrimentally relied on the existence of the partnership before extending credit to CWC. The appellants argue that even if we find Reggie liable based upon partnership by estoppel, there was scant proof of Mark being liable based upon partnership by estoppel. We disagree. We are aware that some examples of holding out cited in the trial court’s order pertain only to Reggie. However, the representations attributed to both Reggie and Mark are sufficient proof to support the trial court’s finding that both Reggie and Mark are estopped from denying liability to Epsco.</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A86150" w:rsidRDefault="00F714D4">
      <w:pPr>
        <w:numPr>
          <w:ilvl w:val="0"/>
          <w:numId w:val="542"/>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the doctrine of partnership by estoppel?</w:t>
      </w:r>
    </w:p>
    <w:p w:rsidR="00A86150" w:rsidRDefault="00F714D4">
      <w:pPr>
        <w:numPr>
          <w:ilvl w:val="0"/>
          <w:numId w:val="54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Gary and Reggie claimed the evidence brought forth to show the existence of a partnership was unconvincing. How credible were their claims?</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8"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word </w:t>
      </w:r>
      <w:r>
        <w:rPr>
          <w:rFonts w:ascii="Calibri" w:eastAsia="Times New Roman" w:hAnsi="Calibri" w:cs="Calibri"/>
          <w:i/>
          <w:iCs/>
          <w:color w:val="333333"/>
          <w:sz w:val="20"/>
          <w:szCs w:val="20"/>
        </w:rPr>
        <w:t>prothonotary</w:t>
      </w:r>
      <w:r>
        <w:rPr>
          <w:rFonts w:ascii="Calibri" w:eastAsia="Times New Roman" w:hAnsi="Calibri" w:cs="Calibri"/>
          <w:color w:val="333333"/>
          <w:sz w:val="20"/>
          <w:szCs w:val="20"/>
        </w:rPr>
        <w:t> means first notary of the court. The prothonotary is the keeper of the civil records for the court system. The office is responsible for the creation, maintenance, and certification of matters pending or determined by the court. The office is also responsible for certain reporting and collection duties to state agencies.</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NRS 602.010(1): “Every person doing business in this state under an assumed or fictitious name that is in any way different from the legal name of each person who owns an interest in the business must file with the county clerk of each county in which the business is being conducted a certificate containing the information required by NRS 602.020.”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NRS 602.070: “No action may be commenced or maintained by any person…upon or on account of any contract made or transaction had under the assumed or fictitious name, or upon or on account of any cause of action arising or growing out of the business conducted under that name, unless before the commencement of the action the certificate required by NRS 602.010 has been filed.”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22.4</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basic law of partnership is found in the Uniform Partnership Act and Revised Uniform Partnership Act. The latter has been adopted by thirty-five states. At common law, a partnership was not a legal entity and could not sue or be sued in the partnership name. Partnership law defines a partnership as “an association of two or more persons to carry on as co-owners a business for profit.” The Uniform Partnership Act (UPA) assumes that a partnership is an aggregation of individuals, but it also applies a number of rules characteristic of the legal entity theory. The Revised Uniform Partnership Act (RUPA) assumes a partnership is an entity, but it applies one crucial rule characteristic of the aggregate theory: the partners are ultimately liable for the partnership’s obligations. Thus a partnership may keep business records as if it were a legal entity, may hold real estate in the partnership name, and may sue and be sued in federal court and in many state courts in the partnership name.</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Partnerships may be created informally. Among the clues to the existence of a partnership are (1) co-ownership of a business, (2) sharing of profits, (3) right to participate in decision making, (4) duty to share liabilities, and (5) manner in which the business is operated. A partnership may also be formed by implication; it may be formed by estoppel when a third party reasonably relies on a representation that a partnership in fact exists.</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special rules govern the partnership agreement. As a practical matter, it should sufficiently spell out who the partners are, under what name they will conduct their business, the nature and scope of the business, capital contributions of each partner, how profits are to be divided, and similar pertinent provisions. An oral agreement to form a partnership is valid unless the business cannot be performed wholly within one year from the time that the agreement is made. However, most partnerships have no fixed terms and hence are “at-will” partnerships not subject to the Statute of Frauds.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54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Able, Baker, and Carr own, as partners, a warehouse. The income from the warehouse during the current year is $300,000, two-thirds of which goes to Able. Who must file a tax return listing this as income, the partnership or Able? Who pays the tax, the partnership or Able?</w:t>
      </w:r>
    </w:p>
    <w:p w:rsidR="00A86150" w:rsidRDefault="00F714D4">
      <w:pPr>
        <w:numPr>
          <w:ilvl w:val="0"/>
          <w:numId w:val="543"/>
        </w:numPr>
        <w:shd w:val="clear" w:color="auto" w:fill="E3EFF7"/>
        <w:tabs>
          <w:tab w:val="clear" w:pos="720"/>
          <w:tab w:val="num" w:pos="252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Havana Club operated in Salt Lake City under a lease running to defendant Dale Bowen, who owned the equipment, furnishings, and inventory. He did not himself work in operating the club. He made an oral agreement with Frances Cutler, who had been working for him as a bartender, that she take over the management of the club. She was to have the authority and the responsibility for the entire active management and operation: to purchase the supplies, pay the bills, keep the books, hire and fire employees, and do whatever else was necessary to run the business. As compensation, the arrangement was for a down-the-middle split; each was to receive $300 per week plus one half of the net profits. This went on for four years until the city took over the building for a redevelopment project. The city offered Bowen $30,000 as compensation for loss of business while a new location was found for the club. Failing to find a suitable location, the parties decided to terminate the business. Bowen then contended he was entitled to the entire $30,000 as the owner, Cutler being an employee only. She sued to recover half as a partner. What was the result? Decide and discuss.</w:t>
      </w:r>
    </w:p>
    <w:p w:rsidR="00A86150" w:rsidRDefault="00F714D4">
      <w:pPr>
        <w:numPr>
          <w:ilvl w:val="0"/>
          <w:numId w:val="543"/>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Raul, a business student, decided to lease and operate an ice cream stand during his summer vacation. Because he could not afford rent payments, his lessor agreed to take 30 percent of the profits as rent and provide the stand and the parcel of real estate on which it stood. Are the two partners?</w:t>
      </w:r>
    </w:p>
    <w:p w:rsidR="00A86150" w:rsidRDefault="00F714D4">
      <w:pPr>
        <w:numPr>
          <w:ilvl w:val="0"/>
          <w:numId w:val="543"/>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Able, Baker, and Carr formed the ABC Partnership in 2001. In 2002 Able gave her three sons, Duncan, Eldon, and Frederick, a gift of her 41 percent interest in the partnership to provide money to pay for their college expenses. The sons reported income from the partnership on their individual tax returns, and the partnership reported the payment to them on its information return. The sons were listed as partners on unaudited balance sheets in 2003, and the 2004 income statement listed them as partners. The sons never requested information about the management of the firm, never attended any meetings or voted, and never attempted to withdraw the firm’s money or even speak with the other partners about the firm. Two of the sons didn’t know where the firm was located, but they all once received “management fees” totaling $3,000, without any showing of what the “fees” were for. In 2005, the partnership incurred liability for pension-fund contributions to an employee, and a trustee for the fund asserted that Able's sons were personally liable under federal law for the money owing because they were partners. The sons moved for summary judgment denying liability. How should the court rule?</w:t>
      </w:r>
    </w:p>
    <w:p w:rsidR="00A86150" w:rsidRDefault="00F714D4">
      <w:pPr>
        <w:numPr>
          <w:ilvl w:val="0"/>
          <w:numId w:val="543"/>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Volkmans wanted to build a house and contacted David McNamee for construction advice. He told them that he was doing business with Phillip Carroll. Later the Volkmans got a letter from McNamee on stationery that read “DP Associates,” which they assumed was derived from the first names of David and Phillip. At the DP Associates office McNamee introduced Mr. Volkman to Carroll, who said to Volkman, “I hope we’ll be working together.” At one point during the signing process a question arose and McNamee said, “I will ask Phil.” He returned with the answer to the question. After the contract was signed but before construction began, Mr. Volkman visited the DP Associates office where the two men chatted; Carroll said to him, “I am happy that we will be working with you.” The Volkmans never saw Carroll on the construction site and knew of no other construction supervised by Carroll. They understood they were purchasing Carroll’s services and construction expertise through DP Associates. During construction, Mr. Volkman visited the DP offices several times and saw Carroll there. During one visit, Mr. Volkman expressed concerns about delays and expressed the same to Carroll, who replied, “Don’t worry. David will take care of it.” But David did not, and the Volkmans sued DP Associates, McNamee, and Carroll. Carroll asserted he could not be liable because he and McNamee were not partners. The trial court dismissed Carroll on summary judgment; the Volkmans appealed. How should the court rule on appeal?</w:t>
      </w:r>
    </w:p>
    <w:p w:rsidR="00A86150" w:rsidRDefault="00F714D4">
      <w:pPr>
        <w:numPr>
          <w:ilvl w:val="0"/>
          <w:numId w:val="543"/>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Wilson and VanBeek want to form a partnership. Wilson is seventeen and VanBeek is twenty-two. May they form a partnership? Explain.</w:t>
      </w:r>
    </w:p>
    <w:p w:rsidR="00A86150" w:rsidRDefault="00F714D4">
      <w:pPr>
        <w:numPr>
          <w:ilvl w:val="0"/>
          <w:numId w:val="543"/>
        </w:numPr>
        <w:shd w:val="clear" w:color="auto" w:fill="E3EFF7"/>
        <w:tabs>
          <w:tab w:val="clear" w:pos="720"/>
          <w:tab w:val="num" w:pos="216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Diane and Rachel operate a restaurant at the county fair every year to raise money for the local 4-H Club. They decide together what to serve, what hours to operate, and generally how to run the business. Do they have a partnership?</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544"/>
        </w:numPr>
        <w:shd w:val="clear" w:color="auto" w:fill="E3EFF7"/>
        <w:tabs>
          <w:tab w:val="clear" w:pos="720"/>
          <w:tab w:val="num" w:pos="2160"/>
        </w:tabs>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law of partnership is currently found in</w:t>
      </w:r>
    </w:p>
    <w:p w:rsidR="00A86150" w:rsidRDefault="00F714D4">
      <w:pPr>
        <w:pStyle w:val="ListParagraph"/>
        <w:numPr>
          <w:ilvl w:val="0"/>
          <w:numId w:val="54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common law</w:t>
      </w:r>
    </w:p>
    <w:p w:rsidR="00A86150" w:rsidRDefault="00F714D4">
      <w:pPr>
        <w:pStyle w:val="ListParagraph"/>
        <w:numPr>
          <w:ilvl w:val="0"/>
          <w:numId w:val="54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constitutional law</w:t>
      </w:r>
    </w:p>
    <w:p w:rsidR="00A86150" w:rsidRDefault="00F714D4">
      <w:pPr>
        <w:pStyle w:val="ListParagraph"/>
        <w:numPr>
          <w:ilvl w:val="0"/>
          <w:numId w:val="54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statutory law</w:t>
      </w:r>
    </w:p>
    <w:p w:rsidR="00A86150" w:rsidRDefault="00F714D4">
      <w:pPr>
        <w:pStyle w:val="ListParagraph"/>
        <w:numPr>
          <w:ilvl w:val="0"/>
          <w:numId w:val="545"/>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A86150" w:rsidRDefault="00F714D4">
      <w:pPr>
        <w:numPr>
          <w:ilvl w:val="0"/>
          <w:numId w:val="546"/>
        </w:numPr>
        <w:shd w:val="clear" w:color="auto" w:fill="E3EFF7"/>
        <w:tabs>
          <w:tab w:val="num" w:pos="216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Existence of a partnership may be established by</w:t>
      </w:r>
    </w:p>
    <w:p w:rsidR="00A86150" w:rsidRDefault="00F714D4">
      <w:pPr>
        <w:pStyle w:val="ListParagraph"/>
        <w:numPr>
          <w:ilvl w:val="0"/>
          <w:numId w:val="54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co-ownership of a business for profit</w:t>
      </w:r>
    </w:p>
    <w:p w:rsidR="00A86150" w:rsidRDefault="00F714D4">
      <w:pPr>
        <w:pStyle w:val="ListParagraph"/>
        <w:numPr>
          <w:ilvl w:val="0"/>
          <w:numId w:val="54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estoppel</w:t>
      </w:r>
    </w:p>
    <w:p w:rsidR="00A86150" w:rsidRDefault="00F714D4">
      <w:pPr>
        <w:pStyle w:val="ListParagraph"/>
        <w:numPr>
          <w:ilvl w:val="0"/>
          <w:numId w:val="54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formal agreement</w:t>
      </w:r>
    </w:p>
    <w:p w:rsidR="00A86150" w:rsidRDefault="00F714D4">
      <w:pPr>
        <w:pStyle w:val="ListParagraph"/>
        <w:numPr>
          <w:ilvl w:val="0"/>
          <w:numId w:val="547"/>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48"/>
        </w:numPr>
        <w:shd w:val="clear" w:color="auto" w:fill="E3EFF7"/>
        <w:tabs>
          <w:tab w:val="num" w:pos="216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is false?</w:t>
      </w:r>
    </w:p>
    <w:p w:rsidR="00A86150" w:rsidRDefault="00F714D4">
      <w:pPr>
        <w:pStyle w:val="ListParagraph"/>
        <w:numPr>
          <w:ilvl w:val="0"/>
          <w:numId w:val="54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oral agreement to form a partnership is valid.</w:t>
      </w:r>
    </w:p>
    <w:p w:rsidR="00A86150" w:rsidRDefault="00F714D4">
      <w:pPr>
        <w:pStyle w:val="ListParagraph"/>
        <w:numPr>
          <w:ilvl w:val="0"/>
          <w:numId w:val="54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Most partnerships have no fixed terms and are thus not subject to the Statute of Frauds.</w:t>
      </w:r>
    </w:p>
    <w:p w:rsidR="00A86150" w:rsidRDefault="00F714D4">
      <w:pPr>
        <w:pStyle w:val="ListParagraph"/>
        <w:numPr>
          <w:ilvl w:val="0"/>
          <w:numId w:val="54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Strict statutory rules govern partnership agreements.</w:t>
      </w:r>
    </w:p>
    <w:p w:rsidR="00A86150" w:rsidRDefault="00F714D4">
      <w:pPr>
        <w:pStyle w:val="ListParagraph"/>
        <w:numPr>
          <w:ilvl w:val="0"/>
          <w:numId w:val="549"/>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partnership may be formed by estoppel.</w:t>
      </w:r>
    </w:p>
    <w:p w:rsidR="00A86150" w:rsidRDefault="00F714D4">
      <w:pPr>
        <w:numPr>
          <w:ilvl w:val="0"/>
          <w:numId w:val="550"/>
        </w:numPr>
        <w:shd w:val="clear" w:color="auto" w:fill="E3EFF7"/>
        <w:tabs>
          <w:tab w:val="num" w:pos="216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Partnerships</w:t>
      </w:r>
    </w:p>
    <w:p w:rsidR="00A86150" w:rsidRDefault="00F714D4">
      <w:pPr>
        <w:pStyle w:val="ListParagraph"/>
        <w:numPr>
          <w:ilvl w:val="0"/>
          <w:numId w:val="55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not taxable entities</w:t>
      </w:r>
    </w:p>
    <w:p w:rsidR="00A86150" w:rsidRDefault="00F714D4">
      <w:pPr>
        <w:pStyle w:val="ListParagraph"/>
        <w:numPr>
          <w:ilvl w:val="0"/>
          <w:numId w:val="55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may buy, sell, or hold real property in the partnership name</w:t>
      </w:r>
    </w:p>
    <w:p w:rsidR="00A86150" w:rsidRDefault="00F714D4">
      <w:pPr>
        <w:pStyle w:val="ListParagraph"/>
        <w:numPr>
          <w:ilvl w:val="0"/>
          <w:numId w:val="55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may file for bankruptcy</w:t>
      </w:r>
    </w:p>
    <w:p w:rsidR="00A86150" w:rsidRDefault="00F714D4">
      <w:pPr>
        <w:pStyle w:val="ListParagraph"/>
        <w:numPr>
          <w:ilvl w:val="0"/>
          <w:numId w:val="551"/>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have all of the above characteristics</w:t>
      </w:r>
    </w:p>
    <w:p w:rsidR="00A86150" w:rsidRDefault="00F714D4">
      <w:pPr>
        <w:numPr>
          <w:ilvl w:val="0"/>
          <w:numId w:val="552"/>
        </w:numPr>
        <w:shd w:val="clear" w:color="auto" w:fill="E3EFF7"/>
        <w:tabs>
          <w:tab w:val="num" w:pos="2160"/>
        </w:tabs>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Partnerships</w:t>
      </w:r>
    </w:p>
    <w:p w:rsidR="00A86150" w:rsidRDefault="00F714D4">
      <w:pPr>
        <w:pStyle w:val="ListParagraph"/>
        <w:numPr>
          <w:ilvl w:val="0"/>
          <w:numId w:val="55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free to select any name not used by another partnership</w:t>
      </w:r>
    </w:p>
    <w:p w:rsidR="00A86150" w:rsidRDefault="00F714D4">
      <w:pPr>
        <w:pStyle w:val="ListParagraph"/>
        <w:numPr>
          <w:ilvl w:val="0"/>
          <w:numId w:val="55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include the partners’ names in the partnership name</w:t>
      </w:r>
    </w:p>
    <w:p w:rsidR="00A86150" w:rsidRDefault="00F714D4">
      <w:pPr>
        <w:pStyle w:val="ListParagraph"/>
        <w:numPr>
          <w:ilvl w:val="0"/>
          <w:numId w:val="553"/>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be formed by two corporations</w:t>
      </w:r>
    </w:p>
    <w:p w:rsidR="00A86150" w:rsidRDefault="00F714D4">
      <w:pPr>
        <w:pStyle w:val="ListParagraph"/>
        <w:numPr>
          <w:ilvl w:val="0"/>
          <w:numId w:val="553"/>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cannot be formed by two partnerships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554"/>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554"/>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54"/>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554"/>
        </w:numPr>
        <w:shd w:val="clear" w:color="auto" w:fill="E3EFF7"/>
        <w:tabs>
          <w:tab w:val="clear" w:pos="720"/>
          <w:tab w:val="num" w:pos="216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54"/>
        </w:numPr>
        <w:shd w:val="clear" w:color="auto" w:fill="E3EFF7"/>
        <w:tabs>
          <w:tab w:val="clear" w:pos="720"/>
          <w:tab w:val="num" w:pos="2160"/>
        </w:tabs>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23</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19"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Partnership Operation and Termination</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555"/>
        </w:numPr>
        <w:shd w:val="clear" w:color="auto" w:fill="EAE9DC"/>
        <w:tabs>
          <w:tab w:val="clear" w:pos="720"/>
          <w:tab w:val="num" w:pos="288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operation of a partnership, including the relations among partners and relations between partners and third parties</w:t>
      </w:r>
    </w:p>
    <w:p w:rsidR="00A86150" w:rsidRDefault="00F714D4">
      <w:pPr>
        <w:numPr>
          <w:ilvl w:val="0"/>
          <w:numId w:val="555"/>
        </w:numPr>
        <w:shd w:val="clear" w:color="auto" w:fill="EAE9DC"/>
        <w:tabs>
          <w:tab w:val="clear" w:pos="720"/>
          <w:tab w:val="num" w:pos="216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dissolution and winding up of a partnership</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23.1 Operation: Relations among Partners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56"/>
        </w:numPr>
        <w:shd w:val="clear" w:color="auto" w:fill="EAE9DC"/>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duties partners owe each other: duties of service, loyalty, care, obedience, information, and accounting.</w:t>
      </w:r>
    </w:p>
    <w:p w:rsidR="00A86150" w:rsidRDefault="00F714D4">
      <w:pPr>
        <w:numPr>
          <w:ilvl w:val="0"/>
          <w:numId w:val="556"/>
        </w:numPr>
        <w:shd w:val="clear" w:color="auto" w:fill="EAE9DC"/>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rights that partners have, including the rights to distributions of money, to management, to choice of copartners, to property of the partnership, to assign partnership interest, and to enforce duties and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the rules discussed in this section apply unless otherwise agreed, and they are really intended for the small firm.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Uniform Partnership Act (UPA) and the Revised Uniform Partnership Act (RUPA) do not dictate what the relations among partners must be; the acts supply rules in the event that the partners have not done so for themselves. In this area, it is especially important for the partners to elaborate their agreement in writing. If the partners should happen to continue their business beyond the term fixed for it in their agreement, the terms of the agreement continue to apply.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Duties Partners Owe Each Other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duties partners owe each other, six may be called out here: (1) the duty to serve, (2) the duty of loyalty, (3) the duty of care, (4) the duty of obedience, (5) the duty to inform copartners, and (6) the duty to account to the partnership. These are all very similar to the duty owed by an agent to the principal, as partnership law is based on agency concepts.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Serve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otherwise agreed, expressly or impliedly, a partner is expected to work for the firm. The partnership, after all, is a profit-making co-venture, and it would not do for one to loaf about and still expect to get paid. For example, suppose Joan takes her two-week vacation from the horse-stable partnership she operates with Sarah and Sandra. Then she does not return for four months because she has gone horseback riding in the Southwest. She might end up having to pay if the partnership hired a substitute to do her work.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of Loyalty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this requires partners to put the firm’s interests ahead of their own. Partners are </w:t>
      </w:r>
      <w:r>
        <w:rPr>
          <w:rFonts w:ascii="Georgia" w:eastAsia="Times New Roman" w:hAnsi="Georgia" w:cs="Calibri"/>
          <w:i/>
          <w:iCs/>
          <w:color w:val="333333"/>
          <w:sz w:val="20"/>
          <w:szCs w:val="20"/>
          <w:lang w:val="en"/>
        </w:rPr>
        <w:t>fiduciaries</w:t>
      </w:r>
      <w:r>
        <w:rPr>
          <w:rFonts w:ascii="Georgia" w:eastAsia="Times New Roman" w:hAnsi="Georgia" w:cs="Calibri"/>
          <w:color w:val="333333"/>
          <w:sz w:val="20"/>
          <w:szCs w:val="20"/>
          <w:lang w:val="en"/>
        </w:rPr>
        <w:t> as to each other and as to the partnership, and as such, they owe a fiduciary duty to each other and the partnership. Judge Benjamin Cardozo, in an often-quoted phrase, called the fiduciary duty “something stricter than the morals of the market place. Not honesty alone, but the punctilio of an honor the most sensitive, is then the standard of behavior.”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Breach of the fiduciary duty gives rise to a claim for compensatory, consequential, and incidental damages; recoupment of compensation; and—rarely—punitive damages. See </w:t>
      </w:r>
      <w:r>
        <w:rPr>
          <w:rFonts w:ascii="Georgia" w:eastAsia="Times New Roman" w:hAnsi="Georgia" w:cs="Calibri"/>
          <w:color w:val="2689C6"/>
          <w:sz w:val="20"/>
          <w:szCs w:val="20"/>
          <w:lang w:val="en"/>
        </w:rPr>
        <w:t>Section 23.4.1 "Breach of Partnership Fiduciary Duty"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Gilroy v. Conway</w:t>
      </w:r>
      <w:r>
        <w:rPr>
          <w:rFonts w:ascii="Georgia" w:eastAsia="Times New Roman" w:hAnsi="Georgia" w:cs="Calibri"/>
          <w:color w:val="333333"/>
          <w:sz w:val="20"/>
          <w:szCs w:val="20"/>
          <w:lang w:val="en"/>
        </w:rPr>
        <w:t>, for an example of breach of fiduciary duty.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Application of the Fiduciary Standard to Partnership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UPA, all partners are fiduciaries of each other—they are all principals and agents of each other—though the word </w:t>
      </w:r>
      <w:r>
        <w:rPr>
          <w:rFonts w:ascii="Georgia" w:eastAsia="Times New Roman" w:hAnsi="Georgia" w:cs="Calibri"/>
          <w:i/>
          <w:iCs/>
          <w:color w:val="333333"/>
          <w:sz w:val="20"/>
          <w:szCs w:val="20"/>
          <w:lang w:val="en"/>
        </w:rPr>
        <w:t>fiduciary</w:t>
      </w:r>
      <w:r>
        <w:rPr>
          <w:rFonts w:ascii="Georgia" w:eastAsia="Times New Roman" w:hAnsi="Georgia" w:cs="Calibri"/>
          <w:color w:val="333333"/>
          <w:sz w:val="20"/>
          <w:szCs w:val="20"/>
          <w:lang w:val="en"/>
        </w:rPr>
        <w:t> was not used except in the</w:t>
      </w:r>
      <w:r>
        <w:rPr>
          <w:rFonts w:ascii="Georgia" w:eastAsia="Times New Roman" w:hAnsi="Georgia" w:cs="Calibri"/>
          <w:i/>
          <w:iCs/>
          <w:color w:val="333333"/>
          <w:sz w:val="20"/>
          <w:szCs w:val="20"/>
          <w:lang w:val="en"/>
        </w:rPr>
        <w:t>heading</w:t>
      </w:r>
      <w:r>
        <w:rPr>
          <w:rFonts w:ascii="Georgia" w:eastAsia="Times New Roman" w:hAnsi="Georgia" w:cs="Calibri"/>
          <w:color w:val="333333"/>
          <w:sz w:val="20"/>
          <w:szCs w:val="20"/>
          <w:lang w:val="en"/>
        </w:rPr>
        <w:t> to Section 21. The section reads,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404 of RUPA specifically provides that a partner has a fiduciary duty to the partnership and other partners. It imposes the fiduciary standard on the duty of loyalty in three circumstances: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to account to the partnership and hold as trustee for it any property, profit, or benefit derived by the partner in the conduct and winding up of the partnership business or derived from a use by the partner of partnership property, including the appropriation of a partnership opportunity;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to refrain from dealing with the partnership in the conduct or winding up of the partnership business as or on behalf of a party having an interest adverse to the partnership; and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to refrain from competing with the partnership in the conduct of the partnership business before the dissolution of the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Limits on the Reach of the Fiduciary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sets out a fairly limited scope for application of the fiduciary standard, which is reasonable because partners do not delegate open-ended control to their copartners. Further, there are some specific limits on how far the fiduciary duty reaches (which means parties are held to the lower standard of “good faith”). Here are two examples. First, RUPA—unlike UPA—does not extend to the</w:t>
      </w:r>
      <w:r>
        <w:rPr>
          <w:rFonts w:ascii="Georgia" w:eastAsia="Times New Roman" w:hAnsi="Georgia" w:cs="Calibri"/>
          <w:i/>
          <w:iCs/>
          <w:color w:val="333333"/>
          <w:sz w:val="20"/>
          <w:szCs w:val="20"/>
          <w:lang w:val="en"/>
        </w:rPr>
        <w:t>formation</w:t>
      </w:r>
      <w:r>
        <w:rPr>
          <w:rFonts w:ascii="Georgia" w:eastAsia="Times New Roman" w:hAnsi="Georgia" w:cs="Calibri"/>
          <w:color w:val="333333"/>
          <w:sz w:val="20"/>
          <w:szCs w:val="20"/>
          <w:lang w:val="en"/>
        </w:rPr>
        <w:t> of the partnership; Comment 2 to RUPA Section 404 says that would be inappropriate because then the parties are “really dealing at arm’s length.” Second, fiduciary duty doesn’t apply to a dissociated partner (one who leaves the firm—discussed in </w:t>
      </w:r>
      <w:r>
        <w:rPr>
          <w:rFonts w:ascii="Georgia" w:eastAsia="Times New Roman" w:hAnsi="Georgia" w:cs="Calibri"/>
          <w:color w:val="2689C6"/>
          <w:sz w:val="20"/>
          <w:szCs w:val="20"/>
          <w:lang w:val="en"/>
        </w:rPr>
        <w:t>Section 23 "Dissociation"</w:t>
      </w:r>
      <w:r>
        <w:rPr>
          <w:rFonts w:ascii="Georgia" w:eastAsia="Times New Roman" w:hAnsi="Georgia" w:cs="Calibri"/>
          <w:color w:val="333333"/>
          <w:sz w:val="20"/>
          <w:szCs w:val="20"/>
          <w:lang w:val="en"/>
        </w:rPr>
        <w:t>) who can immediately begin competing without the others’ consent; and it doesn’t apply if a partner violates the standard “merely because the partner’s conduct furthers the partner’s own interest.”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Moreover, the partnership agreement may eliminate the duty of loyalty so long as that is not “manifestly unreasonable.”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Activities Affected by the Duty of Loyalty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duty of loyalty means, again, that partners must put the firm’s interest above their own. Thus it is held that a partner</w:t>
      </w:r>
    </w:p>
    <w:p w:rsidR="00A86150" w:rsidRDefault="00F714D4">
      <w:pPr>
        <w:pStyle w:val="ListParagraph"/>
        <w:numPr>
          <w:ilvl w:val="0"/>
          <w:numId w:val="55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may not compete with the partnership,</w:t>
      </w:r>
    </w:p>
    <w:p w:rsidR="00A86150" w:rsidRDefault="00F714D4">
      <w:pPr>
        <w:pStyle w:val="ListParagraph"/>
        <w:numPr>
          <w:ilvl w:val="0"/>
          <w:numId w:val="55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may not make a secret profit while doing partnership business,</w:t>
      </w:r>
    </w:p>
    <w:p w:rsidR="00A86150" w:rsidRDefault="00F714D4">
      <w:pPr>
        <w:pStyle w:val="ListParagraph"/>
        <w:numPr>
          <w:ilvl w:val="0"/>
          <w:numId w:val="557"/>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must maintain the confidentiality of partnership information.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certainly not a comprehensive list, and courts will determine on a case-by-case basis whether the duty of loyalty has been breached.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of Care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Stemming from its roots in agency law, partnership law also imposes a duty of care on partners. Partners are to faithfully serve to the best of their ability. Section 404 of RUPA imposes the fiduciary standard on the duty of care, but rather confusingly: how does the “punctilio of an honor the most sensitive”—as Judge Cardozo described that standard—apply when under RUPA Section 404(c) the “the duty of care…is limited to refraining from engaging in grossly negligent or reckless conduct, intentional misconduct, or a knowing violation of law”? Recognize that a person can attend to business both loyally and negligently. For example, Alice Able, a partner in a law firm who is not very familiar with the firm’s computerized bookkeeping system, attempts to trace a missing check and in so doing erases a month’s worth of records. She has not breached her duty of care: maybe she was negligent, but not grossly negligent under RUPA Section 404(c). The partnership agreement may reduce the duty of care so long as it is not “unreasonably reduce[d]”; it may increase the standard too.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of Obedience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partnership is a contractual relationship among the partners; they are all agents and principals of each other. Expressly or impliedly that means no partner can disobey the partnership agreement or fail to follow any properly made partnership decision. This includes the duty to act within the authority expressly or impliedly given in the partnership agreement, and a partner is responsible to the other partners for damages or losses arising from unauthorized activities.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Inform Copartners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in the agency relationship, a partner is expected to inform copartners of notices and matters coming to her attention that would be of interest to the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Account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partnership—and necessarily the partners—have a duty to allow copartners and their agents access to the partnership’s books and records and to provide “any information concerning the partnership’s business and affairs reasonably required for the proper exercise of the partner’s rights and duties under the partnership agreement [or this 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The fiduciary standard is imposed upon the duty to account for “it any property, profit, or benefit derived by [a] partner,” as noted in RUPA Section 404.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Rights That Partners Have in a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Necessarily, for every duty owed there is a correlative right. So, for example, if a partner has a duty to account, the other partners and the partnership have a right to an accounting. Beyond that, partners have recognized rights affecting the operation of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we may call out the following salient rights: (1) to distributions of money, (2) to management, (3) to choose copartners, (4) to property of the partnership, (5) to assign partnership interest, and (6) to enforce duties and rights.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Rights to Distributions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of a partnership is ultimately to distribute “money or other property from a partnership to a partner in the partner’s capacity.”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There are, however, various types of money distributions, including profits (and losses), indemnification, capital, and compensation.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Profits (and Losses)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Profits and losses may be shared according to any formula on which the partners agree. For example, the partnership agreement may provide that two senior partners are entitled to 35 percent each of the profit from the year and the two junior partners are entitled to 15 percent each. The next year the percentages will be adjusted based on such things as number of new clients garnered, number of billable hours, or amount of income generated. Eventually, the senior partners might retire and each be entitled to 2 percent of the firm’s income, and the previous junior partners become senior, with new junior partners admitted.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no provision is stated, then under RUPA Section 401(b), “each partner is entitled to an equal share of the partnership profits and is chargeable with a share of the partnership losses in proportion to the partner’s share of the profits.” Section 18(a) of the Uniform Partnership Act is to the same effect. The right to share in the profits is the reason people want to “make partner”: a partner will reap the benefits of other partners’ successes (and pay for their failures too). A person working for the firm who is not a partner is an associate and usually only gets only a salary.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Indemnification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partner who incurs liabilities in the normal course of business or to preserve its business or property is entitled to indemnification (UPA Section 18(b), RUPA Section 401(c)). The liability is a loan owing to the partner by the firm.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Return of Capital Contribution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partner joins a partnership, she is expected to make a capital contribution to the firm; this may be deducted from her share of the distributed profit and banked by the firm in its capital account. The law provides that “the partnership must reimburse a partner for an advance of funds beyond the amount of the partner’s agreed capital contribution, thereby treating the advance as a loan.”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A partner may get a return of capital under UPA after creditors are paid off if the business is wound down and terminated.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401(d) of RUPA provides that “a partner is not entitled to remuneration for services performed for the partnership, except for reasonable compensation for services rendered in winding up the business of the partnership”; UPA Section 18(f) is to the same effect. A partner gets his money from the firm by sharing the profits,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by a salary or wages.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Management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partners are entitled to share equally in the management and conduct of the business, unless the partnership agreement provides otherwise.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r>
        <w:rPr>
          <w:rFonts w:ascii="Georgia" w:eastAsia="Times New Roman" w:hAnsi="Georgia" w:cs="Calibri"/>
          <w:color w:val="333333"/>
          <w:sz w:val="20"/>
          <w:szCs w:val="20"/>
          <w:lang w:val="en"/>
        </w:rPr>
        <w:t> The partnership agreement could be structured to delegate more decision-making power to one class of partners (senior partners) than to others (junior partners), or it may give more voting weight to certain individuals. For example, perhaps those with the most experience will, for the first four years after a new partner is admitted, have more voting weight than the new partner.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Choose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business partnership is often analogized to a marriage partnership. In both there is a relationship of trust and confidence between (or among) the parties; in both the poor judgment, negligence, or dishonesty of one can create liabilities on the other(s). In a good marriage or good partnership, the partners are friends, whatever else the legal relationship imposes. Thus no one is compelled to accept a partner against his or her will. Section 401(i) of RUPA provides, “A person may become a partner only with the consent of all of the partners.” UPA Section 18(g) is to the same effect; the doctrine is called delectus personae. The freedom to select new partners, however, is not absolute. In 1984, the Supreme Court held that Title VII of the Civil Rights Act of 1964—which prohibits discrimination in employment based on race, religion, national origin, or sex—applies to partnerships.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Property of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 are the owners of the partnership, which might not include any physical property; that is, one partner could contribute the building, furnishings, and equipment and rent those to the partnership (or those could count as her partnership capital contribution and become the partnership’s). But partnership property consists of all property originally advanced or contributed to the partnership or subsequently acquired by purchase or contribution. Unless a contrary intention can be shown, property acquired with partnership funds is partnership property, not an individual partner’s: “Property acquired by a partnership is property of the partnership and not of the partners individually.”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Rights in Specific Partnership Property: UPA Approach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Able, who contributed the building and grounds on which the partnership business is conducted, suddenly dies. Who is entitled to her share of the specific property, such as inventory, the building, and the money in the cash register—her husband and children, or the other partners, Baker and Carr? Section 25(1) of UPA declares that the partners hold the partnership property astenants in partnership. As spelled out in Section 25(2), the specific property interest of a tenant in partnership vests in the surviving partners, not in the heirs. But the heirs are entitled to the deceased partner’s interest in the partnership itself, so that while Baker and Carr may use the partnership property for the benefit of the partnership without consulting Able’s heirs, they must account to her heirs for her proper share of the partnership’s profits.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Rights in Specific Property: RUPA Approach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501 of RUPA provides, “A partner is not a co-owner of partnership property and has no interest in partnership property which can be transferred, either voluntarily or involuntarily.” Partnership property is owned by the entity; UPA’s concept of tenants in partnership is abolished in favor of adoption of the entity theory. The result, however, is not different.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Assign Partnership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hallmarks of the capitalistic system is that people should be able to dispose of their property interests more or less as they see fit. Partnership interests may be assigned to some extent.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Voluntary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assignment of a partner’s interest in the business—for example, as a mortgage in return for a loan—would result in a legal dissolution of the partnership. Thus in the absence of UPA, which changed the law, Baker’s decision to mortgage his interest in the car dealership in return for a $20,000 loan from his bank would mean that the three—Able, Baker, and Carr—were no longer partners. Section 27 of UPA declares that assignment of an interest in the partnership neither dissolves the partnership nor entitles the assignee “to interfere in the management or administration of the partnership business or affairs, or to require any information or account of partnership transactions, or to inspect the partnership books.” The assignment merely entitles the assignee to receive whatever profits the assignor would have received—this is the assignor’s transferable interest.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r>
        <w:rPr>
          <w:rFonts w:ascii="Georgia" w:eastAsia="Times New Roman" w:hAnsi="Georgia" w:cs="Calibri"/>
          <w:color w:val="333333"/>
          <w:sz w:val="20"/>
          <w:szCs w:val="20"/>
          <w:lang w:val="en"/>
        </w:rPr>
        <w:t> Under UPA, this interest is assignable.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[16]</w:t>
      </w:r>
      <w:bookmarkStart w:id="31" w:name="fn-16"/>
      <w:bookmarkEnd w:id="31"/>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RUPA, the same distinction is made between a partner’s interest in the partnership and a partner’s transferable interest. The Official Comment to Section 101 reads as follows: “‘Partnership interest’ or ‘partner’s interest in the partnership’ is defined to mean all of a partner’s interests in the partnership, including the partner’s transferable interest and all management and other rights. A partner’s ‘transferable interest’ is a more limited concept and means only his share of the profits and losses and right to receive distributions, that is, the partner’s economic interests.”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[17]</w:t>
      </w:r>
      <w:bookmarkStart w:id="32" w:name="fn-17"/>
      <w:bookmarkEnd w:id="32"/>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transferable interest is assignable under RUPA 503 (unless the partners agree to restrict transfers, Section 103(a)). It does not, by itself, cause the dissolution of the partnership; it does not entitle the transferee to access to firm information, to participate in running the firm, or to inspect or copy the books. The transferee is entitled to whatever distributions the transferor partner would have been entitled to, including, upon dissolution of the firm, the net amounts the transferor would have received had there been no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RUPA Section 101(b)(3) confers standing on a transferee to seek a judicial dissolution and winding up of the partnership business as provided in Section 801(6), thus continuing the rule of UPA Section 32(2). But under RUPA 601(4)(ii), the other partners may by unanimous vote expel a partner who has made “a transfer of all or substantially all of that partner’s transferable interest in the partnership, other than a transfer for security purposes [as for a loan].” Upon a creditor </w:t>
      </w:r>
      <w:r>
        <w:rPr>
          <w:rFonts w:ascii="Georgia" w:eastAsia="Times New Roman" w:hAnsi="Georgia" w:cs="Calibri"/>
          <w:i/>
          <w:iCs/>
          <w:color w:val="333333"/>
          <w:sz w:val="20"/>
          <w:szCs w:val="20"/>
          <w:lang w:val="en"/>
        </w:rPr>
        <w:t>foreclosure</w:t>
      </w:r>
      <w:r>
        <w:rPr>
          <w:rFonts w:ascii="Georgia" w:eastAsia="Times New Roman" w:hAnsi="Georgia" w:cs="Calibri"/>
          <w:color w:val="333333"/>
          <w:sz w:val="20"/>
          <w:szCs w:val="20"/>
          <w:lang w:val="en"/>
        </w:rPr>
        <w:t> of the security interest, though, the partner may be expelled.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Involuntary Assignment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be a misnomer to describe an involuntary assignment as a “right”; it might better be thought of as a consequence of the right to own property. In any event, if a partner is sued in his personal capacity and a judgment is rendered against him, the question arises: may the judgment creditor seize partnership property? Section 28 of UPA and RUPA Section 504 permit a judgment creditor to obtain a charging order, which charges the partner’s interest in the partnership with obligation to satisfy the judgment. The court may appoint a receiver to ensure that partnership proceeds are paid to the judgment creditor. But the creditor is not entitled to specific partnership property. The partner may always pay off the debt and redeem his interest in the partnership. If the partner does not pay off the debt, the holder of the charging order may acquire legal ownership of the partner’s interest. That confers upon the judgment creditor an important power: he may, if the partnership is one at will, dissolve the partnership and claim the partner’s share of the assets. For that reason, the copartners might wish to redeem the interest—pay off the creditor—in order to preserve the partnership. As with the voluntary assignment, the assignee of an involuntary assignment does not become a partner. See </w:t>
      </w:r>
      <w:r>
        <w:rPr>
          <w:rFonts w:ascii="Georgia" w:eastAsia="Times New Roman" w:hAnsi="Georgia" w:cs="Calibri"/>
          <w:color w:val="2689C6"/>
          <w:sz w:val="20"/>
          <w:szCs w:val="20"/>
          <w:lang w:val="en"/>
        </w:rPr>
        <w:t>Figure 23.1 "Property Rights"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23.1</w:t>
      </w:r>
      <w:r>
        <w:rPr>
          <w:rFonts w:ascii="Georgia" w:eastAsia="Times New Roman" w:hAnsi="Georgia" w:cs="Calibri"/>
          <w:i/>
          <w:iCs/>
          <w:color w:val="BB9966"/>
          <w:sz w:val="21"/>
          <w:szCs w:val="21"/>
          <w:lang w:val="en"/>
        </w:rPr>
        <w:t> Property Rights</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562100"/>
            <wp:effectExtent l="0" t="0" r="0" b="0"/>
            <wp:docPr id="119" name="Picture 28" descr="http://images.flatworldknowledge.com/mayerlawentrep/mayerlawentrep-fig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lawentrep/mayerlawentrep-fig41_0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Enforce Partnership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rights and duties imposed by partnership law are, of course, valueless unless they can be enforced. Partners and partnerships have mechanisms under the law to enforce them.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 to Information and Inspection of Books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noted in </w:t>
      </w:r>
      <w:r>
        <w:rPr>
          <w:rFonts w:ascii="Georgia" w:eastAsia="Times New Roman" w:hAnsi="Georgia" w:cs="Calibri"/>
          <w:color w:val="2689C6"/>
          <w:sz w:val="20"/>
          <w:szCs w:val="20"/>
          <w:lang w:val="en"/>
        </w:rPr>
        <w:t>Section 23.1.1 "Duties Partners Owe Each Other"</w:t>
      </w:r>
      <w:r>
        <w:rPr>
          <w:rFonts w:ascii="Georgia" w:eastAsia="Times New Roman" w:hAnsi="Georgia" w:cs="Calibri"/>
          <w:color w:val="333333"/>
          <w:sz w:val="20"/>
          <w:szCs w:val="20"/>
          <w:lang w:val="en"/>
        </w:rPr>
        <w:t> of this chapter that partners have a duty to account; the corollary right is the right to access books and records, which is usually very important in determining partnership rights. Section 403(b) of RUPA provides, “A partnership shall provide partners and their agents and attorneys access to its books and records. It shall provide former partners and their agents and attorneys access to books and records pertaining to the period during which they were partners. The right of access provides the opportunity to inspect and copy books and records during ordinary business hours. A partnership may impose a reasonable charge, covering the costs of labor and material, for copies of documents furnished.”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[18]</w:t>
      </w:r>
      <w:bookmarkStart w:id="33" w:name="fn-18"/>
      <w:bookmarkEnd w:id="33"/>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19 of UPA is basically in accord. This means that without demand—and for any purpose—the partnership must provide any information concerning its business and affairs reasonably required for the proper exercise of the partner’s rights and duties under the partnership agreement or the act; and on demand, it must provide any other information concerning the partnership’s business and affairs, unless the demand is unreasonable or improper.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[19]</w:t>
      </w:r>
      <w:bookmarkStart w:id="34" w:name="fn-19"/>
      <w:bookmarkEnd w:id="34"/>
      <w:r>
        <w:rPr>
          <w:rFonts w:ascii="Georgia" w:eastAsia="Times New Roman" w:hAnsi="Georgia" w:cs="Calibri"/>
          <w:color w:val="333333"/>
          <w:sz w:val="20"/>
          <w:szCs w:val="20"/>
          <w:lang w:val="en"/>
        </w:rPr>
        <w:t> Generally, the partnership agreement cannot deny the right to inspection.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duty to account mentioned in </w:t>
      </w:r>
      <w:r>
        <w:rPr>
          <w:rFonts w:ascii="Georgia" w:eastAsia="Times New Roman" w:hAnsi="Georgia" w:cs="Calibri"/>
          <w:color w:val="2689C6"/>
          <w:sz w:val="20"/>
          <w:szCs w:val="20"/>
          <w:lang w:val="en"/>
        </w:rPr>
        <w:t>Section 23.1.1 "Duties Partners Owe Each Other"</w:t>
      </w:r>
      <w:r>
        <w:rPr>
          <w:rFonts w:ascii="Georgia" w:eastAsia="Times New Roman" w:hAnsi="Georgia" w:cs="Calibri"/>
          <w:color w:val="333333"/>
          <w:sz w:val="20"/>
          <w:szCs w:val="20"/>
          <w:lang w:val="en"/>
        </w:rPr>
        <w:t> of this chapter normally means that the partners and the partnership should keep reasonable records so everyone can tell what is going on. A formal accounting under UPA is different.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UPA Section 22, any partner is entitled to a formal account (or accounting) of the partnership affairs under the following conditions:</w:t>
      </w:r>
    </w:p>
    <w:p w:rsidR="00A86150" w:rsidRDefault="00F714D4">
      <w:pPr>
        <w:pStyle w:val="ListParagraph"/>
        <w:numPr>
          <w:ilvl w:val="0"/>
          <w:numId w:val="558"/>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he is wrongfully excluded from the partnership business or possession of its property by his copartners;</w:t>
      </w:r>
    </w:p>
    <w:p w:rsidR="00A86150" w:rsidRDefault="00F714D4">
      <w:pPr>
        <w:pStyle w:val="ListParagraph"/>
        <w:numPr>
          <w:ilvl w:val="0"/>
          <w:numId w:val="558"/>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right exists under the terms of any agreement;</w:t>
      </w:r>
    </w:p>
    <w:p w:rsidR="00A86150" w:rsidRDefault="00F714D4">
      <w:pPr>
        <w:pStyle w:val="ListParagraph"/>
        <w:numPr>
          <w:ilvl w:val="0"/>
          <w:numId w:val="558"/>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partner profits in violation of his fiduciary duty (as per UPA 22); and</w:t>
      </w:r>
    </w:p>
    <w:p w:rsidR="00A86150" w:rsidRDefault="00F714D4">
      <w:pPr>
        <w:pStyle w:val="ListParagraph"/>
        <w:numPr>
          <w:ilvl w:val="0"/>
          <w:numId w:val="558"/>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Whenever it is otherwise just and reasonable.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partners could not obtain an accounting except in the event of dissolution. But from an early date, equity courts would appoint a referee, auditor, or special master to investigate the books of a business when one of the partners had grounds to complain, and UPA broadened considerably the right to an accounting. The court has plenary power to investigate all facets of the business, evaluate claims, declare legal rights among the parties, and order money judgments against any partner in the wrong.</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RUPA Section 405, this “accounting” business is somewhat modified. Reflecting the entity theory, the </w:t>
      </w:r>
      <w:r>
        <w:rPr>
          <w:rFonts w:ascii="Georgia" w:eastAsia="Times New Roman" w:hAnsi="Georgia" w:cs="Calibri"/>
          <w:i/>
          <w:iCs/>
          <w:color w:val="333333"/>
          <w:sz w:val="20"/>
          <w:szCs w:val="20"/>
          <w:lang w:val="en"/>
        </w:rPr>
        <w:t>partnership</w:t>
      </w:r>
      <w:r>
        <w:rPr>
          <w:rFonts w:ascii="Georgia" w:eastAsia="Times New Roman" w:hAnsi="Georgia" w:cs="Calibri"/>
          <w:color w:val="333333"/>
          <w:sz w:val="20"/>
          <w:szCs w:val="20"/>
          <w:lang w:val="en"/>
        </w:rPr>
        <w:t> can sue a partner for wrongdoing, which is not allowed under UPA. Moreover, to quote from the Official Comment, RUPA “provides that, during the term of the partnership, partners may maintain a variety of legal or equitable actions, including an action for an accounting, as well as a final action for an accounting upon dissolution and winding up. It reflects a new policy choice that partners should have access to the courts during the term of the partnership to resolve claims against the partnership and the other partners, leaving broad judicial discretion to fashion appropriate remedies[, and] an accounting is not a prerequisite to the availability of the other remedies a partner may have against the partnership or the other partners.”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[20]</w:t>
      </w:r>
      <w:bookmarkStart w:id="35" w:name="fn-20"/>
      <w:bookmarkEnd w:id="35"/>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Partners have important duties in a partnership, including (1) the duty to serve—that is, to devote herself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breach any aspect of the agreement or act without authority; (5) the duty to inform copartners; and (6) the duty to account to the partnership.</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Partners also have rights. These include the rights (1) to distributions of money, including profits (and losses), indemnification, and return of capital contribution (but not a right to compensation); (2) to management; (3) to choose copartners; (4) to property of the partnership, and no partner has any rights to specific property; (5) to assign (voluntarily or involuntarily) the partnership interest; and (6) to enforce duties and rights by suits in law or equity. (Under RUPA, a formal accounting is not first required.)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5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“fiduciary duty,” and why is it imposed on some partners’ actions with the partnership?</w:t>
      </w:r>
    </w:p>
    <w:p w:rsidR="00A86150" w:rsidRDefault="00F714D4">
      <w:pPr>
        <w:numPr>
          <w:ilvl w:val="0"/>
          <w:numId w:val="55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ownership of partnership property under UPA as opposed to under RUPA.</w:t>
      </w:r>
    </w:p>
    <w:p w:rsidR="00A86150" w:rsidRDefault="00F714D4">
      <w:pPr>
        <w:numPr>
          <w:ilvl w:val="0"/>
          <w:numId w:val="55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Carlos obtained a judgment against Pauline, a partner in a partnership, for negligently crashing her car into Carlos’s while she was not in the scope of partnership business. Carlos wants to satisfy the judgment from her employer. How can Carlos do that?</w:t>
      </w:r>
    </w:p>
    <w:p w:rsidR="00A86150" w:rsidRDefault="00F714D4">
      <w:pPr>
        <w:numPr>
          <w:ilvl w:val="0"/>
          <w:numId w:val="55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the duty to account and a formal partnership accounting?</w:t>
      </w:r>
    </w:p>
    <w:p w:rsidR="00A86150" w:rsidRDefault="00F714D4">
      <w:pPr>
        <w:numPr>
          <w:ilvl w:val="0"/>
          <w:numId w:val="55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it mean to say a partnership interest has been involuntarily assigned?</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basic mission of RUPA is to serve the small firm. Large partnerships can fend for themselves by drafting partnership agreements that suit their special needs.” Donald J. Weidner, “RUPA and Fiduciary Duty: The Texture of Relationship,” </w:t>
      </w:r>
      <w:r>
        <w:rPr>
          <w:rFonts w:ascii="Calibri" w:eastAsia="Times New Roman" w:hAnsi="Calibri" w:cs="Calibri"/>
          <w:i/>
          <w:iCs/>
          <w:color w:val="333333"/>
          <w:sz w:val="20"/>
          <w:szCs w:val="20"/>
        </w:rPr>
        <w:t>Law and Contemporary Problems</w:t>
      </w:r>
      <w:r>
        <w:rPr>
          <w:rFonts w:ascii="Calibri" w:eastAsia="Times New Roman" w:hAnsi="Calibri" w:cs="Calibri"/>
          <w:color w:val="333333"/>
          <w:sz w:val="20"/>
          <w:szCs w:val="20"/>
        </w:rPr>
        <w:t> 58, no. 2 (1995): 81, 83.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Revised Uniform Partnership Act, Section 404, Comment 3: “Indeed, the law of partnership reflects the broader law of principal and agent, under which every agent is a fiduciary.”</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Meinhard v. Salmon</w:t>
      </w:r>
      <w:r>
        <w:rPr>
          <w:rFonts w:ascii="Calibri" w:eastAsia="Times New Roman" w:hAnsi="Calibri" w:cs="Calibri"/>
          <w:color w:val="333333"/>
          <w:sz w:val="20"/>
          <w:szCs w:val="20"/>
        </w:rPr>
        <w:t>, 164 N.E. 545 (N.Y. 1928).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RUPA, Section 503(b)(2); RUPA, Section 404 (e).</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RUPA, Section 103(2)(c).</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RUPA, Section 103(2)(d); RUPA, Section 103.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UPA, Sections 19 and 20; RUPA, Section 403.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RUPA, Section 404(1).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RUPA, Section 101(3).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UPA, Section 18(c); RUPA, Section 401(d).</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UPA, Section 40(b); RUPA, Section 807(b).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UPA, Section 18(e); RUPA, Section 401(f).</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Hishon v. King &amp; Spalding</w:t>
      </w:r>
      <w:r>
        <w:rPr>
          <w:rFonts w:ascii="Calibri" w:eastAsia="Times New Roman" w:hAnsi="Calibri" w:cs="Calibri"/>
          <w:color w:val="333333"/>
          <w:sz w:val="20"/>
          <w:szCs w:val="20"/>
        </w:rPr>
        <w:t>, 467 U.S. 69 (1984).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RUPA, Section 203; UPA, Sections 8(1) and 25.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UPA, Section 26.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bookmarkStart w:id="36" w:name="ftn.fn-16"/>
      <w:bookmarkEnd w:id="36"/>
      <w:r>
        <w:rPr>
          <w:rFonts w:ascii="Calibri" w:eastAsia="Times New Roman" w:hAnsi="Calibri" w:cs="Calibri"/>
          <w:color w:val="333333"/>
          <w:sz w:val="20"/>
          <w:szCs w:val="20"/>
        </w:rPr>
        <w:t> UPA, Section 27.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bookmarkStart w:id="37" w:name="ftn.fn-17"/>
      <w:bookmarkEnd w:id="37"/>
      <w:r>
        <w:rPr>
          <w:rFonts w:ascii="Calibri" w:eastAsia="Times New Roman" w:hAnsi="Calibri" w:cs="Calibri"/>
          <w:color w:val="333333"/>
          <w:sz w:val="20"/>
          <w:szCs w:val="20"/>
        </w:rPr>
        <w:t> RUPA, Official Comment to Section 101.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bookmarkStart w:id="38" w:name="ftn.fn-18"/>
      <w:bookmarkEnd w:id="38"/>
      <w:r>
        <w:rPr>
          <w:rFonts w:ascii="Calibri" w:eastAsia="Times New Roman" w:hAnsi="Calibri" w:cs="Calibri"/>
          <w:color w:val="333333"/>
          <w:sz w:val="20"/>
          <w:szCs w:val="20"/>
        </w:rPr>
        <w:t> RUPA Section 403(b).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bookmarkStart w:id="39" w:name="ftn.fn-19"/>
      <w:bookmarkEnd w:id="39"/>
      <w:r>
        <w:rPr>
          <w:rFonts w:ascii="Calibri" w:eastAsia="Times New Roman" w:hAnsi="Calibri" w:cs="Calibri"/>
          <w:color w:val="333333"/>
          <w:sz w:val="20"/>
          <w:szCs w:val="20"/>
        </w:rPr>
        <w:t> RUPA, Section 403(c)(1); RUPA, Section 403(c)(2).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bookmarkStart w:id="40" w:name="ftn.fn-20"/>
      <w:bookmarkEnd w:id="40"/>
      <w:r>
        <w:rPr>
          <w:rFonts w:ascii="Calibri" w:eastAsia="Times New Roman" w:hAnsi="Calibri" w:cs="Calibri"/>
          <w:color w:val="333333"/>
          <w:sz w:val="20"/>
          <w:szCs w:val="20"/>
        </w:rPr>
        <w:t> RUPA Official Comment 2, Section 405(b).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23.2 Operation: The Partnership and Third Parties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60"/>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partners’ and partnership’s contract liability.</w:t>
      </w:r>
    </w:p>
    <w:p w:rsidR="00A86150" w:rsidRDefault="00F714D4">
      <w:pPr>
        <w:numPr>
          <w:ilvl w:val="0"/>
          <w:numId w:val="560"/>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partners’ and partnership’s tort and criminal liability.</w:t>
      </w:r>
    </w:p>
    <w:p w:rsidR="00A86150" w:rsidRDefault="00F714D4">
      <w:pPr>
        <w:numPr>
          <w:ilvl w:val="0"/>
          <w:numId w:val="560"/>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partners’ and partnership’s tax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express terms, the law of agency applies to partnership law. Every partner is an agent of the partnership for the purpose of its business. Consequently, the following discussion will be a review of agency law, covered in </w:t>
      </w:r>
      <w:r>
        <w:rPr>
          <w:rFonts w:ascii="Georgia" w:eastAsia="Times New Roman" w:hAnsi="Georgia" w:cs="Calibri"/>
          <w:color w:val="2689C6"/>
          <w:sz w:val="20"/>
          <w:szCs w:val="20"/>
          <w:lang w:val="en"/>
        </w:rPr>
        <w:t>Chapter 22 "Partnerships: General Characteristics and Formation"</w:t>
      </w:r>
      <w:r>
        <w:rPr>
          <w:rFonts w:ascii="Georgia" w:eastAsia="Times New Roman" w:hAnsi="Georgia" w:cs="Calibri"/>
          <w:color w:val="333333"/>
          <w:sz w:val="20"/>
          <w:szCs w:val="20"/>
          <w:lang w:val="en"/>
        </w:rPr>
        <w:t> as it applies to partnerships. The Revised Uniform Partnership Act (RUPA) adds a few new wrinkles to the liability issue.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Contract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of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an agent can make contracts on behalf of a principal under three types of authority: express, implied, and apparent. </w:t>
      </w:r>
      <w:r>
        <w:rPr>
          <w:rFonts w:ascii="Georgia" w:eastAsia="Times New Roman" w:hAnsi="Georgia" w:cs="Calibri"/>
          <w:i/>
          <w:iCs/>
          <w:color w:val="333333"/>
          <w:sz w:val="20"/>
          <w:szCs w:val="20"/>
          <w:lang w:val="en"/>
        </w:rPr>
        <w:t>Express authority</w:t>
      </w:r>
      <w:r>
        <w:rPr>
          <w:rFonts w:ascii="Georgia" w:eastAsia="Times New Roman" w:hAnsi="Georgia" w:cs="Calibri"/>
          <w:color w:val="333333"/>
          <w:sz w:val="20"/>
          <w:szCs w:val="20"/>
          <w:lang w:val="en"/>
        </w:rPr>
        <w:t> is that explicitly delegated to the agent, </w:t>
      </w:r>
      <w:r>
        <w:rPr>
          <w:rFonts w:ascii="Georgia" w:eastAsia="Times New Roman" w:hAnsi="Georgia" w:cs="Calibri"/>
          <w:i/>
          <w:iCs/>
          <w:color w:val="333333"/>
          <w:sz w:val="20"/>
          <w:szCs w:val="20"/>
          <w:lang w:val="en"/>
        </w:rPr>
        <w:t>implied authority</w:t>
      </w:r>
      <w:r>
        <w:rPr>
          <w:rFonts w:ascii="Georgia" w:eastAsia="Times New Roman" w:hAnsi="Georgia" w:cs="Calibri"/>
          <w:color w:val="333333"/>
          <w:sz w:val="20"/>
          <w:szCs w:val="20"/>
          <w:lang w:val="en"/>
        </w:rPr>
        <w:t> is that necessary to the carrying out of the express authority, and </w:t>
      </w:r>
      <w:r>
        <w:rPr>
          <w:rFonts w:ascii="Georgia" w:eastAsia="Times New Roman" w:hAnsi="Georgia" w:cs="Calibri"/>
          <w:i/>
          <w:iCs/>
          <w:color w:val="333333"/>
          <w:sz w:val="20"/>
          <w:szCs w:val="20"/>
          <w:lang w:val="en"/>
        </w:rPr>
        <w:t>apparent authority</w:t>
      </w:r>
      <w:r>
        <w:rPr>
          <w:rFonts w:ascii="Georgia" w:eastAsia="Times New Roman" w:hAnsi="Georgia" w:cs="Calibri"/>
          <w:color w:val="333333"/>
          <w:sz w:val="20"/>
          <w:szCs w:val="20"/>
          <w:lang w:val="en"/>
        </w:rPr>
        <w:t> is that which a third party is led to believe has been conferred by the principal on the agent, even though in fact it was not or it was revoked. When a partner has authority, the partnership is bound by contracts the partner makes on its behalf. </w:t>
      </w:r>
      <w:r>
        <w:rPr>
          <w:rFonts w:ascii="Georgia" w:eastAsia="Times New Roman" w:hAnsi="Georgia" w:cs="Calibri"/>
          <w:color w:val="2689C6"/>
          <w:sz w:val="20"/>
          <w:szCs w:val="20"/>
          <w:lang w:val="en"/>
        </w:rPr>
        <w:t>Section 23.4.2 "Partnership Authority, Express or Apparent"</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Hodge v. Garrett</w:t>
      </w:r>
      <w:r>
        <w:rPr>
          <w:rFonts w:ascii="Georgia" w:eastAsia="Times New Roman" w:hAnsi="Georgia" w:cs="Calibri"/>
          <w:color w:val="333333"/>
          <w:sz w:val="20"/>
          <w:szCs w:val="20"/>
          <w:lang w:val="en"/>
        </w:rPr>
        <w:t>, discusses all three types of authority.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General Rule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305 of RUPA restates agency law: “A partnership is liable for loss or injury, or for a penalty incurred, as a result of a wrongful act or omission, or other actionable conduct, of a partner acting in the ordinary course”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of partnership business or with its authority. The ability of a partner to bind the partnership to contract liability is problematic, especially where the authority is apparent: the firm denies liability, lawsuits ensue, and unhappiness generally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firm is not liable for an act not apparently in the ordinary course of business, unless the act was authorized by the others.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Section 401(j) of RUPA requires the unanimous consent of the partners for a grant of authority outside the ordinary course of business, unless the partnership agreement provides otherwise.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Uniform Partnership Act (UPA) Section 9(3), the firm is not liable for five actions that no single partner has implied or apparent authority to do, because they are not “in the ordinary course of partnership.” These actions are: (1) assignment of partnership property for the benefit of creditors, (2) disposing of the firm’s goodwill (selling the right to do business with the firm’s clients to another business), (3) actions that make it impossible to carry on the business, (4) confessing a judgment against the partnership, and (5) submitting a partnership claim or liability. RUPA omits that section, leaving it to the courts to decide the outer limits of the agency power of a partner. In any event, unauthorized actions by a partner may be ratified by the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Partnership “Statements”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New under RUPA is the ability of partnerships, partners, or even nonpartners to issue and file “statements” that announce to the world the establishment or denial of authority. The goal here is to control the reach of apparent authority. There are several kinds of statements authorized.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of partnership authority is allowed by RUPA Section 303. It specifies the names of the partners authorized, or not authorized, to enter into transactions on behalf of the partnership and any other matters. The most important goal of the statement of authority is to facilitate the transfer of real property held in the name of the partnership. A statement must specify the names of the partners authorized to execute an instrument transferring that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of denial, RUPA Section 304, operates to allow partners (and persons named as partners) an opportunity to deny any fact asserted in a statement of partnership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of dissociation, RUPA Section 704, may be filed by a partnership or a dissociated partner, informing the world that the person is no longer a partner. This tells the world that the named person is no longer in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other statements authorized: a </w:t>
      </w:r>
      <w:r>
        <w:rPr>
          <w:rFonts w:ascii="Georgia" w:eastAsia="Times New Roman" w:hAnsi="Georgia" w:cs="Calibri"/>
          <w:i/>
          <w:iCs/>
          <w:color w:val="333333"/>
          <w:sz w:val="20"/>
          <w:szCs w:val="20"/>
          <w:lang w:val="en"/>
        </w:rPr>
        <w:t>statement of qualification</w:t>
      </w:r>
      <w:r>
        <w:rPr>
          <w:rFonts w:ascii="Georgia" w:eastAsia="Times New Roman" w:hAnsi="Georgia" w:cs="Calibri"/>
          <w:color w:val="333333"/>
          <w:sz w:val="20"/>
          <w:szCs w:val="20"/>
          <w:lang w:val="en"/>
        </w:rPr>
        <w:t>establishes that the partnership has satisfied all conditions precedent to the qualification of the partnership as a limited liability partnership; a </w:t>
      </w:r>
      <w:r>
        <w:rPr>
          <w:rFonts w:ascii="Georgia" w:eastAsia="Times New Roman" w:hAnsi="Georgia" w:cs="Calibri"/>
          <w:i/>
          <w:iCs/>
          <w:color w:val="333333"/>
          <w:sz w:val="20"/>
          <w:szCs w:val="20"/>
          <w:lang w:val="en"/>
        </w:rPr>
        <w:t>statement of foreign qualification</w:t>
      </w:r>
      <w:r>
        <w:rPr>
          <w:rFonts w:ascii="Georgia" w:eastAsia="Times New Roman" w:hAnsi="Georgia" w:cs="Calibri"/>
          <w:color w:val="333333"/>
          <w:sz w:val="20"/>
          <w:szCs w:val="20"/>
          <w:lang w:val="en"/>
        </w:rPr>
        <w:t> means a limited liability partnership is qualified and registered to do business in a state other than that in which it is originally registered; and a </w:t>
      </w:r>
      <w:r>
        <w:rPr>
          <w:rFonts w:ascii="Georgia" w:eastAsia="Times New Roman" w:hAnsi="Georgia" w:cs="Calibri"/>
          <w:i/>
          <w:iCs/>
          <w:color w:val="333333"/>
          <w:sz w:val="20"/>
          <w:szCs w:val="20"/>
          <w:lang w:val="en"/>
        </w:rPr>
        <w:t>statement of amendment or cancellation</w:t>
      </w:r>
      <w:r>
        <w:rPr>
          <w:rFonts w:ascii="Georgia" w:eastAsia="Times New Roman" w:hAnsi="Georgia" w:cs="Calibri"/>
          <w:color w:val="333333"/>
          <w:sz w:val="20"/>
          <w:szCs w:val="20"/>
          <w:lang w:val="en"/>
        </w:rPr>
        <w:t> of any of the foregoing.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Limited liability partnerships are taken up in </w:t>
      </w:r>
      <w:r>
        <w:rPr>
          <w:rFonts w:ascii="Georgia" w:eastAsia="Times New Roman" w:hAnsi="Georgia" w:cs="Calibri"/>
          <w:color w:val="2689C6"/>
          <w:sz w:val="20"/>
          <w:szCs w:val="20"/>
          <w:lang w:val="en"/>
        </w:rPr>
        <w:t>Chapter 24 "Hybrid Business Forms"</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Generally, RUPA Section 105 allows partnerships to file these statements with the state secretary of state’s office; those affecting real estate need to be filed with (or also with) the local county land recorder’s office. The notices bind those who know about them right away, and they are constructive notice to the world after ninety days as to authority to transfer real property in the partnership’s name, as to dissociation, and as to dissolution. However, as to other grants or limitations of authority, “only a third party who knows or has received a notification of a partner’s lack of authority in an ordinary course transaction is bound.”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RUPA is mostly intended to provide the rules for the small, unsophisticated partnership, it is questionable whether these arcane “statements” are very often employed.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Personal Liability of Partners, in General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clear that the </w:t>
      </w:r>
      <w:r>
        <w:rPr>
          <w:rFonts w:ascii="Georgia" w:eastAsia="Times New Roman" w:hAnsi="Georgia" w:cs="Calibri"/>
          <w:i/>
          <w:iCs/>
          <w:color w:val="333333"/>
          <w:sz w:val="20"/>
          <w:szCs w:val="20"/>
          <w:lang w:val="en"/>
        </w:rPr>
        <w:t>partnership</w:t>
      </w:r>
      <w:r>
        <w:rPr>
          <w:rFonts w:ascii="Georgia" w:eastAsia="Times New Roman" w:hAnsi="Georgia" w:cs="Calibri"/>
          <w:color w:val="333333"/>
          <w:sz w:val="20"/>
          <w:szCs w:val="20"/>
          <w:lang w:val="en"/>
        </w:rPr>
        <w:t> is liable for contracts by authorized partners, as discussed in the preceding paragraphs. The bad thing about the partnership as a form of business organization is that it imposes liability on the partners</w:t>
      </w:r>
      <w:r>
        <w:rPr>
          <w:rFonts w:ascii="Georgia" w:eastAsia="Times New Roman" w:hAnsi="Georgia" w:cs="Calibri"/>
          <w:i/>
          <w:iCs/>
          <w:color w:val="333333"/>
          <w:sz w:val="20"/>
          <w:szCs w:val="20"/>
          <w:lang w:val="en"/>
        </w:rPr>
        <w:t>personally and without limit</w:t>
      </w:r>
      <w:r>
        <w:rPr>
          <w:rFonts w:ascii="Georgia" w:eastAsia="Times New Roman" w:hAnsi="Georgia" w:cs="Calibri"/>
          <w:color w:val="333333"/>
          <w:sz w:val="20"/>
          <w:szCs w:val="20"/>
          <w:lang w:val="en"/>
        </w:rPr>
        <w:t>. Section 306 of RUPA provides that “all partners are liable jointly and severally for all obligations of the partnership unless otherwise agreed by the claimant or provided by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Section 13 of UPA is in accord.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of Existing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liability is joint and several: that is, all partners are liable (“joint”) and each is “several.” (We usually do not use </w:t>
      </w:r>
      <w:r>
        <w:rPr>
          <w:rFonts w:ascii="Georgia" w:eastAsia="Times New Roman" w:hAnsi="Georgia" w:cs="Calibri"/>
          <w:i/>
          <w:iCs/>
          <w:color w:val="333333"/>
          <w:sz w:val="20"/>
          <w:szCs w:val="20"/>
          <w:lang w:val="en"/>
        </w:rPr>
        <w:t>several</w:t>
      </w:r>
      <w:r>
        <w:rPr>
          <w:rFonts w:ascii="Georgia" w:eastAsia="Times New Roman" w:hAnsi="Georgia" w:cs="Calibri"/>
          <w:color w:val="333333"/>
          <w:sz w:val="20"/>
          <w:szCs w:val="20"/>
          <w:lang w:val="en"/>
        </w:rPr>
        <w:t> in modern English to mean “each”; it’s an archaic usage.) But—and here’s the intrusion of entity theory—generally RUPA requires the judgment creditor to exhaust the partnership’s assets before going after the separate assets of a partner. Thus under RUPA the partners are </w:t>
      </w:r>
      <w:r>
        <w:rPr>
          <w:rFonts w:ascii="Georgia" w:eastAsia="Times New Roman" w:hAnsi="Georgia" w:cs="Calibri"/>
          <w:i/>
          <w:iCs/>
          <w:color w:val="333333"/>
          <w:sz w:val="20"/>
          <w:szCs w:val="20"/>
          <w:lang w:val="en"/>
        </w:rPr>
        <w:t>guarantors</w:t>
      </w:r>
      <w:r>
        <w:rPr>
          <w:rFonts w:ascii="Georgia" w:eastAsia="Times New Roman" w:hAnsi="Georgia" w:cs="Calibri"/>
          <w:color w:val="333333"/>
          <w:sz w:val="20"/>
          <w:szCs w:val="20"/>
          <w:lang w:val="en"/>
        </w:rPr>
        <w:t> of the partnership’s liabilities.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UPA, contract liability is joint only, not also several. This means the partners must be sued in a joint action brought against them all. A partner who is not named cannot later be sued by a creditor in a separate proceeding, though the ones who were named could see a proportionate contribution from the ones who were not.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of Incoming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RUPA Section 306(b), a new partner has no personal liability to existing creditors of the partnership, and only her capital investment in the firm is at risk for the satisfaction of existing partnership debts. Sections 17 and 41(7) of UPA are in accord. But, again, under either statute a new partner’s personal assets are at risk with respect to partnership liabilities incurred after her admission as a partner. This is a daunting prospect, and it is the reason for the invention of hybrid forms of business organization: limited partnerships, limited liability companies, and limited liability partnerships. The corporate form, of course, also (usually) obviates the owners’ personal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Tort and Criminal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Partnership Liability for Torts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rules affecting partners’ tort liability (discussed in </w:t>
      </w:r>
      <w:r>
        <w:rPr>
          <w:rFonts w:ascii="Georgia" w:eastAsia="Times New Roman" w:hAnsi="Georgia" w:cs="Calibri"/>
          <w:color w:val="2689C6"/>
          <w:sz w:val="20"/>
          <w:szCs w:val="20"/>
          <w:lang w:val="en"/>
        </w:rPr>
        <w:t>Section 23.2.1 "Contract Liability"</w:t>
      </w:r>
      <w:r>
        <w:rPr>
          <w:rFonts w:ascii="Georgia" w:eastAsia="Times New Roman" w:hAnsi="Georgia" w:cs="Calibri"/>
          <w:color w:val="333333"/>
          <w:sz w:val="20"/>
          <w:szCs w:val="20"/>
          <w:lang w:val="en"/>
        </w:rPr>
        <w:t>) and those affecting contract liability are the same. Section 13 of UPA says the partnership is liable for “any wrongful act or omission of any partner acting in the ordinary course of the business of the partnership or with the authority of his co-partners.”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A civil “wrongful act” is necessarily either a tort or a breach of contract, so no distinction is made between them. (Section 305 of RUPA changed the phraseology slightly by adding after </w:t>
      </w:r>
      <w:r>
        <w:rPr>
          <w:rFonts w:ascii="Georgia" w:eastAsia="Times New Roman" w:hAnsi="Georgia" w:cs="Calibri"/>
          <w:i/>
          <w:iCs/>
          <w:color w:val="333333"/>
          <w:sz w:val="20"/>
          <w:szCs w:val="20"/>
          <w:lang w:val="en"/>
        </w:rPr>
        <w:t>any wrongful act or omission</w:t>
      </w:r>
      <w:r>
        <w:rPr>
          <w:rFonts w:ascii="Georgia" w:eastAsia="Times New Roman" w:hAnsi="Georgia" w:cs="Calibri"/>
          <w:color w:val="333333"/>
          <w:sz w:val="20"/>
          <w:szCs w:val="20"/>
          <w:lang w:val="en"/>
        </w:rPr>
        <w:t> the words </w:t>
      </w:r>
      <w:r>
        <w:rPr>
          <w:rFonts w:ascii="Georgia" w:eastAsia="Times New Roman" w:hAnsi="Georgia" w:cs="Calibri"/>
          <w:i/>
          <w:iCs/>
          <w:color w:val="333333"/>
          <w:sz w:val="20"/>
          <w:szCs w:val="20"/>
          <w:lang w:val="en"/>
        </w:rPr>
        <w:t>or other actionable conduct</w:t>
      </w:r>
      <w:r>
        <w:rPr>
          <w:rFonts w:ascii="Georgia" w:eastAsia="Times New Roman" w:hAnsi="Georgia" w:cs="Calibri"/>
          <w:color w:val="333333"/>
          <w:sz w:val="20"/>
          <w:szCs w:val="20"/>
          <w:lang w:val="en"/>
        </w:rPr>
        <w:t>; this makes the partnership liable for its partner’s no-fault torts.) That the principal should be liable for its agents’ wrongdoings is of course basic agency law. RUPA does expand liability by allowing a partner to sue during the term of the partnership without first having to get out of it, as is required under 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tortious acts, the partners are said to be jointly and severally liable under both UPA and RUPA, and the plaintiff may separately sue one or more partners. Even after winning a judgment, the plaintiff may sue other partners unnamed in the original action. Each and every partner is separately liable for the entire amount of the debt, although the plaintiff is not entitled to recover more than the total of his damages. The practical effect of the rules making partners personally liable for partnership contracts and torts can be huge. In his classic textbook </w:t>
      </w:r>
      <w:r>
        <w:rPr>
          <w:rFonts w:ascii="Georgia" w:eastAsia="Times New Roman" w:hAnsi="Georgia" w:cs="Calibri"/>
          <w:i/>
          <w:iCs/>
          <w:color w:val="333333"/>
          <w:sz w:val="20"/>
          <w:szCs w:val="20"/>
          <w:lang w:val="en"/>
        </w:rPr>
        <w:t>Economics</w:t>
      </w:r>
      <w:r>
        <w:rPr>
          <w:rFonts w:ascii="Georgia" w:eastAsia="Times New Roman" w:hAnsi="Georgia" w:cs="Calibri"/>
          <w:color w:val="333333"/>
          <w:sz w:val="20"/>
          <w:szCs w:val="20"/>
          <w:lang w:val="en"/>
        </w:rPr>
        <w:t>, Professor Paul Samuelson observed that unlimited liability “reveals why partnerships tend to be confined to small, personal enterprises.…When it becomes a question of placing their personal fortunes in jeopardy, people are reluctant to put their capital into complex ventures over which they can exercise little control.…In the field of investment banking, concerns like JPMorgan Chase used to advertise proudly ‘not incorporated’ so that their creditors could have extra assurance. But even these concerns have converted themselves into corporate entities.”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Partners’ Personal Liability for Torts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a person is always liable for his own torts. All partners are also liable for any partner’s tort committed in the scope of partnership business under agency law, and this liability is—again—personal and unlimited, subject to RUPA’s requirement that the judgment creditor exhaust the partnership’s assets before going after the separate assets of the partners. The partner who commits a tort or breach of trust must indemnify the partnership for losses paid to the third party.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for Crimes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liability is generally personal to the miscreant. Nonparticipating copartners are ordinarily not liable for crimes if guilty intent is an element. When guilty intent is not an element, as in certain regulatory offenses, all partners may be guilty of an act committed by a partner in the course of the business.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Liability for Taxes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Corporate income gets taxed twice under federal law: once to the corporation and again to the shareholders who receive income as dividends. However, the partnership’s income “passes through” the partnership and is distributed to the partners under the conduit theory. When partners get income from the firm they have to pay tax on it, but the partnership pays no tax (it files an information return). This is perceived to be a significant advantage of the partnership form.</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partnership is generally liable for any contract made by a partner with authority express, implied, or apparent. Under RUPA the firm, partners, or even nonpartners may to some extent limit their liability by filing “statements” with the appropriate state registrar; such statements only affect those who know of them, except that a notice affecting the right of a partner to sell real estate or regarding dissociation or dissolution is effective against the world after ninety days.</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partners are liable for contracts entered into and torts committed by any partner acting in or apparently in the normal course of business. This liability is personal and unlimited, joint and several (although under UPA contract liability it is only joint). Incoming partners are not liable, in contract or in tort, for activities predating their arrival, but their capital contribution is at risk. Criminal liability is generally personal unless the crime requires no intention.</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61"/>
        </w:numPr>
        <w:shd w:val="clear" w:color="auto" w:fill="E3EFF7"/>
        <w:tabs>
          <w:tab w:val="clear" w:pos="720"/>
          <w:tab w:val="num" w:pos="19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partnership’s liability for contracts entered into by its partners?</w:t>
      </w:r>
    </w:p>
    <w:p w:rsidR="00A86150" w:rsidRDefault="00F714D4">
      <w:pPr>
        <w:numPr>
          <w:ilvl w:val="0"/>
          <w:numId w:val="561"/>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personal liability of partners for breach of a contract made by one of the partnership’s members?</w:t>
      </w:r>
    </w:p>
    <w:p w:rsidR="00A86150" w:rsidRDefault="00F714D4">
      <w:pPr>
        <w:numPr>
          <w:ilvl w:val="0"/>
          <w:numId w:val="561"/>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people feel more comfortable knowing that JPMorgan Bank—Morgan was at one time the richest man in the United States—was a partnership and not a corporation?</w:t>
      </w:r>
    </w:p>
    <w:p w:rsidR="00A86150" w:rsidRDefault="00F714D4">
      <w:pPr>
        <w:numPr>
          <w:ilvl w:val="0"/>
          <w:numId w:val="561"/>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point of RUPA’s “statements”? How can they be of use to a partner who has, for example, retired and is no longer involved in the firm?</w:t>
      </w:r>
    </w:p>
    <w:p w:rsidR="00A86150" w:rsidRDefault="00F714D4">
      <w:pPr>
        <w:numPr>
          <w:ilvl w:val="0"/>
          <w:numId w:val="561"/>
        </w:numPr>
        <w:shd w:val="clear" w:color="auto" w:fill="E3EFF7"/>
        <w:tabs>
          <w:tab w:val="clear" w:pos="720"/>
          <w:tab w:val="num" w:pos="16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what circumstances is the partnership liable for crimes committed by its partners?</w:t>
      </w:r>
    </w:p>
    <w:p w:rsidR="00A86150" w:rsidRDefault="00F714D4">
      <w:pPr>
        <w:numPr>
          <w:ilvl w:val="0"/>
          <w:numId w:val="561"/>
        </w:numPr>
        <w:shd w:val="clear" w:color="auto" w:fill="E3EFF7"/>
        <w:tabs>
          <w:tab w:val="clear" w:pos="720"/>
          <w:tab w:val="num" w:pos="16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a partnership taxed more favorably than a corporation?</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1"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RUPA Section 305.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RUPA, Section 301(2); UPA, Section 9(2).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RUPA, Section 1001(d); RUPA, Section 1102.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RUPA, Section 303, Comment 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RUPA, Section 306.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RUPA Section 306.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UPA, Section 13.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Paul A. Samuelson, </w:t>
      </w:r>
      <w:r>
        <w:rPr>
          <w:rFonts w:ascii="Calibri" w:eastAsia="Times New Roman" w:hAnsi="Calibri" w:cs="Calibri"/>
          <w:i/>
          <w:iCs/>
          <w:color w:val="333333"/>
          <w:sz w:val="20"/>
          <w:szCs w:val="20"/>
        </w:rPr>
        <w:t>Economics</w:t>
      </w:r>
      <w:r>
        <w:rPr>
          <w:rFonts w:ascii="Calibri" w:eastAsia="Times New Roman" w:hAnsi="Calibri" w:cs="Calibri"/>
          <w:color w:val="333333"/>
          <w:sz w:val="20"/>
          <w:szCs w:val="20"/>
        </w:rPr>
        <w:t> (New York: McGraw-Hill, 1973), 106.</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RUPA, Section 405(a).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23.3 Dissolution and Winding Up</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62"/>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dissolution of general partnerships under the Uniform Partnership Act (UPA).</w:t>
      </w:r>
    </w:p>
    <w:p w:rsidR="00A86150" w:rsidRDefault="00F714D4">
      <w:pPr>
        <w:numPr>
          <w:ilvl w:val="0"/>
          <w:numId w:val="562"/>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dissociation and dissolution of general partnerships under the Revised Uniform Partnership Act (RUPA).</w:t>
      </w:r>
    </w:p>
    <w:p w:rsidR="00A86150" w:rsidRDefault="00F714D4">
      <w:pPr>
        <w:numPr>
          <w:ilvl w:val="0"/>
          <w:numId w:val="562"/>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winding up of partnerships under UPA and RUPA.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said that a partnership is like a marriage, and that extends to its ending too. It’s easier to get into a partnership than it is to get out of it because legal entanglements continue after a person is no longer a partner. The rules governing “getting out” of a partnership are different under the Revised Uniform Partnership Act (RUPA) than under the Uniform Partnership Act (UPA). We take up UPA first.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Dissolution of Partnerships under 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Dissolution</w:t>
      </w:r>
      <w:r>
        <w:rPr>
          <w:rFonts w:ascii="Georgia" w:eastAsia="Times New Roman" w:hAnsi="Georgia" w:cs="Calibri"/>
          <w:color w:val="333333"/>
          <w:sz w:val="20"/>
          <w:szCs w:val="20"/>
          <w:lang w:val="en"/>
        </w:rPr>
        <w:t>, in the most general sense, means a separation into component parts.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Meaning of Dissolution under 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in business are sometimes confused about the meaning of dissolution. It does not mean the termination of a business. It has a precise legal definition, given in UPA Section 29: “The dissolution of a partnership is the change in the relation of the partners caused by any partner ceasing to be associated in the carrying on as distinguished from the winding up of the business.” The partnership is not necessarily terminated on dissolution; rather, it continues until the winding up of partnership affairs is completed, and the remaining partners may choose to continue on as a new partnership if they want.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But, again, under UPA the partnership dissolves upon the withdrawal of any partner.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Causes of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Partnerships can dissolve for a number of reasons.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 Accordance with the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of the partnership agreement may have expired or the partnership may be at will and one of the partners desires to leave it. All the partners may decide that it is preferable to dissolve rather than to continue. One of the partners may have been expelled in accordance with a provision in the agreement. In none of these circumstances is the agreement violated, though its spirit surely might have been. Professor Samuelson calls to mind the example of William Dean Howells’s Silas Lapham, who forces his partner to sell out by offering him an ultimatum: “You may buy me out or I’ll buy you out.” The ultimatum was given at a time when the partner could not afford to buy Lapham out, so the partner had no choice.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 Violation of the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Dissolution may also result from violation of the agreement, as when the partners decide to discharge a partner though no provision permits them to do so, or as when a partner decides to quit in violation of a term agreement. In the former case, the remaining partners are liable for damages for wrongful dissolution, and in the latter case, the withdrawing partner is liable to the remaining partners the same way.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By Operation of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reason for dissolution is the occurrence of some event, such as enactment of a statute, that makes it unlawful to continue the business. Or a partner may die or one or more partners or the entire partnership may become bankrupt. Dissolution under these circumstances is said to be by operation of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By Court Order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dissolution may be by court order. Courts are empowered to dissolve partnerships when “on application by or for a partner” a partner is shown to be a lunatic, of unsound mind, incapable of performing his part of the agreement, “guilty of such conduct as tends to affect prejudicially the carrying on of the business,” or otherwise behaves in such a way that “it is not reasonably practicable to carry on the business in partnership with him.” A court may also order dissolution if the business can only be carried on at a loss or whenever equitable. In some circumstances, a court will order dissolution upon the application of a purchaser of a partner’s interest.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Effect of Dissolution on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most part, dissolution terminates the authority of the partners to act for the partnership. The only significant exceptions are for acts necessary to wind up partnership affairs or to complete transactions begun but not finished at the time of dissolution.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Notwithstanding the latter exception, no partner can bind the partnership if it has dissolved because it has become unlawful to carry on the business or if the partner seeking to exercise authority has become bankrupt.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After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 partnership has dissolved, it can follow one of two paths. It can carry on business as a new partnership, or it can wind up the business and cease operating (see </w:t>
      </w:r>
      <w:r>
        <w:rPr>
          <w:rFonts w:ascii="Georgia" w:eastAsia="Times New Roman" w:hAnsi="Georgia" w:cs="Calibri"/>
          <w:color w:val="2689C6"/>
          <w:sz w:val="20"/>
          <w:szCs w:val="20"/>
          <w:lang w:val="en"/>
        </w:rPr>
        <w:t>Figure 23.2 "Alternatives Following UPA Dissolution"</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23.2</w:t>
      </w:r>
      <w:r>
        <w:rPr>
          <w:rFonts w:ascii="Georgia" w:eastAsia="Times New Roman" w:hAnsi="Georgia" w:cs="Calibri"/>
          <w:i/>
          <w:iCs/>
          <w:color w:val="BB9966"/>
          <w:sz w:val="21"/>
          <w:szCs w:val="21"/>
          <w:lang w:val="en"/>
        </w:rPr>
        <w:t> Alternatives Following UPA Dissolution</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3971925"/>
            <wp:effectExtent l="0" t="0" r="0" b="9525"/>
            <wp:docPr id="122" name="Picture 29" descr="http://images.flatworldknowledge.com/mayerlawentrep/mayerlawentrep-fig4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lawentrep/mayerlawentrep-fig41_0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971925"/>
                    </a:xfrm>
                    <a:prstGeom prst="rect">
                      <a:avLst/>
                    </a:prstGeom>
                    <a:noFill/>
                    <a:ln>
                      <a:noFill/>
                    </a:ln>
                  </pic:spPr>
                </pic:pic>
              </a:graphicData>
            </a:graphic>
          </wp:inline>
        </w:drawing>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Forming a New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carry on the business as a new partnership, there must be an agreement—preferably as part of the original partnership agreement but maybe only after dissolution (and maybe oral)—that upon dissolution (e.g., if a partner dies, retires, or quits) the others will regroup and carry 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UPA the remaining partners have the right to carry on when (1) the dissolution was in contravention of the agreement, (2) a partner was expelled according to the partnership agreement, or (3) all partners agree to carry 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the former partner dies or otherwise quits the firm, the noncontinuing one or his, her, or its legal representative is entitled to an accounting and to be paid the value of the partnership interest, less damages for wrongful dissolution.</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The firm may need to borrow money to pay the former partner or her estate; or, in the case of a deceased partner, the money to pay the former partner is obtained through a life insurance buyout policy.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Partnerships routinely insure the lives of the partners, who have no ownership interests in the insurance policies. The policies should bear a face amount equal to each partner’s interest in the partnership and should be adjusted as the fortunes of the partnership change. Proceeds of the insurance policy are used on death to pay the purchase price of the interest inherited by the deceased’s estate. If the insurance policy pays out more than the interest at stake, the partnership retains the difference. If the policy pays out less, the partnership agrees to pay the difference in installments.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set of issues arises when the partnership changes because an old partner departs and a new one joins. Suppose that Baker leaves the car dealership business and his interest is purchased by Alice, who is then admitted to the partnership. Assume that when Baker left, the business owed Mogul Parts Company $5,000 and Laid Back Upholsterers $4,000. After Baker left and Alice joined, Mogul sells another $5,000 worth of parts to the firm on credit, and Sizzling Radiator Repair, a new creditor, advances $3,000 worth of radiator repair parts. These circumstances pose four questions.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do creditors of the old partnership remain creditors of the new partnership? Yes.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does Baker, the old partner, remain liable to the creditors of the old partnership? Yes.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That could pose uncomfortable problems for Baker, who may have left the business because he lost interest in it and wished to put his money elsewhere. The last thing he wants is the threat of liability hanging over his head when he can no longer profit from the firm’s operations. That is all the more true if he had a falling out with his partners and does not trust them. The solution is given in UPA Section 36(2), which says that an old partner is discharged from liability if the creditors and the new partnership agree to discharge him.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is Alice, the new partner, liable to creditors of the old partnership? Yes, but only to the extent of her capital contribution.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Fourth, is Baker, the old partner, liable for debts incurred after his withdrawal from the partnership? Surprisingly, yes, unless Baker takes certain action toward old and new creditors. He must provide actual notice that he has withdrawn to anyone who has extended credit in the past. Once he has done so, he has no liability to these creditors for credit extended to the partnership thereafter. Of course, it would be difficult to provide notice to future creditors, since at the time of withdrawal they would not have had a relationship with the partnership. To avoid liability to new creditors who knew of the partnership, the solution required under UPA Section 35(l)(b)(II) is to advertise Baker’s departure in a general circulation newspaper in the place where the partnership business was regularly carried 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Winding Up and Termination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differences between UPA’s and RUPA’s provisions for winding up and termination are not as significant as those between their provisions for dissolution, the discussion for winding up and termination will cover both acts at once, following the discussion of dissociation and dissolution under RUPA.</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Dissociation and Dissolution of Partnerships under RUPA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Comment 1 to RUPA Section 601 is a good lead-in to this section. According to the comment, RUPA dramatically changes the law governing partnership breakups and dissolution. An entirely new concept, “dissociation,” is used in lieu of UPA term “dissolution” to denote the change in the relationship caused by a partner’s ceasing to be associated in the carrying on of the business. “Dissolution” is retained but with a different meaning. The entity theory of partnership provides a conceptual basis for continuing the firm itself despite a partner’s withdrawal from the firm.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UPA, the partnership is an aggregate, a collection of individuals; upon the withdrawal of any member from the collection, the aggregate dissolves. But because RUPA conforms the partnership as an entity, there is no conceptual reason for it to dissolve upon a member’s withdrawal. “Dissociation” occurs when any partner ceases to be involved in the business of the firm, and “dissolution” happens when RUPA requires the partnership to wind up and terminate; dissociation does not necessarily cause dissolution.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Dissociation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Dissociation, as noted in the previous paragraph, is the change in relations caused by a partner’s withdrawal from the firm’s business.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Causes of Dissociation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Dissociation is caused in ten possible ways: (1) a partner says she wants out; (2) an event triggers dissociation as per the partnership agreement; (3) a partner is expelled as per the agreement; (4) a partner is expelled by unanimous vote of the others because it is unlawful to carry on with that partner, because that partner has transferred to a transferee all interest in the partnership (except for security purposes), or because a corporate partner’s or partnership partner’s existence is effectively terminated; (5) by a court order upon request by the partnership or another partner because the one expelled has been determined to have misbehaved (engaged in serious wrongful conduct, persists in abusing the agreement, acts in ways making continuing the business impracticable); (6) the partner has declared bankruptcy; (7) the partner has died or had a guardian appointed, or has been adjudicated as incompetent; (8) the partner is a trust whose assets are exhausted; (9) the partner is an estate and the estate’s interest in the partnership has been entirely transferred; (10) the partner dies or, if the partner is another partnership or a corporation trust or estate, that entity’s existence is terminated.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Effect of Dissociation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 partner dissociates, the partner’s right to participate in management terminates. (However, if the dissociation goes on to dissolution and winding up, partners who have not wrongfully caused the dissociation may participate in winding-up activities.)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r>
        <w:rPr>
          <w:rFonts w:ascii="Georgia" w:eastAsia="Times New Roman" w:hAnsi="Georgia" w:cs="Calibri"/>
          <w:color w:val="333333"/>
          <w:sz w:val="20"/>
          <w:szCs w:val="20"/>
          <w:lang w:val="en"/>
        </w:rPr>
        <w:t> The dissociated partner’s duty of loyalty and care terminates; the former partner may compete with the firm, except for matters arising before the dissociation.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partners come and go, as they do, problems may arise. What power does the dissociated partner have to bind the partnership? What power does the partnership have to impose liability on the dissociated one? RUPA provides that the dissociated partner loses any actual authority upon dissociation, and his or her apparent authority lingers for not longer than two years if the dissociated one acts in a way that would have bound the partnership before dissociation, provided the other party (1) reasonably believed the dissociated one was a partner, (2) did not have notice of the dissociation, and (3) is not deemed to have constructive notice from a filed “statement of dissociation.”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r>
        <w:rPr>
          <w:rFonts w:ascii="Georgia" w:eastAsia="Times New Roman" w:hAnsi="Georgia" w:cs="Calibri"/>
          <w:color w:val="333333"/>
          <w:sz w:val="20"/>
          <w:szCs w:val="20"/>
          <w:lang w:val="en"/>
        </w:rPr>
        <w:t> The dissociated partner, of course, is liable for damages to the partnership if third parties had cause to think she was still a partner and the partnership became liable because of that; she is liable to the firm as an unauthorized agent.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partner’s dissociation does nothing to change that partner’s liability for predissociation obligations.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[16]</w:t>
      </w:r>
      <w:r>
        <w:rPr>
          <w:rFonts w:ascii="Georgia" w:eastAsia="Times New Roman" w:hAnsi="Georgia" w:cs="Calibri"/>
          <w:color w:val="333333"/>
          <w:sz w:val="20"/>
          <w:szCs w:val="20"/>
          <w:lang w:val="en"/>
        </w:rPr>
        <w:t> For postdissociation liability, exposure is for two years if at the time of entering into the transaction the other party (1) reasonably believed the dissociated one was a partner, (2) didn’t have notice of the dissociation, and (3) is not deemed to have constructive notice from a filed “statement of dissociation.” For example, Baker withdraws from the firm of Able, Baker, and Carr. Able contracts with HydroLift for a new hydraulic car lift that costs $25,000 installed. HydroLift is not aware at the time of contracting that Baker is disassociated and believes she is still a partner. A year later, the firm not having been paid, HydroLift sues Able, Baker, and Carr and the partnership. Baker has potential liability. Baker could have protected herself by filing a “statement of dissociation,” or—better—the partnership agreement should provide that the firm would file such statements upon the dissociation of any partner (and if it does not, it would be liable to her for the consequences).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Dissociation does not necessarily cause dissolution (see the discussion later in this section of how the firm continues after a dissociation); dissolution and winding up happen only for the causes stated in RUPA Section 801, discussed in the following paragraphs.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Causes of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causes of dissolution: (1) by act of the partners—some dissociations do trigger dissolution; (2) by operation of law; or (3) by court order. The partnership agreement may change or eliminate the dissolution trigger as to (1); dissolution by the latter two means cannot be tinkered with.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[17]</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Dissolution by </w:t>
      </w:r>
      <w:r>
        <w:rPr>
          <w:rFonts w:ascii="Georgia" w:eastAsia="Times New Roman" w:hAnsi="Georgia" w:cs="Calibri"/>
          <w:i/>
          <w:iCs/>
          <w:color w:val="333333"/>
          <w:sz w:val="20"/>
          <w:szCs w:val="20"/>
          <w:lang w:val="en"/>
        </w:rPr>
        <w:t>act of the partners</w:t>
      </w:r>
      <w:r>
        <w:rPr>
          <w:rFonts w:ascii="Georgia" w:eastAsia="Times New Roman" w:hAnsi="Georgia" w:cs="Calibri"/>
          <w:color w:val="333333"/>
          <w:sz w:val="20"/>
          <w:szCs w:val="20"/>
          <w:lang w:val="en"/>
        </w:rPr>
        <w:t> may occur as follows:</w:t>
      </w:r>
    </w:p>
    <w:p w:rsidR="00A86150" w:rsidRDefault="00F714D4">
      <w:pPr>
        <w:pStyle w:val="ListParagraph"/>
        <w:numPr>
          <w:ilvl w:val="0"/>
          <w:numId w:val="56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member of an at-will partnership can dissociate at any time, triggering dissolution and liquidation. The partners who wish to continue the business of a term partnership, though, cannot be forced to liquidate the business by a partner who withdraws prematurely in violation of the partnership agreement. In any event, common agreement formats for dissolution will provide for built-in dispute resolution, and enlightened partners often agree to such mechanisms in advance to avoid the kinds of problems listed here.</w:t>
      </w:r>
    </w:p>
    <w:p w:rsidR="00A86150" w:rsidRDefault="00F714D4">
      <w:pPr>
        <w:pStyle w:val="ListParagraph"/>
        <w:numPr>
          <w:ilvl w:val="0"/>
          <w:numId w:val="56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partnership will dissolve upon the happening of an event the partners specified would cause dissolution in their agreement. They may change their minds, of course, agree to continue, and amend the partnership agreement accordingly.</w:t>
      </w:r>
    </w:p>
    <w:p w:rsidR="00A86150" w:rsidRDefault="00F714D4">
      <w:pPr>
        <w:pStyle w:val="ListParagraph"/>
        <w:numPr>
          <w:ilvl w:val="0"/>
          <w:numId w:val="563"/>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term partnership may be dissolved before its term expires in three ways. First, if a partner dissociated by death, declaring bankruptcy, becoming incapacitated, or wrongfully dissociates, the partnership will dissolve if within ninety days of that triggering dissociation at least half the remaining partners express their will to wind it up. Second, the partnership may be dissolved if the term expires. Third, it may be dissolved if all the partners agree to amend the partnership agreement by expressly agreeing to dissolve.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Dissolution will happen in some cases by </w:t>
      </w:r>
      <w:r>
        <w:rPr>
          <w:rFonts w:ascii="Georgia" w:eastAsia="Times New Roman" w:hAnsi="Georgia" w:cs="Calibri"/>
          <w:i/>
          <w:iCs/>
          <w:color w:val="333333"/>
          <w:sz w:val="20"/>
          <w:szCs w:val="20"/>
          <w:lang w:val="en"/>
        </w:rPr>
        <w:t>operation of law</w:t>
      </w:r>
      <w:r>
        <w:rPr>
          <w:rFonts w:ascii="Georgia" w:eastAsia="Times New Roman" w:hAnsi="Georgia" w:cs="Calibri"/>
          <w:color w:val="333333"/>
          <w:sz w:val="20"/>
          <w:szCs w:val="20"/>
          <w:lang w:val="en"/>
        </w:rPr>
        <w:t> if it becomes illegal to continue the business, or substantially all of it. For example, if the firm’s business was the manufacture and distribution of trans fats and it became illegal to do that, the firm would dissolve.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[18]</w:t>
      </w:r>
      <w:r>
        <w:rPr>
          <w:rFonts w:ascii="Georgia" w:eastAsia="Times New Roman" w:hAnsi="Georgia" w:cs="Calibri"/>
          <w:color w:val="333333"/>
          <w:sz w:val="20"/>
          <w:szCs w:val="20"/>
          <w:lang w:val="en"/>
        </w:rPr>
        <w:t> This cause of dissolution is not subject to partnership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w:t>
      </w:r>
      <w:r>
        <w:rPr>
          <w:rFonts w:ascii="Georgia" w:eastAsia="Times New Roman" w:hAnsi="Georgia" w:cs="Calibri"/>
          <w:i/>
          <w:iCs/>
          <w:color w:val="333333"/>
          <w:sz w:val="20"/>
          <w:szCs w:val="20"/>
          <w:lang w:val="en"/>
        </w:rPr>
        <w:t>Dissolution by court order</w:t>
      </w:r>
      <w:r>
        <w:rPr>
          <w:rFonts w:ascii="Georgia" w:eastAsia="Times New Roman" w:hAnsi="Georgia" w:cs="Calibri"/>
          <w:color w:val="333333"/>
          <w:sz w:val="20"/>
          <w:szCs w:val="20"/>
          <w:lang w:val="en"/>
        </w:rPr>
        <w:t> can occur on application by a partner. A court may declare that it is, for various reasons specified in RUPA Section 801(5), no longer reasonably practicable to continue operation. Also, a court may order dissolution upon application by a transferee of a partner’s transferable interest or by a purchaser at a foreclosure of a charging order if the court determines it is equitable. For example, if Creditor gets a charging order against Paul Partner and the obligation cannot reasonably be paid by the firm, a court could order dissolution so Creditor would get paid from the liquidated assets of the firm.</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Effect of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partnership continues after dissolution only for the purpose of winding up its business. The partnership is terminated when the winding up of its business is completed.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[19]</w:t>
      </w:r>
      <w:r>
        <w:rPr>
          <w:rFonts w:ascii="Georgia" w:eastAsia="Times New Roman" w:hAnsi="Georgia" w:cs="Calibri"/>
          <w:color w:val="333333"/>
          <w:sz w:val="20"/>
          <w:szCs w:val="20"/>
          <w:lang w:val="en"/>
        </w:rPr>
        <w:t> However, before winding up is completed, the partners—except any wrongfully dissociating—may agree to carry on the partnership, in which case it resumes business as if dissolution never happened.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[20]</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Continuing after Dissociation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Dissociation, again, does not necessarily cause dissolution. In an at-will partnership, the death (including termination of an entity partner), bankruptcy, incapacity, or expulsion of a partner will not cause dissolution.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[21]</w:t>
      </w:r>
      <w:bookmarkStart w:id="41" w:name="fn-21"/>
      <w:bookmarkEnd w:id="41"/>
      <w:r>
        <w:rPr>
          <w:rFonts w:ascii="Georgia" w:eastAsia="Times New Roman" w:hAnsi="Georgia" w:cs="Calibri"/>
          <w:color w:val="333333"/>
          <w:sz w:val="20"/>
          <w:szCs w:val="20"/>
          <w:lang w:val="en"/>
        </w:rPr>
        <w:t> In a term partnership, the firm continues if, within ninety days of an event triggering dissociation, fewer than half the partners express their will to wind up. The partnership agreement may provide that RUPA’s dissolution-triggering events, including dissociation, will not trigger dissolution. However, the agreement cannot change the rules that dissolution is caused by the business becoming illegal or by court order. Creditors of the partnership remain as before, and the dissociated partner is liable for partnership obligations arising before dissociation.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701 of RUPA provides that if the firm continues in business after a partner dissociates, without winding up, then the partnership must purchase the dissociated partner’s interest; RUPA Section 701(b) explains how to determine the buyout price. It is the amount that would have been distributed to the dissociated partner if, on the date of dissociation, the firm’s assets were sold “at a price equal to the greater of the liquidation value or the value based on a sale of the entire business as a going concern,” minus damages for wrongful dissociation. A wrongful dissociater may have to wait a while to get paid in full, unless a court determines that immediate payment “will not cause an undue hardship to the partnership,” but the longest nonwrongful dissociaters need to wait is 120 days.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[22]</w:t>
      </w:r>
      <w:bookmarkStart w:id="42" w:name="fn-22"/>
      <w:bookmarkEnd w:id="42"/>
      <w:r>
        <w:rPr>
          <w:rFonts w:ascii="Georgia" w:eastAsia="Times New Roman" w:hAnsi="Georgia" w:cs="Calibri"/>
          <w:color w:val="333333"/>
          <w:sz w:val="20"/>
          <w:szCs w:val="20"/>
          <w:lang w:val="en"/>
        </w:rPr>
        <w:t> A dissociated partner can sue the firm to determine the buyout price and the court may assess attorney’s, appraiser’s, and expert’s fees against a party the court finds “acted arbitrarily, vexatiously, or in bad faith.”</w:t>
      </w:r>
      <w:r>
        <w:rPr>
          <w:rFonts w:ascii="Calibri" w:eastAsia="Times New Roman" w:hAnsi="Calibri" w:cs="Calibri"/>
          <w:color w:val="2689C6"/>
          <w:sz w:val="20"/>
          <w:szCs w:val="20"/>
          <w:vertAlign w:val="superscript"/>
          <w:lang w:val="en"/>
        </w:rPr>
        <w:t>[23]</w:t>
      </w:r>
      <w:bookmarkStart w:id="43" w:name="fn-23"/>
      <w:bookmarkEnd w:id="43"/>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Winding Up the Partnership under UPA and RUPA</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partners decide not to continue the business upon dissolution, they are obliged to wind up the business. The partnership continues after dissolution only for the purpose of winding up its business, after which it is terminated.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[24]</w:t>
      </w:r>
      <w:bookmarkStart w:id="44" w:name="fn-24"/>
      <w:bookmarkEnd w:id="44"/>
      <w:r>
        <w:rPr>
          <w:rFonts w:ascii="Georgia" w:eastAsia="Times New Roman" w:hAnsi="Georgia" w:cs="Calibri"/>
          <w:color w:val="333333"/>
          <w:sz w:val="20"/>
          <w:szCs w:val="20"/>
          <w:lang w:val="en"/>
        </w:rPr>
        <w:t>Winding up entails concluding all unfinished business pending at the date of dissolution and payment of all debts. The partners must then settle accounts among themselves in order to distribute the remaining assets. At any time after dissolution and before winding up is completed, the partners (except a wrongfully dissociated one) can stop the process and carry on the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UPA and RUPA are not significantly different as to winding up, so they will be discussed together. Two issues are discussed here: who can participate in winding up and how the assets of the firm are distributed on liquidation.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Who Can Participate in Winding Up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 who have not wrongfully dissociated may participate in winding up the partnership business. On application of any partner, a court may for good cause judicially supervise the winding up.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[25]</w:t>
      </w:r>
      <w:bookmarkStart w:id="45" w:name="fn-25"/>
      <w:bookmarkEnd w:id="45"/>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Settlement of Accounts among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Determining the priority of liabilities can be problematic. For instance, debts might be incurred to both outside creditors and partners, who might have lent money to pay off certain accounts or for working capital.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agreement can spell out the order in which liabilities are to be paid, but if it does not, UPA Section 40(a) and RUPA Section 807(1) rank them in this order: (1) to creditors other than partners, (2) to partners for liabilities other than for capital and profits, (3) to partners for capital contributions, and finally (4) to partners for their share of profits (see </w:t>
      </w:r>
      <w:r>
        <w:rPr>
          <w:rFonts w:ascii="Georgia" w:eastAsia="Times New Roman" w:hAnsi="Georgia" w:cs="Calibri"/>
          <w:color w:val="2689C6"/>
          <w:sz w:val="20"/>
          <w:szCs w:val="20"/>
          <w:lang w:val="en"/>
        </w:rPr>
        <w:t>Figure 23.3 "Priority Partnership Liabilities under RUPA"</w:t>
      </w:r>
      <w:r>
        <w:rPr>
          <w:rFonts w:ascii="Georgia" w:eastAsia="Times New Roman" w:hAnsi="Georgia" w:cs="Calibri"/>
          <w:color w:val="333333"/>
          <w:sz w:val="20"/>
          <w:szCs w:val="20"/>
          <w:lang w:val="en"/>
        </w:rPr>
        <w:t>). However, RUPA eliminates the distinction between capital and profits when the firm pays partners what is owed to them; RUPA Section 807(b) speaks simply of the right of a partner to a liquidating distribution.</w:t>
      </w:r>
    </w:p>
    <w:p w:rsidR="00A86150" w:rsidRDefault="00F714D4">
      <w:pPr>
        <w:shd w:val="clear" w:color="auto" w:fill="FFFFFF"/>
        <w:spacing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23.3</w:t>
      </w:r>
      <w:r>
        <w:rPr>
          <w:rFonts w:ascii="Georgia" w:eastAsia="Times New Roman" w:hAnsi="Georgia" w:cs="Calibri"/>
          <w:i/>
          <w:iCs/>
          <w:color w:val="BB9966"/>
          <w:sz w:val="18"/>
          <w:szCs w:val="18"/>
          <w:lang w:val="en"/>
        </w:rPr>
        <w:t> Priority Partnership Liabilities under RUPA</w:t>
      </w:r>
    </w:p>
    <w:p w:rsidR="00A86150" w:rsidRDefault="00F714D4">
      <w:pPr>
        <w:shd w:val="clear" w:color="auto" w:fill="FFFFFF"/>
        <w:spacing w:line="270" w:lineRule="atLeast"/>
        <w:textAlignment w:val="baseline"/>
        <w:rPr>
          <w:rFonts w:ascii="Calibri" w:eastAsia="Times New Roman" w:hAnsi="Calibri" w:cs="Calibri"/>
          <w:color w:val="555555"/>
          <w:sz w:val="23"/>
          <w:szCs w:val="23"/>
          <w:lang w:val="en"/>
        </w:rPr>
      </w:pPr>
      <w:r>
        <w:rPr>
          <w:rFonts w:ascii="Calibri" w:eastAsia="Times New Roman" w:hAnsi="Calibri" w:cs="Calibri"/>
          <w:noProof/>
          <w:color w:val="2689C6"/>
          <w:sz w:val="23"/>
          <w:szCs w:val="23"/>
        </w:rPr>
        <w:drawing>
          <wp:inline distT="0" distB="0" distL="0" distR="0">
            <wp:extent cx="5486400" cy="2076450"/>
            <wp:effectExtent l="0" t="0" r="0" b="0"/>
            <wp:docPr id="123" name="Picture 30" descr="http://images.flatworldknowledge.com/mayerlawentrep/mayerlawentrep-fig4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mayerlawentrep/mayerlawentrep-fig41_00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076450"/>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 are entitled to share equally in the profits and surplus remaining after all liabilities, including those owed to partners, are paid off, although the partnership agreement can state a different share—for example, in proportion to capital contribution. If after winding up there is a net loss, whether capital or otherwise, each partner must contribute toward it in accordance with his share in the profits, had there been any, unless the agreement states otherwise. If any of the partners is insolvent or refuses to contribute and cannot be sued, the others must contribute their own share to pay off the liabilities and in addition must contribute, in proportion to their share of the profits, the additional amount necessary to pay the liabilities of their defaulting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event of insolvency, a court may take possession of both partnership property and individual assets of the partners; this again is a big disadvantage to the partnership form.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estate of a deceased partner is credited or liable as that partner would have been if she were living at the time of the distribution.</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UPA, the withdrawal of any partner from the partnership causes dissolution; the withdrawal may be caused in accordance with the agreement, in violation of the agreement, by operation of law, or by court order. Dissolution terminates the partners’ authority to act for the partnership, except for winding up, but remaining partners may decide to carry on as a new partnership or may decide to terminate the firm. If they continue, the old creditors remain as creditors of the new firm, the former partner remains liable for obligations incurred while she was a partner (she may be liable for debts arising after she left, unless proper notice is given to creditors), and the former partner or her estate is entitled to an accounting and payment for the partnership interest. If the partners move to terminate the firm, winding up begins.</w:t>
      </w:r>
    </w:p>
    <w:p w:rsidR="00A86150" w:rsidRDefault="00F714D4">
      <w:pPr>
        <w:shd w:val="clear" w:color="auto" w:fill="ECF9EA"/>
        <w:spacing w:before="150"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RUPA, a partner who ceases to be involved in the business is dissociated, but dissociation does not necessarily cause dissolution. Dissociation happens when a partner quits, voluntarily or involuntarily; when a partner dies or becomes incompetent; or on request by the firm or a partner upon court order for a partner’s wrongful conduct, among other reasons. The dissociated partner loses actual authority to bind the firm but remains liable for predissociation obligations and may have lingering authority or lingering liability for two years provided the other party thought the dissociated one was still a partner; a notice of dissociation will, after ninety days, be good against the world as to dissociation and dissolution. If the firm proceeds to termination (though partners can stop the process before its end), the next step is dissolution, which occurs by acts of partners, by operation of law, or by court order upon application by a partner if continuing the business has become untenable. After dissolution, the only business undertaken is to wind up affairs. However, the firm may continue after dissociation; it must buy out the dissociated one’s interest, minus damages if the dissociation was wrongful.</w:t>
      </w:r>
    </w:p>
    <w:p w:rsidR="00A86150" w:rsidRDefault="00F714D4">
      <w:pPr>
        <w:shd w:val="clear" w:color="auto" w:fill="ECF9EA"/>
        <w:spacing w:before="15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firm is to be terminated, winding up entails finishing the business at hand, paying off creditors, and splitting the remaining surplus or liabilities according the parties’ agreement or, absent any, according to the relevant act (UPA or RUPA).</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UPA, what is the effect on the partnership of a partner’s ceasing to be involved in the business?</w:t>
      </w:r>
    </w:p>
    <w:p w:rsidR="00A86150" w:rsidRDefault="00F714D4">
      <w:pPr>
        <w:numPr>
          <w:ilvl w:val="0"/>
          <w:numId w:val="5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a person no longer a partner be held liable for partnership obligations after her withdrawal? Can such a person incur liability to the partnership?</w:t>
      </w:r>
    </w:p>
    <w:p w:rsidR="00A86150" w:rsidRDefault="00F714D4">
      <w:pPr>
        <w:numPr>
          <w:ilvl w:val="0"/>
          <w:numId w:val="5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obligation does a partnership or its partners owe to a partner who wrongfully terminates the partnership agreement?</w:t>
      </w:r>
    </w:p>
    <w:p w:rsidR="00A86150" w:rsidRDefault="00F714D4">
      <w:pPr>
        <w:numPr>
          <w:ilvl w:val="0"/>
          <w:numId w:val="56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bearing does RUPA’s use of the term </w:t>
      </w:r>
      <w:r>
        <w:rPr>
          <w:rFonts w:ascii="Calibri" w:eastAsia="Times New Roman" w:hAnsi="Calibri" w:cs="Calibri"/>
          <w:i/>
          <w:iCs/>
          <w:color w:val="333333"/>
          <w:sz w:val="20"/>
          <w:szCs w:val="20"/>
          <w:lang w:val="en"/>
        </w:rPr>
        <w:t>dissociate</w:t>
      </w:r>
      <w:r>
        <w:rPr>
          <w:rFonts w:ascii="Calibri" w:eastAsia="Times New Roman" w:hAnsi="Calibri" w:cs="Calibri"/>
          <w:color w:val="333333"/>
          <w:sz w:val="20"/>
          <w:szCs w:val="20"/>
          <w:lang w:val="en"/>
        </w:rPr>
        <w:t> have on the entity theory that informs the revised act?</w:t>
      </w:r>
    </w:p>
    <w:p w:rsidR="00A86150" w:rsidRDefault="00F714D4">
      <w:pPr>
        <w:numPr>
          <w:ilvl w:val="0"/>
          <w:numId w:val="56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a partnership is wound up, who gets paid first from its assets? If the firm winds up toward termination and has inadequate assets to pay its creditors, what recourse, if any, do the creditors have?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2"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UPA, Section 30.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UPA, Section 31.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UPA, Section 31.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UPA, Section 32.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UPA, Section 33.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UPA, Sections 37 and 38.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UPA, Section 38.</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UPA, Section 41(1).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UPA, Section 36(1).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UPA, Section 17.</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RUPA, Section 601.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RUPA. Sections 603(b) and 804(a).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RUPA, Section 603(b)(3).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RUPA, Section 603(b)(1).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RUPA, Section 702.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RUPA, Section 703(a).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RUPA, Section 103.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Trans fats are hydrogenated vegetable oils; the process of hydrogenation essentially turns the oils into semisolids, giving them a higher melting point and extending their shelf life but, unfortunately, also clogging consumers’ arteries and causing heart disease. California banned their sale effective January 1, 2010; other jurisdictions have followed suit.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RUPA, Section 802.</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RUPA, Section 802(b).</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bookmarkStart w:id="46" w:name="ftn.fn-21"/>
      <w:bookmarkEnd w:id="46"/>
      <w:r>
        <w:rPr>
          <w:rFonts w:ascii="Calibri" w:eastAsia="Times New Roman" w:hAnsi="Calibri" w:cs="Calibri"/>
          <w:color w:val="333333"/>
          <w:sz w:val="20"/>
          <w:szCs w:val="20"/>
        </w:rPr>
        <w:t> RUPA, Sections 601 and 801.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bookmarkStart w:id="47" w:name="ftn.fn-22"/>
      <w:bookmarkEnd w:id="47"/>
      <w:r>
        <w:rPr>
          <w:rFonts w:ascii="Calibri" w:eastAsia="Times New Roman" w:hAnsi="Calibri" w:cs="Calibri"/>
          <w:color w:val="333333"/>
          <w:sz w:val="20"/>
          <w:szCs w:val="20"/>
        </w:rPr>
        <w:t> RUPA, Section 701(e).</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bookmarkStart w:id="48" w:name="ftn.fn-23"/>
      <w:bookmarkEnd w:id="48"/>
      <w:r>
        <w:rPr>
          <w:rFonts w:ascii="Calibri" w:eastAsia="Times New Roman" w:hAnsi="Calibri" w:cs="Calibri"/>
          <w:color w:val="333333"/>
          <w:sz w:val="20"/>
          <w:szCs w:val="20"/>
        </w:rPr>
        <w:t> RUPA, Section 701(h)(4)(i).</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bookmarkStart w:id="49" w:name="ftn.fn-24"/>
      <w:bookmarkEnd w:id="49"/>
      <w:r>
        <w:rPr>
          <w:rFonts w:ascii="Calibri" w:eastAsia="Times New Roman" w:hAnsi="Calibri" w:cs="Calibri"/>
          <w:color w:val="333333"/>
          <w:sz w:val="20"/>
          <w:szCs w:val="20"/>
        </w:rPr>
        <w:t> UPA, Section 30; RUPA, Section 802(a).</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bookmarkStart w:id="50" w:name="ftn.fn-25"/>
      <w:bookmarkEnd w:id="50"/>
      <w:r>
        <w:rPr>
          <w:rFonts w:ascii="Calibri" w:eastAsia="Times New Roman" w:hAnsi="Calibri" w:cs="Calibri"/>
          <w:color w:val="333333"/>
          <w:sz w:val="20"/>
          <w:szCs w:val="20"/>
        </w:rPr>
        <w:t> UPA, Section 37; RUPA, Section 803(a).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23.4</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Breach of Partnership Fiduciary Duty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Gilroy v. Conway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391 N.W. 2d 419 (Mich. App. 1986)</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PETERSON,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cheated his partner and appeals from the trial court’s judgment granting that partner a remedy.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was an established commercial photographer in Kalamazoo who also had a partnership interest in another photography business, Colonial Studios, in Coldwater. In 1974, defendant became plaintiff’s partner in Colonial Studios, the name of which was changed to Skylight Studios. Under the partnership agreement, defendant was to be the operating manager of the partnership, in return for which he would have a guaranteed draw. Except for the guaranteed draw, the partnership was equal in ownership and the sharing of profits.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Prior to defendant’s becoming a partner, the business had acquired a small contractual clientele of schools for which the business provided student portrait photographs. The partners agreed to concentrate on this type of business, and both partners solicited schools with success. Gross sales, which were $40,000 in 1974, increased every year and amounted to $209,085 in 1980 [about $537,000 in 2011 dollars].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spring of 1981, defendant offered to buy out plaintiff and some negotiations followed. On June 25, 1981, however, plaintiff was notified by the defendant that the partnership was dissolved as of July 1, 1981. Plaintiff discovered that defendant: had closed up the partnership’s place of business and opened up his own business; had purchased equipment and supplies in preparation for commencing his own business and charged them to the partnership; and had taken with him the partnership employees and most of its equipment.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had also stolen the partnership’s business. He had personally taken over the business of some customers by telling them that the partnership was being dissolved; in other cases he simply took over partnership contracts without telling the customers that he was then operating on his own. Plaintiff also learned that defendant’s deceit had included the withdrawal, without plaintiff’s knowledge, of partnership funds for defendant’s personal use in 1978 in an amount exceeding $11,000 [about $36,000 in 2011 dollars].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judge characterized the case as a “classic study of greed” and found that defendant had in effect appropriated the business enterprise, holding that defendant had “knowingly and willfully violated his fiduciary relationship as a partner by converting partnership assets to his use and, in doing so, literally destroying the partnership.” He also found that the partnership could have been sold as a going business on June 30, 1981, and that after a full accounting, it had a value on that date of $94,596 less accounts payable of $17,378.85, or a net value of $77,217.15. The division thereof after adjustments for plaintiff’s positive equity or capital resulted in an award to plaintiff for his interest in the business of $53,779.46 [about $126,000 in 2011 dollars].…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also sought exemplary [punitive] damages. Count II of the complaint alleged that defendant’s conduct constituted a breach of defendant’s fiduciary duty to his partner under §§ 19-22 of the Uniform Partnership Act, and Count III alleged conversion of partnership property. Each count contained allegations that defendant’s conduct was willful, wanton and in reckless disregard of plaintiff’s rights and that such conduct had caused injury to plaintiff’s feelings, including humiliation, indignity and a sense of moral outrage. The prayer for relief sought exemplary damages therefore.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testimony on the point was brief. He said: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effect of really the whole situation, and I think it was most apparent when I walked into the empty building, was extreme disappointment and really total outrage at the fact that something that I had given the utmost of my talent and creativity, energy, and whatever time was necessary to build, was totally destroyed and there was just nothing of any value that was left.…My business had been stolen and there wasn’t a thing that I could do about it. And to me, that was very humiliating that one day I had something that I had worked 10 years on, and the next day I had absolutely nothing of any value.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noted above, the trial judge found that defendant had literally destroyed the partnership by knowingly and willfully converting partnership assets in violation of his fiduciary duty as a partner. He also found that plaintiff had suffered a sense of outrage, indignity and humiliation and awarded him $10,000 [$23,000 in 2011 dollars] as exemplary damages.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appeals from that award, asserting that plaintiff’s cause of action arises from a breach of the partnership contract and that exemplary damages may not be awarded for breach of that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it were to be assumed that a partner’s breach of his fiduciary duty or appropriation of partnership equipment and business contract to his own use and profit are torts, it is clear that the duty breached arises from the partnership contract. One acquires the property interest of a co-tenant in partnership only by the contractual creation of a partnership; one becomes a fiduciary in partnership only by the contractual undertaking to become a partner. There is no tortious conduct here existing independent of the breach of the partnership contract.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Neither do we see anything in the Uniform Partnership Act to suggest that an aggrieved partner is entitled to any remedy other than to be made whole economically. The act defines identically the partnership fiduciary duty and the remedy for its breach, i.e., to account: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 21. (1)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the cases involving a partner’s breach of the fiduciary duty to their partners have been concerned solely with placing the wronged partners in the economic position that they would have enjoyed but for the breach.</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for plaintiff affirmed, as modified with regard to damages.]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6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what did the court award the plaintiff $53,000?</w:t>
      </w:r>
    </w:p>
    <w:p w:rsidR="00A86150" w:rsidRDefault="00F714D4">
      <w:pPr>
        <w:numPr>
          <w:ilvl w:val="0"/>
          <w:numId w:val="565"/>
        </w:numPr>
        <w:shd w:val="clear" w:color="auto" w:fill="E3EFF7"/>
        <w:spacing w:after="0" w:line="439" w:lineRule="atLeast"/>
        <w:ind w:left="36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court characterizes the defendant as having “cheated his partner”—that is, Conway committed fraud. (Gilroy said his business had been “stolen.”) Fraud is a tort. Punitive damages may be awarded against a tortfeasor, even in a jurisdiction that generally disallows punitive damages in contract. In fact, punitive damages are sometimes awarded for breach of the partnership fiduciary duty. In </w:t>
      </w:r>
      <w:r>
        <w:rPr>
          <w:rFonts w:ascii="Calibri" w:eastAsia="Times New Roman" w:hAnsi="Calibri" w:cs="Calibri"/>
          <w:i/>
          <w:iCs/>
          <w:color w:val="333333"/>
          <w:sz w:val="20"/>
          <w:szCs w:val="20"/>
        </w:rPr>
        <w:t>Cadwalader, Wickersham &amp; Taft v. Beasley</w:t>
      </w:r>
      <w:r>
        <w:rPr>
          <w:rFonts w:ascii="Calibri" w:eastAsia="Times New Roman" w:hAnsi="Calibri" w:cs="Calibri"/>
          <w:color w:val="333333"/>
          <w:sz w:val="20"/>
          <w:szCs w:val="20"/>
        </w:rPr>
        <w:t>, 728 So.2d 253 (Florida Ct. App., 1998), a New York law firm was found to have wrongfully expelled a partner lawyer, Beasley, from membership in its Palm Beach, Florida, offices. New York law controlled. The trial court awarded Beasley $500,000 in punitive damages. The appeals court, construing the same UPA as the court construed in </w:t>
      </w:r>
      <w:r>
        <w:rPr>
          <w:rFonts w:ascii="Calibri" w:eastAsia="Times New Roman" w:hAnsi="Calibri" w:cs="Calibri"/>
          <w:i/>
          <w:iCs/>
          <w:color w:val="333333"/>
          <w:sz w:val="20"/>
          <w:szCs w:val="20"/>
        </w:rPr>
        <w:t>Gilroy</w:t>
      </w:r>
      <w:r>
        <w:rPr>
          <w:rFonts w:ascii="Calibri" w:eastAsia="Times New Roman" w:hAnsi="Calibri" w:cs="Calibri"/>
          <w:color w:val="333333"/>
          <w:sz w:val="20"/>
          <w:szCs w:val="20"/>
        </w:rPr>
        <w:t>, said:</w:t>
      </w:r>
    </w:p>
    <w:p w:rsidR="00A86150" w:rsidRDefault="00F714D4">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New York law, the nature of the conduct which justifies an award of punitive damages is conduct having a high degree of moral culpability, or, in other words, conduct which shows a “conscious disregard of the rights of others or conduct so reckless as to amount to such disregard.”…[S]ince the purpose of punitive damages is to both punish the wrongdoer and deter others from such wrongful behavior, as a matter of policy, courts have the discretion to award punitive damages[.]…[The defendant] was participating in a clandestine plan to wrongfully expel some partners for the financial gain of other partners. Such activity cannot be said to be honorable, much less to comport with the “punctilio of an honor.” Because these findings establish that [the defendant] consciously disregarded the rights of Beasley, we affirm the award of punitive damages.</w:t>
      </w:r>
    </w:p>
    <w:p w:rsidR="00A86150" w:rsidRDefault="00F714D4">
      <w:pPr>
        <w:shd w:val="clear" w:color="auto" w:fill="E3EFF7"/>
        <w:spacing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a matter of social policy, which is the better ruling, the Michigan court’s in </w:t>
      </w:r>
      <w:r>
        <w:rPr>
          <w:rFonts w:ascii="Calibri" w:eastAsia="Times New Roman" w:hAnsi="Calibri" w:cs="Calibri"/>
          <w:i/>
          <w:iCs/>
          <w:color w:val="333333"/>
          <w:sz w:val="20"/>
          <w:szCs w:val="20"/>
        </w:rPr>
        <w:t>Gilroy</w:t>
      </w:r>
      <w:r>
        <w:rPr>
          <w:rFonts w:ascii="Calibri" w:eastAsia="Times New Roman" w:hAnsi="Calibri" w:cs="Calibri"/>
          <w:color w:val="333333"/>
          <w:sz w:val="20"/>
          <w:szCs w:val="20"/>
        </w:rPr>
        <w:t> or the Florida court’s in </w:t>
      </w:r>
      <w:r>
        <w:rPr>
          <w:rFonts w:ascii="Calibri" w:eastAsia="Times New Roman" w:hAnsi="Calibri" w:cs="Calibri"/>
          <w:i/>
          <w:iCs/>
          <w:color w:val="333333"/>
          <w:sz w:val="20"/>
          <w:szCs w:val="20"/>
        </w:rPr>
        <w:t>Cadwalader</w:t>
      </w:r>
      <w:r>
        <w:rPr>
          <w:rFonts w:ascii="Calibri" w:eastAsia="Times New Roman" w:hAnsi="Calibri" w:cs="Calibri"/>
          <w:color w:val="333333"/>
          <w:sz w:val="20"/>
          <w:szCs w:val="20"/>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Partnership Authority, Express or Apparent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Hodge v Garrett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614 P.2d 420 (Idaho 1980)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Bistline,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Hodge and defendant-appellant Rex E. Voeller, the managing partner of the Pay-Ont Drive-In Theatre, signed a contract for the sale of a small parcel of land belonging to the partnership. That parcel, although adjacent to the theater, was not used in theater operations except insofar as the east 20 feet were necessary for the operation of the theater’s driveway. The agreement for the sale of land stated that it was between Hodge and the Pay-Ont Drive-In Theatre, a partnership. Voeller signed the agreement for the partnership, and written changes as to the footage and price were initialed by Voeller. (The trial court found that Hodge and Voeller had orally agreed that this 20 foot strip would be encumbered by an easement for ingress and egress to the partnership lands.)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Voeller testified that he had told Hodge prior to signing that Hodge would have to present him with a plat plan which would have to be approved by the partners before the property could be sold. Hodge denied that a plat plan had ever been mentioned to him, and he testified that Voeller did not tell him that the approval of the other partners was needed until after the contract was signed. Hodge also testified that he offered to pay Voeller the full purchase price when he signed the contract, but Voeller told him that that was not necessary.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found that Voeller had actual and apparent authority to execute the contract on behalf of the partnership, and that the contract should be specifically enforced. The partners of the Pay-Ont Drive-In Theatre appeal, arguing that Voeller did not have authority to sell the property and that Hodge knew that he did not have that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common law one partner could not, “without the concurrence of his copartners, convey away the real estate of the partnership, bind his partners by a deed, or transfer the title and interest of his copartners in the firm real estate.” [Citation] This rule was changed by the adoption of the Uniform Partnership Act.…[citing the statute].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meaning of these provisions was stated in one text as follows: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record title is in the partnership and a partner conveys in the partnership name, legal title passes. But the partnership may recover the property (except from a bona fide purchaser from the grantee) if it can show (A) that the conveying partner was not apparently carrying on business in the usual way or (B) that he had in fact no authority and the grantee had knowledge of that fact. The burden of proof with respect to authority is thus on the partnership.”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this contract is enforceable if Voeller had the actual authority to sell the property, or, even if Voeller did not have such authority, the contract is still enforceable if the sale was in the usual way of carrying on the business and Hodge did not know that Voeller did not have this authority.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to the question of actual authority, such authority must affirmatively appear, “for the authority of one partner to make and acknowledge a deed for the firm will not be presumed.…” [Citation] Although such authority may be implied from the nature of the business, or from similar past transactions [Citation], nothing in the record in this case indicates that Voeller had express or implied authority to sell real property belonging to the partnership. There is no evidence that Voeller had sold property belonging to the partnership in the past, and obviously the partnership was not engaged in the business of buying and selling real estate.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next question, since actual authority has not been shown, is whether Voeller was conducting the partnership business in the usual way in selling this parcel of land such that the contract is binding under [the relevant section of the statute] i.e., whether Voeller had apparent authority. Here the evidence showed, and the trial court found:</w:t>
      </w:r>
    </w:p>
    <w:p w:rsidR="00A86150" w:rsidRDefault="00F714D4">
      <w:pPr>
        <w:pStyle w:val="ListParagraph"/>
        <w:numPr>
          <w:ilvl w:val="0"/>
          <w:numId w:val="566"/>
        </w:num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the defendant, Rex E. Voeller, was one of the original partners of the Pay-Ont Drive In Theatre; that the other defendants obtained their partnership interest by inheritance upon the death of other original partners; that upon the death of a partner the partnership affairs were not wound up, but instead, the partnership merely continued as before, with the heirs of the deceased partner owning their proportionate share of the partnership interest.</w:t>
      </w:r>
    </w:p>
    <w:p w:rsidR="00A86150" w:rsidRDefault="00F714D4">
      <w:pPr>
        <w:pStyle w:val="ListParagraph"/>
        <w:numPr>
          <w:ilvl w:val="0"/>
          <w:numId w:val="566"/>
        </w:num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at the inception of the partnership, and at all times thereafter, Rex E. Voeller was the exclusive, managing partner of the partnership and had the full authority to make all decisions pertaining to the partnership affairs, including paying the bills, preparing profit and loss statements, income tax returns and the ordering of any goods or services necessary to the operation of the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made no finding that it was customary for Voeller to sell real property, or even personal property, belonging to the partnership. Nor was there any evidence to this effect. Nor did the court discuss whether it was in the usual course of business for the managing partner of a theater to sell real property. Yet the trial court found that Voeller had apparent authority to sell the property. From this it must be inferred that the trial court believed it to be in the usual course of business for a partner who has exclusive control of the partnership business to sell real property belonging to the partnership, where that property is not being used in the partnership business. We cannot agree with this conclusion. For a theater, “carrying on in the usual way the business of the partnership,” [Citation to relevant section of the statute] means running the operations of the theater; it does not mean selling a parcel of property adjacent to the theater. Here the contract of sale stated that the land belonged to the partnership, and, even if Hodge believed that Voeller as the exclusive manager had authority to transact all business for the firm, Voeller still could not bind the partnership through a unilateral act which was not in the usual business of the partnership. We therefore hold that the trial court erred in holding that this contract was binding on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reversed. Costs to appellant.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6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argument that Voeller had actual authority? What did the court on appeal say about that argument?</w:t>
      </w:r>
    </w:p>
    <w:p w:rsidR="00A86150" w:rsidRDefault="00F714D4">
      <w:pPr>
        <w:numPr>
          <w:ilvl w:val="0"/>
          <w:numId w:val="56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argument that Voeller had apparent authority? What did the court on appeal say about that argument? To rephrase the question, what facts would have been necessary to confer on Voeller apparent authority?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Partnership Bound by Contracts Made by a Partner on Its Behalf; Partners’ Duties to Each Other; Winding Up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v. Lopez</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115 S.W.3d 221 (Texas App. 2003)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Holman,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Wayne A. Long [plaintiff at the trial court] sued Appellee Sergio Lopez to recover from him, jointly and severally, his portion of a partnership debt that Long had paid. After a bench trial, the trial court ruled that Long take nothing from Appellee. We reverse and render, and remand for calculation of attorney’s fees in this suit and pre- and post-judgment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testified that in September 1996, Long, Lopez, and Don Bannister entered into an oral partnership agreement in which they agreed to be partners in Wood Relo (“the partnership”), a trucking business located in Gainesville, Texas. Wood Relo located loads for and dispatched approximately twenty trucks it leased from owner-operators.…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found that Long, Lopez, and Bannister formed a partnership, Wood Relo, without a written partnership agreement. Lopez does not contest these findings.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testified that to properly conduct the partnership’s business, he entered into an office equipment lease with IKON Capital Corporation (“IKON”) on behalf of the partnership. The lease was a thirty-month contract under which the partnership leased a telephone system, fax machine, and photocopier at a rate of $577.91 per month. The lease agreement was between IKON and Wood Relo; the “authorized signer” was listed as Wayne Long, who also signed as personal guarantor.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stated that all three partners were authorized to buy equipment for use by the partnership. He testified that the partners had agreed that it was necessary for the partnership to lease the equipment and that on the day the equipment was delivered to Wood Relo’s office, Long was the only partner at the office; therefore, Long was the only one available to sign the lease and personal guaranty that IKON required. [The partnership disintegrated when Bannister left and he later filed for bankruptcy.]…Long testified that when Bannister left Wood Relo, the partnership still had “quite a few” debts to pay, including the IKON lease.…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Eventually, IKON did repossess all the leased equipment. Long testified that he received a demand letter from IKON, requesting payment by Wood Relo of overdue lease payments and accelerating payment of the remaining balance of the lease. IKON sought recovery of past due payments in the amount of $2,889.55 and accelerated future lease payments in the amount of $11,558.20, for a total of $14,447.75, plus interest, costs, and attorney’s fees, with the total exceeding $16,000. Long testified that he advised Lopez that he had received the demand letter from IKON.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Ultimately, IKON filed a lawsuit against Long individually and d/b/a Wood Relo, but did not name Lopez or Bannister as parties to the suit. Through his counsel, Long negotiated a settlement with IKON for a total of $9,000. An agreed judgment was entered in conjunction with the settlement agreement providing that if Long did not pay the settlement, Wood Relo and Long would owe IKON $12,000.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settling the IKON lawsuit, Long’s counsel sent a letter to Lopez and Bannister regarding the settlement agreement, advising them that they were jointly and severally liable for the $9,000 that extinguished the partnership’s debt to IKON, plus attorney’s fees.…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determined that Long was not entitled to reimbursement from Lopez because Long was not acting for the partnership when he settled IKON’s claim against the partnership. The court based its conclusion on the fact that Long had no “apparent authority with respect to lawsuits” and had not notified Lopez of the IKON lawsuit.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Analysis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the extent that a partnership agreement does not otherwise specify, the provisions of the Texas Revised Partnership Act govern the relations of the partners and between the partners and the partnership. [Citations] Under the Act, each partner has equal rights in the management and conduct of the business of a partnership. With certain inapplicable exceptions, all partners are liable jointly and severally for all debts and obligations of the partnership unless otherwise agreed by the claimant or provided by law. A partnership may be sued and may defend itself in its partnership name. Each partner is an agent of the partnership for the purpose of its business; unless the partner does not have authority to act for the partnership in a particular matter and the person with whom the partner is dealing knows that the partner lacks authority, an act of a partner, including the execution of an instrument in the partnership name, binds the partnership if “the act is for apparently carrying on in the ordinary course: (1) the partnership business.” [Citation] If the act of a partner is not apparently for carrying on the partnership business, an act of a partner binds the partnership only if authorized by the other partners.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extent of authority of a partner is determined essentially by the same principles as those measuring the scope of the authority of an agent. [Citation] As a general rule, each partner is an agent of the partnership and is empowered to bind the partnership in the normal conduct of its business. [Citation] Generally, an agent’s authority is presumed to be coextensive with the business entrusted to his care. [Citations] An agent is limited in his authority to such contracts and acts as are incident to the management of the particular business with which he is entrusted. [Citation]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Winding Up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partner’s duty of care to the partnership and the other partners is to act in the conduct and winding up of the partnership business with the care an ordinarily prudent person would exercise in similar circumstances. [Citation] During the winding up of a partnership’s business, a partner’s fiduciary duty to the other partners and the partnership is limited to matters relating to the winding up of the partnership’s affairs.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testified that he entered into the settlement agreement with IKON to save the partnership a substantial amount of money. IKON’s petition sought over $16,000 from the partnership, and the settlement agreement was for $9,000; therefore, Long settled IKON’s claim for 43% less than the amount for which IKON sued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Both Long and Lopez testified that the partnership “fell apart,” “virtually was dead,” and had to move elsewhere.…The inability of the partnership to continue its trucking business was an event requiring the partners to wind up the affairs of the partnership. See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Act provides that a partner winding up a partnership’s business is authorized, to the extent appropriate for winding up, to perform the following in the name of and for and on behalf of the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prosecute and defend civil, criminal, or administrative suits;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settle and close the partnership’s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 dispose of and convey the partnership’s property;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(4) satisfy or provide for the satisfaction of the partnership’s liabilities;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(5) distribute to the partners any remaining property of the partnership; and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(6) perform any other necessary act.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accrued the IKON debt on behalf of the partnership when he secured the office equipment for partnership operations, and he testified that he entered into the settlement with IKON when the partnership was in its final stages and the partners were going their separate ways. Accordingly, Long was authorized by the Act to settle the IKON lawsuit on behalf of the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Lopez’s Liability for the IKON Debt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partner reasonably incurs a liability in excess of the amount he agreed to contribute in properly conducting the business of the partnership or for preserving the partnership’s business or property, he is entitled to be repaid by the partnership for that excess amount. [Citation] A partner may sue another partner for reimbursement if the partner has made such an excessive payment.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With two exceptions not applicable to the facts of this case, all partners are liable jointly and severally for all debts and obligations of the partnership unless otherwise agreed by the claimant or provided by law. Because Wood Relo was sued for a partnership debt made in the proper conduct of the partnership business, and Long settled this claim in the course of winding up the partnership, he could maintain an action against Lopez for reimbursement of Long’s disproportionate payment. [Citations]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Attorneys’ Fees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sought to recover the attorney’s fees expended in defending the IKON claim, and attorney’s fees expended in the instant suit against Lopez. Testimony established that it was necessary for Long to employ an attorney to defend the action brought against the partnership by IKON; therefore, the attorney’s fees related to defending the IKON lawsuit on behalf of Wood Relo are a partnership debt for which Lopez is jointly and severally liable. As such, Long is entitled to recover from Lopez one-half of the attorney’s fees attributable to the IKON lawsuit. The evidence established that reasonable and necessary attorney’s fees to defend the IKON lawsuit were $1725. Therefore, Long is entitled to recover from Lopez $862.50.</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also seeks to recover the attorney’s fees expended pursuing the instant lawsuit. See [Texas statute citation] (authorizing recovery of attorney’s fees in successful suit under an oral contract); see also [Citation] (holding attorney’s fees are recoverable by partner under because action against other partner was founded on partnership agreement, which was a contract). We agree that Long is entitled to recover reasonable and necessary attorney’s fees incurred in bringing the instant lawsuit. Because we are remanding this case so the trial court can determine the amount of pre- and post-judgment interest to be awarded to Long, we also remand to the trial court the issue of the amount of attorney’s fees due to Long in pursuing this lawsuit against Lopez for collection of the amount paid to IKON on behalf of the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Conclusion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hold the trial court erred in determining that Long did not have authority to act for Wood Relo in defending, settling, and paying the partnership debt owed by Wood Relo to IKON. Lopez is jointly and severally liable to IKON for $9,000, which represents the amount Long paid IKON to defend and extinguish the partnership debt. We hold that Lopez is jointly and severally liable to Long for $1725, which represents the amount of attorney’s fees Long paid to defend against the IKON claim. We further hold that Long is entitled to recover from Lopez reasonable and necessary attorney’s fees in pursuing the instant lawsuit.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reverse the judgment of the trial court. We render judgment that Lopez owes Long $5362.50 (one-half of the partnership debt to IKON plus one-half of the corresponding attorney’s fees). We remand the case to the trial court for calculation of the amount of attorney’s fees owed by Lopez to Long in the instant lawsuit, and calculation of pre- and post-judgment interest.</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6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trial court determine that Lopez owed Long nothing?</w:t>
      </w:r>
    </w:p>
    <w:p w:rsidR="00A86150" w:rsidRDefault="00F714D4">
      <w:pPr>
        <w:numPr>
          <w:ilvl w:val="0"/>
          <w:numId w:val="56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Absent a written partnership agreement, what rules control the operation and winding up of the partnership?</w:t>
      </w:r>
    </w:p>
    <w:p w:rsidR="00A86150" w:rsidRDefault="00F714D4">
      <w:pPr>
        <w:numPr>
          <w:ilvl w:val="0"/>
          <w:numId w:val="56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appeals court determine that Long did have authority to settle the lawsuit with IKON?</w:t>
      </w:r>
    </w:p>
    <w:p w:rsidR="00A86150" w:rsidRDefault="00F714D4">
      <w:pPr>
        <w:numPr>
          <w:ilvl w:val="0"/>
          <w:numId w:val="56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Lopez was not named by IKON when it sued Long and the partnership. Why did the court determine that did not matter, that Lopez was still liable for one-half the costs of settling that case?</w:t>
      </w:r>
    </w:p>
    <w:p w:rsidR="00A86150" w:rsidRDefault="00F714D4">
      <w:pPr>
        <w:numPr>
          <w:ilvl w:val="0"/>
          <w:numId w:val="56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was Long awarded compensation for the attorneys’ fees expended in dealing with the IKON matter and in bringing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Dissolution under RUPA</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Horizon/CMS Healthcare Corp. v. Southern Oaks Health Care,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732 So.2d 1156 (Fla. App. 1999)</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Goshorn, J.</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Horizon is a large, publicly traded provider of both nursing home facilities and management for nursing home facilities. It wanted to expand into Osceola County in 1993. Southern Oaks was already operating in Osceola County[.]…Horizon and Southern Oaks decided to form a partnership to own the proposed [new] facility, which was ultimately named Royal Oaks, and agreed that Horizon would manage both the Southern Oaks facility and the new Royal Oaks facility. To that end, Southern Oaks and Horizon entered into several partnership and management contracts in 1993.</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1996, Southern Oaks filed suit alleging numerous defaults and breaches of the twenty-year agreements.…[T]he trial court found largely in favor of Southern Oaks, concluding that Horizon breached its obligations under two different partnership agreements [and that] Horizon had breached several management contracts. Thereafter, the court ordered that the partnerships be dissolved, finding that “the parties to the various agreements which are the subject of this lawsuit are now incapable of continuing to operate in business together” and that because it was dissolving the partnerships, “there is no entitlement to future damages.…” In its cross appeal, Southern Oaks asserts that because Horizon unilaterally and wrongfully sought dissolution of the partnerships, Southern Oaks should receive a damage award for the loss of the partnerships’ seventeen remaining years’ worth of future profits. We reject its argument.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Southern Oaks argues Horizon wrongfully caused the dissolution because the basis for dissolution cited by the court is not one of the grounds for which the parties contracted. The pertinent contracts provided in section 7.3 “Causes of Dissolution”: “In addition to the causes for dissolution set forth in Section 7.2(c), the Partnership shall be dissolved in the event that:…(d) upon thirty (30) days prior written notice to the other Partner, either Partner elects to dissolve the Partnership on account of an Irreconcilable Difference which arises and cannot, after good faith efforts, be resolved.…”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Southern Oaks argues that what Horizon relied on at trial as showing irreconcilable differences—the decisions of how profits were to be determined and divided—were not “good faith differences of opinion,” nor did they have “a material and adverse impact on the conduct of the Partnerships’ Business.” Horizon’s refusal to pay Southern Oaks according to the terms of the contracts was not an “irreconcilable difference” as defined by the contract, Southern Oaks asserts, pointing out that Horizon’s acts were held to be breaches of the contracts. Because there was no contract basis for dissolution, Horizon’s assertion of dissolution was wrongful, Southern Oaks concludes.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Southern Oaks contends further that not only were there no contractual grounds for dissolution, dissolution was also wrongful under the Florida Statutes. Southern Oaks argues that pursuant to section [of that statute] Horizon had the power to dissociate from the partnership, but, in the absence of contract grounds for the dissociation, Horizon wrongfully dissociated. It asserts that it is entitled to lost future profits under Florida’s partnership law.…</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find Southern Oaks’ argument without merit. First, the trial court’s finding that the parties are incapable of continuing to operate in business together </w:t>
      </w:r>
      <w:r>
        <w:rPr>
          <w:rFonts w:ascii="Georgia" w:eastAsia="Times New Roman" w:hAnsi="Georgia" w:cs="Calibri"/>
          <w:i/>
          <w:iCs/>
          <w:color w:val="333333"/>
          <w:sz w:val="20"/>
          <w:szCs w:val="20"/>
        </w:rPr>
        <w:t>is</w:t>
      </w:r>
      <w:r>
        <w:rPr>
          <w:rFonts w:ascii="Georgia" w:eastAsia="Times New Roman" w:hAnsi="Georgia" w:cs="Calibri"/>
          <w:color w:val="333333"/>
          <w:sz w:val="20"/>
          <w:szCs w:val="20"/>
        </w:rPr>
        <w:t> a finding of “irreconcilable differences,” a permissible reason for dissolving the partnerships under the express terms of the partnership agreements. Thus, dissolution was not “wrongful,” assuming there can be “wrongful” dissolutions, and Southern Oaks was not entitled to damages for lost future profits. Additionally, the partnership contracts also permit dissolution by “judicial decree.” Although neither party cites this provision, it appears that pursuant thereto, the parties agreed that dissolution would be proper if done by a trial court for whatever reason the court found sufficient to warrant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 even assuming the partnership was dissolved for a reason not provided for in the partnership agreements, damages were properly denied. Under RUPA, it is clear that wrongful </w:t>
      </w:r>
      <w:r>
        <w:rPr>
          <w:rFonts w:ascii="Georgia" w:eastAsia="Times New Roman" w:hAnsi="Georgia" w:cs="Calibri"/>
          <w:i/>
          <w:iCs/>
          <w:color w:val="333333"/>
          <w:sz w:val="20"/>
          <w:szCs w:val="20"/>
        </w:rPr>
        <w:t>dissociation</w:t>
      </w:r>
      <w:r>
        <w:rPr>
          <w:rFonts w:ascii="Georgia" w:eastAsia="Times New Roman" w:hAnsi="Georgia" w:cs="Calibri"/>
          <w:color w:val="333333"/>
          <w:sz w:val="20"/>
          <w:szCs w:val="20"/>
        </w:rPr>
        <w:t> triggers liability for lost future profits.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[RUPA:] “A partner who wrongfully dissociates is liable to the partnership and to the other partners for damages caused by the dissociation. The liability is in addition to any other obligation of the partner to the partnership or to the other partners.” However, RUPA does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contain a similar provision for dissolution; RUPA does not refer to the dissolutions as rightful or wrongful. [RUPA sets out] “Events causing dissolution and winding up of partnership business,” [and] outlines the events causing dissolution without any provision for liability for damages.…[RUPA] recognizes judicial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partnership is dissolved, and its business must be wound up, only upon the occurrence of any of the following events:…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(5) On application by a partner, a judicial determination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The economic purpose of the partnership is likely to be unreasonably frustrated;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Another partner has engaged in conduct relating to the partnership business which makes it not reasonably practicable to carry on the business in partnership with such partner; or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 It is not otherwise reasonably practicable to carry on the partnership business in conformity with the partnership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Paragraph (5)(c) provides the basis for the trial court’s dissolution in this case. While “reasonably practicable” is not defined in RUPA, the term is broad enough to encompass the inability of partners to continue working together, which is what the court found.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Certainly the law predating RUPA allowed for recovery of lost profits upon the wrongful dissolution of a partnership. </w:t>
      </w:r>
      <w:r>
        <w:rPr>
          <w:rFonts w:ascii="Georgia" w:eastAsia="Times New Roman" w:hAnsi="Georgia" w:cs="Calibri"/>
          <w:i/>
          <w:iCs/>
          <w:color w:val="333333"/>
          <w:sz w:val="20"/>
          <w:szCs w:val="20"/>
        </w:rPr>
        <w:t>See e.g.,</w:t>
      </w:r>
      <w:r>
        <w:rPr>
          <w:rFonts w:ascii="Georgia" w:eastAsia="Times New Roman" w:hAnsi="Georgia" w:cs="Calibri"/>
          <w:color w:val="333333"/>
          <w:sz w:val="20"/>
          <w:szCs w:val="20"/>
        </w:rPr>
        <w:t> [Citation]: “A partner who assumes to dissolve the partnership before the end of the term agreed on in the partnership articles is liable, in an action at law against him by his co-partner for the breach of the agreement, to respond in damages for the value of the profits which the plaintiff would otherwise have received.”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RUPA brought significant changes to partnership law, among which was the adoption of the term “dissociation.” Although the term is undefined in RUPA, dissociation appears to have taken the place of “dissolution” as that word was used pre-RUPA. “Dissolution” under RUPA has a different meaning, although the term is undefined in RUPA. It follows that the pre-RUPA cases providing for future damages upon wrongful dissolution are no longer applicable to a partnership dissolution. In other words a “wrongful dissolution” referred to in the pre-RUPA case law is now, under RUPA, known as “wrongful dissociation.” Simply stated, under [RUPA], only when a partner </w:t>
      </w:r>
      <w:r>
        <w:rPr>
          <w:rFonts w:ascii="Georgia" w:eastAsia="Times New Roman" w:hAnsi="Georgia" w:cs="Calibri"/>
          <w:i/>
          <w:iCs/>
          <w:color w:val="333333"/>
          <w:sz w:val="20"/>
          <w:szCs w:val="20"/>
        </w:rPr>
        <w:t>dissociates</w:t>
      </w:r>
      <w:r>
        <w:rPr>
          <w:rFonts w:ascii="Georgia" w:eastAsia="Times New Roman" w:hAnsi="Georgia" w:cs="Calibri"/>
          <w:color w:val="333333"/>
          <w:sz w:val="20"/>
          <w:szCs w:val="20"/>
        </w:rPr>
        <w:t> and the dissociation is wrongful can the remaining partners sue for damages. When a partnership is </w:t>
      </w:r>
      <w:r>
        <w:rPr>
          <w:rFonts w:ascii="Georgia" w:eastAsia="Times New Roman" w:hAnsi="Georgia" w:cs="Calibri"/>
          <w:i/>
          <w:iCs/>
          <w:color w:val="333333"/>
          <w:sz w:val="20"/>
          <w:szCs w:val="20"/>
        </w:rPr>
        <w:t>dissolved</w:t>
      </w:r>
      <w:r>
        <w:rPr>
          <w:rFonts w:ascii="Georgia" w:eastAsia="Times New Roman" w:hAnsi="Georgia" w:cs="Calibri"/>
          <w:color w:val="333333"/>
          <w:sz w:val="20"/>
          <w:szCs w:val="20"/>
        </w:rPr>
        <w:t>, RUPA…provides the parameters of liability of the partners upon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[Citation]: “Dissociation is not a condition precedent to dissolution.…Most dissolution events are dissociations. On the other hand, it is not necessary to have a dissociation to cause a dissolution and winding up.”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Southern Oaks’ attempt to bring the instant dissolution under the statute applicable to dissociation is rejected. The trial court ordered dissolution of the partnership, not the dissociation of Horizon for wrongful conduct. There no longer appears to be “wrongful” dissolution—either dissolution is provided for by contract or statute or the dissolution was improper and the dissolution order should be reversed. In the instant case, because the dissolution either came within the terms of the partnership agreements or [RUPA] (judicial dissolution where it is not reasonably practicable to carry on the partnership business), Southern Oaks’ claim for lost future profits is without merit.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69"/>
        </w:numPr>
        <w:shd w:val="clear" w:color="auto" w:fill="E3EFF7"/>
        <w:tabs>
          <w:tab w:val="clear" w:pos="720"/>
          <w:tab w:val="num" w:pos="1440"/>
        </w:tabs>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RUPA, what is a dissociation? What is a dissolution?</w:t>
      </w:r>
    </w:p>
    <w:p w:rsidR="00A86150" w:rsidRDefault="00F714D4">
      <w:pPr>
        <w:numPr>
          <w:ilvl w:val="0"/>
          <w:numId w:val="5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Southern Oaks claim there was no contractual basis for dissolution, notwithstanding the determination that Horizon had breached the partnership agreement and the management contract?</w:t>
      </w:r>
    </w:p>
    <w:p w:rsidR="00A86150" w:rsidRDefault="00F714D4">
      <w:pPr>
        <w:numPr>
          <w:ilvl w:val="0"/>
          <w:numId w:val="56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Given those findings, what did Southern Oaks </w:t>
      </w:r>
      <w:r>
        <w:rPr>
          <w:rFonts w:ascii="Calibri" w:eastAsia="Times New Roman" w:hAnsi="Calibri" w:cs="Calibri"/>
          <w:i/>
          <w:iCs/>
          <w:color w:val="333333"/>
          <w:sz w:val="20"/>
          <w:szCs w:val="20"/>
        </w:rPr>
        <w:t>not</w:t>
      </w:r>
      <w:r>
        <w:rPr>
          <w:rFonts w:ascii="Calibri" w:eastAsia="Times New Roman" w:hAnsi="Calibri" w:cs="Calibri"/>
          <w:color w:val="333333"/>
          <w:sz w:val="20"/>
          <w:szCs w:val="20"/>
        </w:rPr>
        <w:t> get at the lower-court trial that it wanted on this appeal?</w:t>
      </w:r>
    </w:p>
    <w:p w:rsidR="00A86150" w:rsidRDefault="00F714D4">
      <w:pPr>
        <w:numPr>
          <w:ilvl w:val="0"/>
          <w:numId w:val="56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didn’t Southern Oaks get what it wanted on this appeal?</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23.5</w:t>
      </w:r>
      <w:r>
        <w:rPr>
          <w:rFonts w:ascii="Calibri" w:eastAsia="Times New Roman" w:hAnsi="Calibri" w:cs="Calibri"/>
          <w:b/>
          <w:bCs/>
          <w:color w:val="333333"/>
          <w:sz w:val="36"/>
          <w:szCs w:val="36"/>
        </w:rPr>
        <w:t>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of the Uniform Partnership Act (UPA) and Revised Uniform Partnership Act (RUPA) rules apply only in the absence of agreement among the partners. Under both, unless the agreement states otherwise, partners have certain duties: (1) the duty to serve—that is, to devote themselves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breach any aspect of the agreement or act without authority; (5) the duty to inform copartners; and (6) the duty to account to the partnership. Ordinarily, partners operate through majority vote, but no act that contravenes the partnership agreement itself can be undertaken without unanimous consent.</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Partners’ rights include rights (1) to distributions of money, including profits (and losses) as per the agreement or equally, indemnification, and return of capital contribution (but not a right to compensation); (2) to management as per the agreement or equally; (3) to choose copartners; (4) to property of the partnership, but no partner has any rights to specific property (under UPA the partners own property as tenants in partnership; under RUPA the partnership as entity owns property, but it will be distributed upon liquidation); (5) to assign (voluntarily or involuntarily) the partnership interest; the assignee does not become a partner or have any management rights, but a judgment creditor may obtain a charging order against the partnership; and (6) to enforce duties and rights by suits in law or equity (under RUPA a formal accounting is not required).</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UPA, a change in the relation of the partners dissolves the partnership but does not necessarily wind up the business. Dissolution may be voluntary, by violation of the agreement, by operation of law, or by court order. Dissolution terminates the authority of the partners to act for the partnership. After dissolution, a new partnership may be formed.</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RUPA, a change in the relation of the partners is a dissociation, leaving the remaining partners with two options: continue on; or wind up, dissolve, and terminate. In most cases, a partnership may buy out the interest of a partner who leaves without dissolving the partnership. A term partnership also will not dissolve so long as at least one-half of the partners choose to remain. When a partner’s dissociation triggers dissolution, partners are allowed to vote subsequently to continue the partnership.</w:t>
      </w:r>
    </w:p>
    <w:p w:rsidR="00A86150" w:rsidRDefault="00F714D4">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dissolved partnership is carried on as a new one, creditors of the old partnership remain creditors of the new one. A former partner remains liable to the creditors of the former partnership. A new partner is liable to the creditors of the former partnership, bur only to the extent of the new partner’s capital contribution. A former partner remains liable for debts incurred after his withdrawal unless he gives proper notice of his withdrawal; his actual authority terminates upon dissociation and apparent authority after two years.</w:t>
      </w:r>
    </w:p>
    <w:p w:rsidR="00A86150" w:rsidRDefault="00F714D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firm is to be terminated, it is wound up. The assets of the partnership include all required contributions of partners, and from the assets liabilities are paid off (1) to creditors and (2) to partners on their accounts. Under RUPA, nonpartnership creditors share equally with unsatisfied partnership creditors in the personal assets of their debtor-partners.</w:t>
      </w:r>
    </w:p>
    <w:p w:rsidR="00A86150" w:rsidRDefault="00A86150">
      <w:pPr>
        <w:spacing w:after="0" w:line="439" w:lineRule="atLeast"/>
        <w:textAlignment w:val="baseline"/>
        <w:rPr>
          <w:rFonts w:ascii="Georgia" w:eastAsia="Times New Roman" w:hAnsi="Georgia" w:cs="Calibri"/>
          <w:color w:val="333333"/>
          <w:sz w:val="20"/>
          <w:szCs w:val="20"/>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Anne and Barbara form a partnership. Their agreement specifies that Anne will receive two-thirds of the profit and Barbara will get one-third. The firm suffers a loss of $3,000 the first year. How are the losses divided?</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Two lawyers, Glenwood and Higgins, formed a partnership. Glenwood failed to file Client’s paperwork on time in a case, with adverse financial consequences to Client. Is Higgins liable for Glenwood’s malpractice?</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Client in Exercise 2 visited the firm’s offices to demand compensation from Glenwood, the two got into an argument. Glenwood became very agitated; in an apparent state of rage, he threw a law book at Client, breaking her nose. Is Higgins liable?</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Glenwood from Exercise 2 entered into a contract on behalf of the firm to buy five computer games. Is Higgins liable?</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Grosberg and Goldman operated the Chatham Fox Hills Shopping Center as partners. They agreed that Goldman would deposit the tenants’ rental checks in an account in Grosberg’s name at First Bank. Without Grosberg’s knowledge or permission, Goldman opened an account in both their names at Second Bank, into which Goldman deposited checks payable to the firm or the partners. He indorsed each check by signing the name of the partnership or the partners. Subsequently, Goldman embezzled over $100,000 of the funds. Second Bank did not know Grosberg and Goldman were partners. Grosberg then sued Second Bank for converting the funds by accepting checks on which Grosberg’s or the partnership’s indorsement was forged. Is Second Bank liable? Discuss.</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Pearson Collings, a partner in a criminal defense consulting firm, used the firm’s phones and computers to operate a side business cleaning carpets. The partnership received no compensation for the use of its equipment. What claim would the other partners have against Collings?</w:t>
      </w:r>
    </w:p>
    <w:p w:rsidR="00A86150" w:rsidRDefault="00F714D4">
      <w:pPr>
        <w:numPr>
          <w:ilvl w:val="0"/>
          <w:numId w:val="57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Follis, Graham, and Hawthorne have a general partnership, each agreeing to split losses 20 percent, 20 percent, and 60 percent, respectively. While on partnership business, Follis negligently crashes into a victim, causing $100,000 in damages. Follis declares bankruptcy, and the firm’s assets are inadequate to pay the damages. Graham says she is liable for only $20,000 of the obligation, as per the agreement. Is she correct?</w:t>
      </w:r>
    </w:p>
    <w:p w:rsidR="00A86150" w:rsidRDefault="00F714D4">
      <w:pPr>
        <w:numPr>
          <w:ilvl w:val="0"/>
          <w:numId w:val="57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Ingersoll and Jackson are partners; Kelly, after much negotiation, agreed to join the firm effective February 1. But on January 15, Kelly changed his mind. Meanwhile, however, the other two had already arranged for the local newspaper to run a notice that Kelly was joining the firm. The notice ran on February 1. Kelly did nothing in response. On February 2, Creditor, having seen the newspaper notice, extended credit to the firm. When the firm did not pay, Creditor sought to have Kelly held liable as a partner. Is Kelly liable?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A86150" w:rsidRDefault="00F714D4">
      <w:pPr>
        <w:numPr>
          <w:ilvl w:val="0"/>
          <w:numId w:val="571"/>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UPA, a partner is generally entitled to a formal accounting of partnership affairs</w:t>
      </w:r>
    </w:p>
    <w:p w:rsidR="00A86150" w:rsidRDefault="00F714D4">
      <w:pPr>
        <w:pStyle w:val="ListParagraph"/>
        <w:numPr>
          <w:ilvl w:val="0"/>
          <w:numId w:val="57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whenever it is just and reasonable</w:t>
      </w:r>
    </w:p>
    <w:p w:rsidR="00A86150" w:rsidRDefault="00F714D4">
      <w:pPr>
        <w:pStyle w:val="ListParagraph"/>
        <w:numPr>
          <w:ilvl w:val="0"/>
          <w:numId w:val="57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a partner is wrongfully excluded from the business by copartners</w:t>
      </w:r>
    </w:p>
    <w:p w:rsidR="00A86150" w:rsidRDefault="00F714D4">
      <w:pPr>
        <w:pStyle w:val="ListParagraph"/>
        <w:numPr>
          <w:ilvl w:val="0"/>
          <w:numId w:val="57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right exists in the partnership agreement</w:t>
      </w:r>
    </w:p>
    <w:p w:rsidR="00A86150" w:rsidRDefault="00F714D4">
      <w:pPr>
        <w:pStyle w:val="ListParagraph"/>
        <w:numPr>
          <w:ilvl w:val="0"/>
          <w:numId w:val="57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A86150" w:rsidRDefault="00F714D4">
      <w:pPr>
        <w:numPr>
          <w:ilvl w:val="0"/>
          <w:numId w:val="573"/>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Donners, Inc., a partner in CDE Partnership, applies to Bank to secure a loan and assigns to Bank its partnership interest. After the assignment, which is true?</w:t>
      </w:r>
    </w:p>
    <w:p w:rsidR="00A86150" w:rsidRDefault="00F714D4">
      <w:pPr>
        <w:pStyle w:val="ListParagraph"/>
        <w:numPr>
          <w:ilvl w:val="0"/>
          <w:numId w:val="57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 steps into Donners’s shoes as a partner.</w:t>
      </w:r>
    </w:p>
    <w:p w:rsidR="00A86150" w:rsidRDefault="00F714D4">
      <w:pPr>
        <w:pStyle w:val="ListParagraph"/>
        <w:numPr>
          <w:ilvl w:val="0"/>
          <w:numId w:val="57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 does not become a partner but has the right to participate in the management of the firm to protect its security interest until the loan is paid.</w:t>
      </w:r>
    </w:p>
    <w:p w:rsidR="00A86150" w:rsidRDefault="00F714D4">
      <w:pPr>
        <w:pStyle w:val="ListParagraph"/>
        <w:numPr>
          <w:ilvl w:val="0"/>
          <w:numId w:val="57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 is entitled to Donners’s share of the firm’s profits.</w:t>
      </w:r>
    </w:p>
    <w:p w:rsidR="00A86150" w:rsidRDefault="00F714D4">
      <w:pPr>
        <w:pStyle w:val="ListParagraph"/>
        <w:numPr>
          <w:ilvl w:val="0"/>
          <w:numId w:val="57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 is liable for Donners’s share of the firm’s losses.</w:t>
      </w:r>
    </w:p>
    <w:p w:rsidR="00A86150" w:rsidRDefault="00F714D4">
      <w:pPr>
        <w:pStyle w:val="ListParagraph"/>
        <w:numPr>
          <w:ilvl w:val="0"/>
          <w:numId w:val="574"/>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these is true.</w:t>
      </w:r>
    </w:p>
    <w:p w:rsidR="00A86150" w:rsidRDefault="00F714D4">
      <w:pPr>
        <w:numPr>
          <w:ilvl w:val="0"/>
          <w:numId w:val="575"/>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of these requires unanimous consent of the partners in a general partnership?</w:t>
      </w:r>
    </w:p>
    <w:p w:rsidR="00A86150" w:rsidRDefault="00F714D4">
      <w:pPr>
        <w:pStyle w:val="ListParagraph"/>
        <w:numPr>
          <w:ilvl w:val="0"/>
          <w:numId w:val="57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assignment of a partnership interest</w:t>
      </w:r>
    </w:p>
    <w:p w:rsidR="00A86150" w:rsidRDefault="00F714D4">
      <w:pPr>
        <w:pStyle w:val="ListParagraph"/>
        <w:numPr>
          <w:ilvl w:val="0"/>
          <w:numId w:val="57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acquisition of a partnership debt</w:t>
      </w:r>
    </w:p>
    <w:p w:rsidR="00A86150" w:rsidRDefault="00F714D4">
      <w:pPr>
        <w:pStyle w:val="ListParagraph"/>
        <w:numPr>
          <w:ilvl w:val="0"/>
          <w:numId w:val="57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agreement to be responsible for the tort of one copartner</w:t>
      </w:r>
    </w:p>
    <w:p w:rsidR="00A86150" w:rsidRDefault="00F714D4">
      <w:pPr>
        <w:pStyle w:val="ListParagraph"/>
        <w:numPr>
          <w:ilvl w:val="0"/>
          <w:numId w:val="57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admission of a new partner</w:t>
      </w:r>
    </w:p>
    <w:p w:rsidR="00A86150" w:rsidRDefault="00F714D4">
      <w:pPr>
        <w:pStyle w:val="ListParagraph"/>
        <w:numPr>
          <w:ilvl w:val="0"/>
          <w:numId w:val="576"/>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agreement that the partnership should stand as a surety for a third party’s obligation</w:t>
      </w:r>
    </w:p>
    <w:p w:rsidR="00A86150" w:rsidRDefault="00F714D4">
      <w:pPr>
        <w:numPr>
          <w:ilvl w:val="0"/>
          <w:numId w:val="577"/>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 Partner (1) bought a computer and charged it to the partnership’s account; (2) cashed a firm check and used the money to buy a computer in his own name; (3) brought from home a computer and used it at the office. In which scenario does the computer become partnership property?</w:t>
      </w:r>
    </w:p>
    <w:p w:rsidR="00A86150" w:rsidRDefault="00F714D4">
      <w:pPr>
        <w:pStyle w:val="ListParagraph"/>
        <w:numPr>
          <w:ilvl w:val="0"/>
          <w:numId w:val="57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 only</w:t>
      </w:r>
    </w:p>
    <w:p w:rsidR="00A86150" w:rsidRDefault="00F714D4">
      <w:pPr>
        <w:pStyle w:val="ListParagraph"/>
        <w:numPr>
          <w:ilvl w:val="0"/>
          <w:numId w:val="57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 and 2</w:t>
      </w:r>
    </w:p>
    <w:p w:rsidR="00A86150" w:rsidRDefault="00F714D4">
      <w:pPr>
        <w:pStyle w:val="ListParagraph"/>
        <w:numPr>
          <w:ilvl w:val="0"/>
          <w:numId w:val="578"/>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 2, and 3</w:t>
      </w:r>
    </w:p>
    <w:p w:rsidR="00A86150" w:rsidRDefault="00F714D4">
      <w:pPr>
        <w:numPr>
          <w:ilvl w:val="0"/>
          <w:numId w:val="579"/>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That partnerships are entities under RUPA means they have to pay federal income tax in their own name.</w:t>
      </w:r>
    </w:p>
    <w:p w:rsidR="00A86150" w:rsidRDefault="00F714D4">
      <w:pPr>
        <w:pStyle w:val="ListParagraph"/>
        <w:numPr>
          <w:ilvl w:val="0"/>
          <w:numId w:val="5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true</w:t>
      </w:r>
    </w:p>
    <w:p w:rsidR="00A86150" w:rsidRDefault="00F714D4">
      <w:pPr>
        <w:pStyle w:val="ListParagraph"/>
        <w:numPr>
          <w:ilvl w:val="0"/>
          <w:numId w:val="580"/>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false</w:t>
      </w:r>
    </w:p>
    <w:p w:rsidR="00A86150" w:rsidRDefault="00F714D4">
      <w:pPr>
        <w:numPr>
          <w:ilvl w:val="0"/>
          <w:numId w:val="581"/>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That partnerships are entities under RUPA means the partners are not personally liable for the firm’s debts beyond their capital contributions.</w:t>
      </w:r>
    </w:p>
    <w:p w:rsidR="00A86150" w:rsidRDefault="00F714D4">
      <w:pPr>
        <w:pStyle w:val="ListParagraph"/>
        <w:numPr>
          <w:ilvl w:val="0"/>
          <w:numId w:val="582"/>
        </w:numPr>
        <w:shd w:val="clear" w:color="auto" w:fill="E3EFF7"/>
        <w:spacing w:after="0"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true</w:t>
      </w:r>
    </w:p>
    <w:p w:rsidR="00A86150" w:rsidRDefault="00F714D4">
      <w:pPr>
        <w:pStyle w:val="ListParagraph"/>
        <w:numPr>
          <w:ilvl w:val="0"/>
          <w:numId w:val="582"/>
        </w:numPr>
        <w:shd w:val="clear" w:color="auto" w:fill="E3EFF7"/>
        <w:spacing w:line="439" w:lineRule="atLeast"/>
        <w:ind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false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A86150" w:rsidRDefault="00F714D4">
      <w:pPr>
        <w:numPr>
          <w:ilvl w:val="0"/>
          <w:numId w:val="58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8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A86150" w:rsidRDefault="00F714D4">
      <w:pPr>
        <w:numPr>
          <w:ilvl w:val="0"/>
          <w:numId w:val="58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A86150" w:rsidRDefault="00F714D4">
      <w:pPr>
        <w:numPr>
          <w:ilvl w:val="0"/>
          <w:numId w:val="58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A86150" w:rsidRDefault="00F714D4">
      <w:pPr>
        <w:numPr>
          <w:ilvl w:val="0"/>
          <w:numId w:val="58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A86150" w:rsidRDefault="00F714D4">
      <w:pPr>
        <w:numPr>
          <w:ilvl w:val="0"/>
          <w:numId w:val="58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r>
        <w:rPr>
          <w:rFonts w:ascii="Calibri" w:eastAsia="Times New Roman" w:hAnsi="Calibri" w:cs="Calibri"/>
          <w:color w:val="333333"/>
          <w:sz w:val="20"/>
          <w:szCs w:val="20"/>
        </w:rPr>
        <w:br w:type="page"/>
      </w:r>
    </w:p>
    <w:p w:rsidR="00A86150" w:rsidRDefault="00A86150">
      <w:pPr>
        <w:rPr>
          <w:rFonts w:ascii="Calibri" w:eastAsia="Times New Roman" w:hAnsi="Calibri" w:cs="Calibri"/>
          <w:color w:val="333333"/>
          <w:sz w:val="20"/>
          <w:szCs w:val="20"/>
        </w:rPr>
      </w:pP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24</w:t>
      </w:r>
    </w:p>
    <w:p w:rsidR="00A86150" w:rsidRDefault="0081777E">
      <w:pPr>
        <w:shd w:val="clear" w:color="auto" w:fill="FFFFFF"/>
        <w:spacing w:after="0" w:line="240" w:lineRule="atLeast"/>
        <w:jc w:val="center"/>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3" style="width:468pt;height:1.5pt" o:hralign="center" o:hrstd="t" o:hrnoshade="t" o:hr="t" fillcolor="#555"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Hybrid Business Forms</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584"/>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limited partnership</w:t>
      </w:r>
    </w:p>
    <w:p w:rsidR="00A86150" w:rsidRDefault="00F714D4">
      <w:pPr>
        <w:numPr>
          <w:ilvl w:val="0"/>
          <w:numId w:val="584"/>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limited liability company</w:t>
      </w:r>
    </w:p>
    <w:p w:rsidR="00A86150" w:rsidRDefault="00F714D4">
      <w:pPr>
        <w:numPr>
          <w:ilvl w:val="0"/>
          <w:numId w:val="584"/>
        </w:numPr>
        <w:shd w:val="clear" w:color="auto" w:fill="EAE9DC"/>
        <w:tabs>
          <w:tab w:val="clear" w:pos="720"/>
          <w:tab w:val="num" w:pos="144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Other hybrid business forms: the sub-S corporation, limited liability partnerships, and limited liability limited partnerships</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provides a bridge between the partnership and the corporate form. It explores several types of associations that are hybrid forms—that is, they share some aspects of partnerships and some of corporations. Corporations afford the inestimable benefit of limited liability, partnerships the inestimable benefit of limited taxation. Businesspeople always seek to limit their risk and their taxation.</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base, whether to allow businesspeople and investors to grasp the holy grail of limited liability is a political issue. When we say a person is “irresponsible,” it means he (or she, or it) does not take responsibility for his harmful actions; the loss is borne by others. Politically speaking, there is an incentive to allow businesspeople insulation from liability: it encourages them to take risks and invest, thus stimulating economic activity and forestalling unemployment. So the political trade-off with allowing various inventive forms of business organization is between providing business actors with the security that they will lose only their calculable investment, thus stimulating the economy, versus the “moral hazard” of allowing them to emerge mostly unscathed from their own harmful or foolish activities, thus externalizing resulting losses upon others. Some people feel that during the run-up to the “Great Recession” of 2007–09, the economic system allowed too much risk taking. When the risky investments collapsed, though, instead of forcing the risk takers to suffer loss, the government intervened—it “bailed them out,” as they say, putting the consequences of the failed risks on the taxpayer.</w:t>
      </w:r>
    </w:p>
    <w:p w:rsidR="00A86150" w:rsidRDefault="00F714D4">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risk-averseness and inventiveness of businesspeople is seemingly unlimited, as is investors’ urge to make profits through others’ efforts with as little risk as possible. The rationale for the invention of these hybrid business forms, then, is (1) risk reduction and (2) tax reduction. Here we take up the most common hybrid types first: limited partnerships and limited liability companies. Then we cover them in the approximate chronological order of their invention: sub-S corporations, limited liability partnerships, and limited liability limited partnerships. All these forms are entities.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24.1 Limited Partnerships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following aspects of the limited partnership:</w:t>
      </w:r>
    </w:p>
    <w:p w:rsidR="00A86150" w:rsidRDefault="00F714D4">
      <w:pPr>
        <w:numPr>
          <w:ilvl w:val="0"/>
          <w:numId w:val="585"/>
        </w:numPr>
        <w:shd w:val="clear" w:color="auto" w:fill="EAE9DC"/>
        <w:tabs>
          <w:tab w:val="clear" w:pos="720"/>
          <w:tab w:val="num" w:pos="2160"/>
        </w:tabs>
        <w:spacing w:after="0"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Governing law and definition</w:t>
      </w:r>
    </w:p>
    <w:p w:rsidR="00A86150" w:rsidRDefault="00F714D4">
      <w:pPr>
        <w:numPr>
          <w:ilvl w:val="0"/>
          <w:numId w:val="585"/>
        </w:numPr>
        <w:shd w:val="clear" w:color="auto" w:fill="EAE9DC"/>
        <w:tabs>
          <w:tab w:val="clear" w:pos="720"/>
          <w:tab w:val="num" w:pos="2160"/>
        </w:tabs>
        <w:spacing w:after="0"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Creation and capitalization</w:t>
      </w:r>
    </w:p>
    <w:p w:rsidR="00A86150" w:rsidRDefault="00F714D4">
      <w:pPr>
        <w:numPr>
          <w:ilvl w:val="0"/>
          <w:numId w:val="585"/>
        </w:numPr>
        <w:shd w:val="clear" w:color="auto" w:fill="EAE9DC"/>
        <w:tabs>
          <w:tab w:val="clear" w:pos="720"/>
          <w:tab w:val="num" w:pos="2160"/>
        </w:tabs>
        <w:spacing w:after="0"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Control and compensation</w:t>
      </w:r>
    </w:p>
    <w:p w:rsidR="00A86150" w:rsidRDefault="00F714D4">
      <w:pPr>
        <w:numPr>
          <w:ilvl w:val="0"/>
          <w:numId w:val="585"/>
        </w:numPr>
        <w:shd w:val="clear" w:color="auto" w:fill="EAE9DC"/>
        <w:tabs>
          <w:tab w:val="clear" w:pos="720"/>
          <w:tab w:val="num" w:pos="2880"/>
        </w:tabs>
        <w:spacing w:after="0"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Liabilities</w:t>
      </w:r>
    </w:p>
    <w:p w:rsidR="00A86150" w:rsidRDefault="00F714D4">
      <w:pPr>
        <w:numPr>
          <w:ilvl w:val="0"/>
          <w:numId w:val="585"/>
        </w:numPr>
        <w:shd w:val="clear" w:color="auto" w:fill="EAE9DC"/>
        <w:tabs>
          <w:tab w:val="clear" w:pos="720"/>
          <w:tab w:val="num" w:pos="2160"/>
        </w:tabs>
        <w:spacing w:after="0"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Taxation</w:t>
      </w:r>
    </w:p>
    <w:p w:rsidR="00A86150" w:rsidRDefault="00F714D4">
      <w:pPr>
        <w:numPr>
          <w:ilvl w:val="0"/>
          <w:numId w:val="585"/>
        </w:numPr>
        <w:shd w:val="clear" w:color="auto" w:fill="EAE9DC"/>
        <w:tabs>
          <w:tab w:val="clear" w:pos="720"/>
          <w:tab w:val="num" w:pos="2160"/>
        </w:tabs>
        <w:spacing w:line="439" w:lineRule="atLeast"/>
        <w:ind w:left="10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Termination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Governing Law and Definition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limited partnership is attractive because of its treatment of taxation and its imposition of limited liability on its limited partners.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Governing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original source of limited partnership law is the Uniform Limited Partnership Act (ULPA), which was drafted in 1916. A revised version, the Revised Uniform Limited Partnership Act (RULPA), was adopted by the National Conference of Commissioners on Uniform Laws in 1976 and further amended in 1985 and in 2001.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2001 act was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drafted for a world in which limited liability partnerships and limited liability companies can meet many of the needs formerly met by limited partnerships. This Act therefore targets two types of enterprises that seem largely beyond the scope of LLPs and LLCs: (i) sophisticated, manager-entrenched commercial deals whose participants commit for the long term, and (ii) estate planning arrangements (family limited partnerships). The Act accordingly assumes that, more often than not, people utilizing it will want (1) strong centralized management, strongly entrenched, and (2) passive investors with little control over or right to exit the entity. The Act’s rules, and particularly its default rules, have been designed to reflect these assumptions.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states except Louisiana adopted the 1976 or 1985 act—most opting for the 1985 version—and sixteen states have adopted the 2001 version. The acts may be properly referred to with a hyphen: “ULPA-1985,” or “ULPA-2001”; the word</w:t>
      </w:r>
      <w:r>
        <w:rPr>
          <w:rFonts w:ascii="Georgia" w:eastAsia="Times New Roman" w:hAnsi="Georgia" w:cs="Calibri"/>
          <w:i/>
          <w:iCs/>
          <w:color w:val="333333"/>
          <w:sz w:val="20"/>
          <w:szCs w:val="20"/>
          <w:lang w:val="en"/>
        </w:rPr>
        <w:t>revised</w:t>
      </w:r>
      <w:r>
        <w:rPr>
          <w:rFonts w:ascii="Georgia" w:eastAsia="Times New Roman" w:hAnsi="Georgia" w:cs="Calibri"/>
          <w:color w:val="333333"/>
          <w:sz w:val="20"/>
          <w:szCs w:val="20"/>
          <w:lang w:val="en"/>
        </w:rPr>
        <w:t> has been dropped. Here, we mainly discuss ULPA-1985. The Uniform Partnership Act (UPA) or the Revised Uniform Partnership Act (RUPA) also applies to limited partnerships except where it is inconsistent with the limited partnership statutes. The ULPA-2001 is not so much related to UPA or RUPA as previous versions were.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Definition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limited partnership (LP) is defined as “a partnership formed by two or more persons under the laws of a State and having one or more general partners and one or more limited partners.”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form tends to be attractive in business situations that focus on a single or limited-term project, such as making a movie or developing real estate; it is also widely used by private equity firms.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and Capitalization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a general partnership, a limited partnership is created in accordance with the state statute authorizing it. There are two categories of partners: limited and general. The limited partners capitalize the business and the general partners run it.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requires that the firm’s promoters file acertificate of limited partnership with the secretary of state; if they do not, or if the certificate is substantially defective, a general partnership is created. The certificate must be signed by all general partners. It must include the name of the limited partnership (which must include the words </w:t>
      </w:r>
      <w:r>
        <w:rPr>
          <w:rFonts w:ascii="Georgia" w:eastAsia="Times New Roman" w:hAnsi="Georgia" w:cs="Calibri"/>
          <w:i/>
          <w:iCs/>
          <w:color w:val="333333"/>
          <w:sz w:val="20"/>
          <w:szCs w:val="20"/>
          <w:lang w:val="en"/>
        </w:rPr>
        <w:t>limited partnership</w:t>
      </w:r>
      <w:r>
        <w:rPr>
          <w:rFonts w:ascii="Georgia" w:eastAsia="Times New Roman" w:hAnsi="Georgia" w:cs="Calibri"/>
          <w:color w:val="333333"/>
          <w:sz w:val="20"/>
          <w:szCs w:val="20"/>
          <w:lang w:val="en"/>
        </w:rPr>
        <w:t> so the world knows there are owners of the firm who are not liable beyond their contribution) and the names and business addresses of the general partners. If there are any changes in the general partners, the certificate must be amended. The general partner may be, and often is, a corporation. Having a general partner be a corporation achieves the goal of limited liability for everyone, but it is somewhat of a “clunky” arrangement. That problem is obviated in the limited liability company, discussed in </w:t>
      </w:r>
      <w:r>
        <w:rPr>
          <w:rFonts w:ascii="Georgia" w:eastAsia="Times New Roman" w:hAnsi="Georgia" w:cs="Calibri"/>
          <w:color w:val="2689C6"/>
          <w:sz w:val="20"/>
          <w:szCs w:val="20"/>
          <w:lang w:val="en"/>
        </w:rPr>
        <w:t>Section 24.2 "Limited Liability Companies"</w:t>
      </w:r>
      <w:r>
        <w:rPr>
          <w:rFonts w:ascii="Georgia" w:eastAsia="Times New Roman" w:hAnsi="Georgia" w:cs="Calibri"/>
          <w:color w:val="333333"/>
          <w:sz w:val="20"/>
          <w:szCs w:val="20"/>
          <w:lang w:val="en"/>
        </w:rPr>
        <w:t>. Here is an example of a limited partnership operating agreement:</w:t>
      </w:r>
      <w:hyperlink r:id="rId67" w:tgtFrame="_blank" w:history="1">
        <w:r>
          <w:rPr>
            <w:rStyle w:val="Hyperlink"/>
            <w:rFonts w:ascii="Georgia" w:eastAsia="Times New Roman" w:hAnsi="Georgia" w:cs="Calibri"/>
            <w:color w:val="2689C6"/>
            <w:sz w:val="20"/>
            <w:szCs w:val="20"/>
            <w:lang w:val="en"/>
          </w:rPr>
          <w:t>http://www.wyopa.com/Articles%20of%20limited%20partnership.htm</w:t>
        </w:r>
      </w:hyperlink>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natural person, partnership, limited partnership (domestic or foreign), trust, estate, association, or corporation may become a partner of a limited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Capitalization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money to capitalize the business typically comes mostly from thelimited partners, who may themselves be partnerships or corporations. That is, the limited partners use the business as an investment device: they hope the managers of the firm (the general partners) will take their contributions and give them a positive return on it. The contributions may be money, services, or property, or promises to make such contributions in the future.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Control and Compensation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Control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Control is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generally shared by both classes of partners.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control of the limited partnership is in the hands of the general partners, which may—as noted—be partnerships or corporations.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ULPA-1985 and its predecessors, a limited partner who exercised any significant control would incur liability like a general partner as to third parties who believed she was one (the “control rule”). However, among the things a limited partner could do that would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risk the loss of insulation from personal liability were these “safe harbors”:</w:t>
      </w:r>
    </w:p>
    <w:p w:rsidR="00A86150" w:rsidRDefault="00F714D4">
      <w:pPr>
        <w:pStyle w:val="ListParagraph"/>
        <w:numPr>
          <w:ilvl w:val="0"/>
          <w:numId w:val="58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Acting as an agent, employee, or contractor for the firm; or being an officer, director, or shareholder of a corporate general partner</w:t>
      </w:r>
    </w:p>
    <w:p w:rsidR="00A86150" w:rsidRDefault="00F714D4">
      <w:pPr>
        <w:pStyle w:val="ListParagraph"/>
        <w:numPr>
          <w:ilvl w:val="0"/>
          <w:numId w:val="58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Consulting with the general partner of the firm</w:t>
      </w:r>
    </w:p>
    <w:p w:rsidR="00A86150" w:rsidRDefault="00F714D4">
      <w:pPr>
        <w:pStyle w:val="ListParagraph"/>
        <w:numPr>
          <w:ilvl w:val="0"/>
          <w:numId w:val="58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Requesting or attending a meeting of partners</w:t>
      </w:r>
    </w:p>
    <w:p w:rsidR="00A86150" w:rsidRDefault="00F714D4">
      <w:pPr>
        <w:pStyle w:val="ListParagraph"/>
        <w:numPr>
          <w:ilvl w:val="0"/>
          <w:numId w:val="58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Being a surety for the firm</w:t>
      </w:r>
    </w:p>
    <w:p w:rsidR="00A86150" w:rsidRDefault="00F714D4">
      <w:pPr>
        <w:pStyle w:val="ListParagraph"/>
        <w:numPr>
          <w:ilvl w:val="0"/>
          <w:numId w:val="586"/>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Voting on amendments to the agreement, on dissolution or winding up the partnership, on loans to the partnership, on a change in its nature of business, on removing or admitting a general or limited partner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see </w:t>
      </w:r>
      <w:r>
        <w:rPr>
          <w:rFonts w:ascii="Georgia" w:eastAsia="Times New Roman" w:hAnsi="Georgia" w:cs="Calibri"/>
          <w:color w:val="2689C6"/>
          <w:sz w:val="20"/>
          <w:szCs w:val="20"/>
          <w:lang w:val="en"/>
        </w:rPr>
        <w:t>Section 24.3.3 "Limited Liability Limited Partnerships"</w:t>
      </w:r>
      <w:r>
        <w:rPr>
          <w:rFonts w:ascii="Georgia" w:eastAsia="Times New Roman" w:hAnsi="Georgia" w:cs="Calibri"/>
          <w:color w:val="333333"/>
          <w:sz w:val="20"/>
          <w:szCs w:val="20"/>
          <w:lang w:val="en"/>
        </w:rPr>
        <w:t> for how this “control rule” has been abolished under ULPA-2001.</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 partners owe fiduciary duties to other general partners, the firm, and the limited partners; limited partners who do not exercise control do not owe fiduciary duties. See </w:t>
      </w:r>
      <w:r>
        <w:rPr>
          <w:rFonts w:ascii="Georgia" w:eastAsia="Times New Roman" w:hAnsi="Georgia" w:cs="Calibri"/>
          <w:color w:val="2689C6"/>
          <w:sz w:val="20"/>
          <w:szCs w:val="20"/>
          <w:lang w:val="en"/>
        </w:rPr>
        <w:t>Figure 24.1 "The Limited Partnership under ULPA-1985"</w:t>
      </w:r>
      <w:r>
        <w:rPr>
          <w:rFonts w:ascii="Georgia" w:eastAsia="Times New Roman" w:hAnsi="Georgia" w:cs="Calibri"/>
          <w:color w:val="333333"/>
          <w:sz w:val="20"/>
          <w:szCs w:val="20"/>
          <w:lang w:val="en"/>
        </w:rPr>
        <w:t>.</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24.1</w:t>
      </w:r>
      <w:r>
        <w:rPr>
          <w:rFonts w:ascii="Georgia" w:eastAsia="Times New Roman" w:hAnsi="Georgia" w:cs="Calibri"/>
          <w:i/>
          <w:iCs/>
          <w:color w:val="BB9966"/>
          <w:sz w:val="21"/>
          <w:szCs w:val="21"/>
          <w:lang w:val="en"/>
        </w:rPr>
        <w:t> The Limited Partnership under ULPA-1985</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981325"/>
            <wp:effectExtent l="0" t="0" r="0" b="9525"/>
            <wp:docPr id="126" name="Picture 31" descr="http://images.flatworldknowledge.com/mayerlawentrep/mayerlawentrep-fig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lawentrep/mayerlawentrep-fig42_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981325"/>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partnership agreement may specify which general or limited partners have the right to vote on any matter, but if the agreement grants limited partners voting rights beyond the “safe harbor,” a court may abolish that partner’s limited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Assignment of Partnership Rights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Limited partnership interests may be assigned in whole or in part; if in whole, the assignor ceases to be a partner unless otherwise agreed. An assignment is usually made as security for a loan. The assignee becomes a new limited partner only if all the others consent or if provided for in the certificate; the assignment does not cause dissolution. The happy ease with which a limited partner can divest himself of the partnership interest makes the investment in the firm here more like that in a corporation than in a general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Inspection of Books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Limited partners have the right to inspect the firm’s books and records, they may own competing interests, they may be creditors of the firm, and they may bring derivative suits on the firm’s behalf. They may not withdraw their capital contribution if that would impair creditors’ rights.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Addition of New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the partnership agreement provides otherwise (it usually does), the admission of additional limited partners requires the written consent of all. A general partner may withdraw at any time with written notice; if withdrawal is a violation of the agreement, the limited partnership has a right to claim of damages. A limited partner can withdraw any time after six months’ notice to each general partner, and the withdrawing partner is entitled to any distribution as per the agreement or, if none, to the fair value of the interest based on the right to share in distributions.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noted in discussing partnerships that the partners are not entitled to “compensation,” that is, payment for their work; they are entitled to a share of the profits. For limited partnerships, the rule is a bit different.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general partners are paid for their management work on a sliding scale, receiving a greater share of each dollar of cash flow as the limited partners’ cash distributions rise, thus giving the general partner an incentive to increase limited-partner distributions.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Profits or losses are shared as agreed in the certificate or, if there is no agreement, in accordance with the percentages of capital contributions made.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Liabilities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Liability is not shared.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partners are liable as in a general partnership, and they have the same fiduciary duty and duty of care as partners in a general partnership. However, see the discussion in </w:t>
      </w:r>
      <w:r>
        <w:rPr>
          <w:rFonts w:ascii="Georgia" w:eastAsia="Times New Roman" w:hAnsi="Georgia" w:cs="Calibri"/>
          <w:color w:val="2689C6"/>
          <w:sz w:val="20"/>
          <w:szCs w:val="20"/>
          <w:lang w:val="en"/>
        </w:rPr>
        <w:t>Section 24.3.3 "Limited Liability Limited Partnerships"</w:t>
      </w:r>
      <w:r>
        <w:rPr>
          <w:rFonts w:ascii="Georgia" w:eastAsia="Times New Roman" w:hAnsi="Georgia" w:cs="Calibri"/>
          <w:color w:val="333333"/>
          <w:sz w:val="20"/>
          <w:szCs w:val="20"/>
          <w:lang w:val="en"/>
        </w:rPr>
        <w:t> of the newest type of LP, the limited liability limited partnership (triple LP), where the general partner is also afforded limited liability under ULPA-2001.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limited partners are only liable up to the amount of their capital contribution, provided the surname of the limited partner does not appear in the partnership name (unless his name is coincidentally the same as that of one of the general partners whose name does appear) and provided the limited partner does not participate in control of the firm. See </w:t>
      </w:r>
      <w:r>
        <w:rPr>
          <w:rFonts w:ascii="Georgia" w:eastAsia="Times New Roman" w:hAnsi="Georgia" w:cs="Calibri"/>
          <w:color w:val="2689C6"/>
          <w:sz w:val="20"/>
          <w:szCs w:val="20"/>
          <w:lang w:val="en"/>
        </w:rPr>
        <w:t>Section 24.4.1 "Limited Partnerships: Limited Partners’ Liability for Managing Limited Partnership"</w:t>
      </w:r>
      <w:r>
        <w:rPr>
          <w:rFonts w:ascii="Georgia" w:eastAsia="Times New Roman" w:hAnsi="Georgia" w:cs="Calibri"/>
          <w:color w:val="333333"/>
          <w:sz w:val="20"/>
          <w:szCs w:val="20"/>
          <w:lang w:val="en"/>
        </w:rPr>
        <w:t> for a case that highlights liability issues for partners.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been discussing ULPA-1985 here. But in a world of limited liability companies, limited liability partnerships, and limited liability limited partnerships, “the control rule has become an anachronism”; ULPA-2001 “provides a full, status-based liability shield for each limited partner, ‘even if the limited partner participates in the management and control of the limited partnership.’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section thus eliminates the so-called control rule with respect to personal liability for entity obligations and brings limited partners into parity with LLC members, LLP partners and corporate shareholders.”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And as will be noted in </w:t>
      </w:r>
      <w:r>
        <w:rPr>
          <w:rFonts w:ascii="Georgia" w:eastAsia="Times New Roman" w:hAnsi="Georgia" w:cs="Calibri"/>
          <w:color w:val="2689C6"/>
          <w:sz w:val="20"/>
          <w:szCs w:val="20"/>
          <w:lang w:val="en"/>
        </w:rPr>
        <w:t>Section 24.3.3 "Limited Liability Limited Partnerships"</w:t>
      </w:r>
      <w:r>
        <w:rPr>
          <w:rFonts w:ascii="Georgia" w:eastAsia="Times New Roman" w:hAnsi="Georgia" w:cs="Calibri"/>
          <w:color w:val="333333"/>
          <w:sz w:val="20"/>
          <w:szCs w:val="20"/>
          <w:lang w:val="en"/>
        </w:rPr>
        <w:t>under ULPA-2001 the </w:t>
      </w:r>
      <w:r>
        <w:rPr>
          <w:rFonts w:ascii="Georgia" w:eastAsia="Times New Roman" w:hAnsi="Georgia" w:cs="Calibri"/>
          <w:i/>
          <w:iCs/>
          <w:color w:val="333333"/>
          <w:sz w:val="20"/>
          <w:szCs w:val="20"/>
          <w:lang w:val="en"/>
        </w:rPr>
        <w:t>general</w:t>
      </w:r>
      <w:r>
        <w:rPr>
          <w:rFonts w:ascii="Georgia" w:eastAsia="Times New Roman" w:hAnsi="Georgia" w:cs="Calibri"/>
          <w:color w:val="333333"/>
          <w:sz w:val="20"/>
          <w:szCs w:val="20"/>
          <w:lang w:val="en"/>
        </w:rPr>
        <w:t> partner is also shielded from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Taxation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the limited partnership meets a minimum number of criteria related to limited liability, centralized management, duration, and transferability of ownership, it can enjoy the benefits of pass-through taxation; otherwise it will be taxed as a corporation. Pass-through (“conduit”) taxation is usually very important to partners.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Termination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limited partnership’s termination involves the same three steps as in a general partnership: (1) dissolution, (2) winding up, and (3) termination.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Dissolution of a limited partnership is the first step toward termination (but termination does not necessarily follow dissolution). The limited partners have no power to dissolve the firm except on court order, and the death or bankruptcy of a limited partner does not dissolve the firm. The following events may cause dissolution: (1) termination of the partnership as per the certificate’s provisions; (2) termination upon an event specified in the partnership agreement; (3) the unanimous written consent of the partners; (4) the withdrawal of a general partner, unless at least one remains and the agreement says one is enough, or if within ninety days all partners agree to continue; (5) an event that causes the business to be illegal; and (6) judicial decree of dissolution when it is not reasonable to carry on. If the agreement has no term, its dissolution is not triggered by some agreed-to event, and none of the other things listed cause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Dissolution requires the filing of a certificate of cancellation with the state if winding up commences.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Winding Up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 partners who have not wrongfully dissolved the partnership may wind it up, and so may the limited partners if all the general partners have wrongfully dissolved the firm. Any partner or that person’s legal representative can petition a court for winding up, with cause.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Upon winding up, the assets are distributed (1) to creditors, including creditor-partners, not including liabilities for distributions of profit; (2) to partners and ex-partners to pay off unpaid distributions; (3) to partners as return of capital contributions, unless otherwise agreed; and (4) to partners for partnership interests in proportion as they share in distributions, unless otherwise agreed. No distinction is made between general and limited partners—they share equally, unless otherwise agreed. When winding up is completed, the firm is terminated.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worth reiterating the part about “unless otherwise agreed”: people who form any kind of a business organization—partnership, a hybrid form, or corporations—can to a large extent choose to structure their relationship as they see fit. Any aspect of the company’s formation, operation, or ending that is not included in an agreement flops into the default provisions of the relevant law.</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limited partnership is a creature of statute: it requires filing a certificate with the state because it confers on some of its members the marvel of limited liability. It is an investment device composed of one or more general partners and one or more limited partners; limited partners may leave with six months’ notice and are entitled to an appropriate payout. The general partner is liable as a partner is a general partnership; the limited partners’ liability is limited to the loss of their investment, unless they exercise so much control of the firm as to become general partners. The general partner is paid, and the general and limited partners split profit as per the agreement or, if none, in the proportion as they made capital contributions. The firm is usually taxed like a general partnership: it is a conduit for the partners’ income. The firm is dissolved upon the end of its term, upon an event specified in the agreement, or in several other circumstances, but it may have indefinite existence.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fact that the limited liability company provides limited liability for some of its members mean that a state certificate must be filed?</w:t>
      </w:r>
    </w:p>
    <w:p w:rsidR="00A86150" w:rsidRDefault="00F714D4">
      <w:pPr>
        <w:numPr>
          <w:ilvl w:val="0"/>
          <w:numId w:val="587"/>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liability has the general partner? The limited partner?</w:t>
      </w:r>
    </w:p>
    <w:p w:rsidR="00A86150" w:rsidRDefault="00F714D4">
      <w:pPr>
        <w:numPr>
          <w:ilvl w:val="0"/>
          <w:numId w:val="587"/>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easy is it for the limited partner to dispose of (sell) her partnership interest?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4"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Limited Partnership Act (2001), Prefatory Note,” NCCUSL Archives,</w:t>
      </w:r>
      <w:hyperlink r:id="rId69" w:tgtFrame="_blank" w:history="1">
        <w:r>
          <w:rPr>
            <w:rStyle w:val="Hyperlink"/>
            <w:rFonts w:ascii="Calibri" w:eastAsia="Times New Roman" w:hAnsi="Calibri" w:cs="Calibri"/>
            <w:color w:val="2689C6"/>
            <w:sz w:val="20"/>
            <w:szCs w:val="20"/>
          </w:rPr>
          <w:t>http://www.law.upenn.edu/bll/archives/ulc/ulpa/final2001.pdf</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ULPA, Section 102(11).</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ULPA-2001, Section 303.</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Official Comment to Uniform Limited Partnership Act 2001, Section 303.</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24.2 Limited Liability Companies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588"/>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history and law governing limited liability companies (LLCs).</w:t>
      </w:r>
    </w:p>
    <w:p w:rsidR="00A86150" w:rsidRDefault="00F714D4">
      <w:pPr>
        <w:numPr>
          <w:ilvl w:val="0"/>
          <w:numId w:val="588"/>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creation and capitalization of an LLC.</w:t>
      </w:r>
    </w:p>
    <w:p w:rsidR="00A86150" w:rsidRDefault="00F714D4">
      <w:pPr>
        <w:numPr>
          <w:ilvl w:val="0"/>
          <w:numId w:val="588"/>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control and compensation of a firm.</w:t>
      </w:r>
    </w:p>
    <w:p w:rsidR="00A86150" w:rsidRDefault="00F714D4">
      <w:pPr>
        <w:numPr>
          <w:ilvl w:val="0"/>
          <w:numId w:val="588"/>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liabilities in the LLC form.</w:t>
      </w:r>
    </w:p>
    <w:p w:rsidR="00A86150" w:rsidRDefault="00F714D4">
      <w:pPr>
        <w:numPr>
          <w:ilvl w:val="0"/>
          <w:numId w:val="588"/>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taxation of an LLC.</w:t>
      </w:r>
    </w:p>
    <w:p w:rsidR="00A86150" w:rsidRDefault="00F714D4">
      <w:pPr>
        <w:numPr>
          <w:ilvl w:val="0"/>
          <w:numId w:val="588"/>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how LLCs are terminated.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and Law Governing Limited Liability Companies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History of the Limited Liability Company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limited liability company (LLC) gained sweeping popularity in the late twentieth century because it combines the best aspects of partnership and the best aspects of corporations: it allows all its owners (members) insulation from personal liability and pass-through (conduit) taxation. The first efforts to form LLCs were thwarted by IRS rulings that the business form was too much like a corporation to escape corporate tax complications. Tinkering by promoters of the LLC concept and flexibility by the IRS solved those problems in interesting and creative ways.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Corporations have six characteristics: (1) associates, (2) an objective to carry on a business and divide the gains, (3) continuity of life, (4) centralized management, (5) limited liability, and (6) free transferability of interests. Partnerships also, necessarily, have the first two corporate characteristics; under IRS rulings, if the LLC is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to be considered a corporation for tax purposes, it must lack at least one-half of the remaining four characteristics of a corporation: the LLC, then, must lack two of these corporate characteristics (otherwise it will be considered a corporation): (1) limited liability, (2) centralized management, (3) continuity of life, or (4) free transferability of interests. But limited liability is essential and centralized management is necessary for passive investors who don’t want to be involved in decision making, so pass-through taxation usually hinges on whether an LLC has continuity of life and free transferability of accounts. Thus it is extremely important that the LLC promoters avoid the corporate characteristics of continuity of life and free transferability of interests.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will see how the LLC can finesse these issues.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Governing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states have statutes allowing the creation of LLCs, and while a Uniform Limited Liability Company Act has been promulgated, only eight states have adopted it as of January 2011. That said, the LLC has become the entity of choice for many businesses.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 and Capitalization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 of the LLC</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LLC is created according to the statute of the state in which it is formed. It is required that the LLC members file a “certificate of organization” with the secretary of state, and the name must indicate that it is a limited liability company. Partnerships and limited partnerships may convert to LLCs; the partners’ previous liability under the other organizational forms is not affected, but going forward, limited liability is provided. The members’ operating agreement spells out how the business will be run; it is subordinate to state and federal law. Unless otherwise agreed, the operating agreement can be amended only by unanimous vote. The LLC is an entity. Foreign LLCs must register with the secretary of state before doing business in a “foreign” state, or they cannot sue in state courts.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compared with corporations, the LLC is not a good form if the owners expect to have multiple investors or to raise money from the public. The typical LLC has relatively few members (six or seven at most), all of whom usually are engaged in running the firm.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early LLC statutes, at least, prohibited their use by professionals. That is, practitioners who need professional licenses, such as certified public accountants, lawyers, doctors, architects, chiropractors, and the like, could not use this form because of concern about what would happen to the standards of practice if such people could avoid legitimate malpractice claims. For that reason, the limited liability partnership was invented.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Capitalization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Capitalization is like a partnership: members contribute capital to the firm according to their agreement. As in a partnership, the LLC property is not specific to any member, but each has a personal property interest in general. Contributions may be in the form of cash, property or services rendered, or a promise to render them in the future.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Control and Compensation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Control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LLC operating agreement may provide for either a member-managed LLC or a manager-managed (centralized) LLC. If the former, all members have actual and apparent authority to bind the LLC to contracts on its behalf, as in a partnership, and all members’ votes have equal weight unless otherwise agreed. Member-managers have duty of care and a fiduciary duty, though the parameters of those duties vary from state to state. If the firm is manager managed, only managers have authority to bind the firm; the managers have the duty of care and fiduciary duty, but the nonmanager members usually do not. Some states’ statutes provide that voting is based on the financial interests of the members. Most statutes provide that any extraordinary firm decisions be voted on by all members (e.g., amend the agreement, admit new members, sell all the assets prior to dissolution, merge with another entity). Members can make their own rules without the structural requirements (e.g., voting rights, notice, quorum, approval of major decisions) imposed under state corporate law.</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firm has a centralized manager system, it gets a check in its “corporate-like” box, so it will need to make sure there are enough noncorporate-like attributes to make up for this one. If it looks too much like a corporation, it will be taxed like one.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real benefits of the LLC as compared with the corporation is that no annual meetings are required, and no minutes need to be kept. Often, owners of small corporations ignore these formalities to their peril, but with the LLC there are no worries about such record keeping.</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Distributions are allocated among members of an LLC according to the operating agreement; managing partners may be paid for their services. Absent an agreement, distributions are allocated among members in proportion to the values of contributions made by them or required to be made by them. Upon a member’s dissociation that does not cause dissolution, a dissociating member has the right to distribution as provided in the agreement, or—if no agreement—the right to receive the fair value of the member’s interest within a reasonable time after dissociation. No distributions are allowed if making them would cause the LLC to become insolvent.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great accomplishment of the LLC is, again, to achieve limited liability for all its members: no general partner hangs out with liability exposure.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 to Outsiders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Members are not liable to third parties for contracts made by the firm or for torts committed in the scope of business (but of course a person is always liable for her own torts), regardless of the owner’s level of participation—unlike a limited partnership, where the general partner is liable. Third parties’ only recourse is as against the firm’s property. See </w:t>
      </w:r>
      <w:r>
        <w:rPr>
          <w:rFonts w:ascii="Georgia" w:eastAsia="Times New Roman" w:hAnsi="Georgia" w:cs="Calibri"/>
          <w:i/>
          <w:iCs/>
          <w:color w:val="333333"/>
          <w:sz w:val="20"/>
          <w:szCs w:val="20"/>
          <w:lang w:val="en"/>
        </w:rPr>
        <w:t>Puleo v. Topel</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24.4.2 "Liability Issues in LLCs"</w:t>
      </w:r>
      <w:r>
        <w:rPr>
          <w:rFonts w:ascii="Georgia" w:eastAsia="Times New Roman" w:hAnsi="Georgia" w:cs="Calibri"/>
          <w:color w:val="333333"/>
          <w:sz w:val="20"/>
          <w:szCs w:val="20"/>
          <w:lang w:val="en"/>
        </w:rPr>
        <w:t>), for an analysis of owner liability in an LLC.</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Internal Liabilities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the operating agreement provides otherwise, members and managers of the LLC are generally not liable to the firm or its members except for acts or omissions constituting gross negligence, intentional misconduct, or knowing violations of the law. Members and managers, though, must account to the firm for any personal profit or benefit derived from activities not consented to by a majority of disinterested members or managers from the conduct of the firm’s business or member’s or managers use of firm property—which is the same as in partnership law.</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Taxation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the LLC is properly formed so that it is not too much like a corporation, it will—upon its members’ election—be treated like a partnership for tax purposes.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Termination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Termination, loosely speaking, refers either to how the entity’s life as a business ends (continuity of life) or to how a member’s interest in the firm ends—that is, how freely the interest is transferable.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Continuity of Life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step in the termination of the LLC is dissolution, though dissolution is not necessarily followed by termination.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Dissolution and Winding Up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IRS has determined that continuity of life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exist “if the death, insanity, bankruptcy, retirement, resignation, or expulsion of any member will cause a dissolution of the organization,”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and that if one of these events occurs, the entity may continue only with the members’ unanimous consent. Dissolution may occur even if the business is continued by the remaining members.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typical LLC statute provides that an LLC will dissolve upon (1) expiration of the LLC’s term as per its agreement; (2) events specified in the agreement; (3) written consent of all members; (4) an “event of dissociation” of a member, unless within ninety days of the event all remaining members agree to continue, or the right to continue is stated in the LLC; (5) the entry of a judicial decree of dissolution; (6) a change in membership that results in there being fewer than two members; or (7) the expiration of two years after the effective date of administrative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an “event of dissociation” is typically defined as (1) a member’s voluntary withdrawal, (2) her assignment of the entire LLC interest, (3) her expulsion, (4) her bankruptcy, (5) her becoming incompetent, (6) dissolution of an entity member (as an LLC, limited partnership, or corporation), or (7) any other event specified in the agreement.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under most statutes’ default position, if a member dies, becomes insane or bankrupt, retires, resigns, or is expelled, the LLC will dissolve </w:t>
      </w:r>
      <w:r>
        <w:rPr>
          <w:rFonts w:ascii="Georgia" w:eastAsia="Times New Roman" w:hAnsi="Georgia" w:cs="Calibri"/>
          <w:i/>
          <w:iCs/>
          <w:color w:val="333333"/>
          <w:sz w:val="20"/>
          <w:szCs w:val="20"/>
          <w:lang w:val="en"/>
        </w:rPr>
        <w:t>unless</w:t>
      </w:r>
      <w:r>
        <w:rPr>
          <w:rFonts w:ascii="Georgia" w:eastAsia="Times New Roman" w:hAnsi="Georgia" w:cs="Calibri"/>
          <w:color w:val="333333"/>
          <w:sz w:val="20"/>
          <w:szCs w:val="20"/>
          <w:lang w:val="en"/>
        </w:rPr>
        <w:t> within ninety days the rest of the members unanimously agree to continue. And by this means the firm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have continuity of life. Some states provide opportunities for even more flexibility regarding the “unanimous” part. In the mid-1990s, the IRS issued revenue rulings (as opposed to regulations) that it would be enough if a “majority in interest” of remaining partners agreed to continue the business, and the “flexible” statute states adopted this possibility (the ones that did not are called “bulletproof” statutes). “Majority in interests” means a majority of profits and capital.</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firm does dissolve, some states require public filings to that effect. If dissolution leads to winding up, things progress as in a general partnership: the business at hand is finished, accounts are rendered, bills paid, assets liquidated, and remaining assets are distributed to creditors (including member and manager creditors, but not for their shares in profits); to members and past members for unpaid distributions; to members for capital contributions; and to members as agreed or in proportion to contributions made. Upon dissolution, actual authority of members or managers terminates except as needed to wind up; members may have apparent authority, though, unless the third party had notice of the dissolution.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Free Transferability of Interest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the problem here is that if a member’s interest in the LLC is as freely transferable as a shareholder’s interest in a corporation (an owner can transfer all attributes of his interest without the others’ consent), the LLC will probably be said to have a check mark in the “corporate-like” box: too many of those and the firm will not be allowed pass-through taxation. Thus the trick for the LLC promoters is to limit free transferability enough to pass the test of not being a corporation, but not limit so much as to make it really difficult to divest oneself of the interest (then it’s not a very liquid or desirable investment).</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states’ LLC statutes have as the default rule that the remaining members must unanimously consent to allow an assignee or a transferee of a membership interest to participate in managing the LLC. Since this prevents a member from transferring </w:t>
      </w:r>
      <w:r>
        <w:rPr>
          <w:rFonts w:ascii="Georgia" w:eastAsia="Times New Roman" w:hAnsi="Georgia" w:cs="Calibri"/>
          <w:i/>
          <w:iCs/>
          <w:color w:val="333333"/>
          <w:sz w:val="20"/>
          <w:szCs w:val="20"/>
          <w:lang w:val="en"/>
        </w:rPr>
        <w:t>all</w:t>
      </w:r>
      <w:r>
        <w:rPr>
          <w:rFonts w:ascii="Georgia" w:eastAsia="Times New Roman" w:hAnsi="Georgia" w:cs="Calibri"/>
          <w:color w:val="333333"/>
          <w:sz w:val="20"/>
          <w:szCs w:val="20"/>
          <w:lang w:val="en"/>
        </w:rPr>
        <w:t> attributes of the interest (the right to participate in management isn’t transferred or assigned), the LLC formed under the default provision will not have “free transferability of interest.” But if the LLC agreement allows</w:t>
      </w:r>
      <w:r>
        <w:rPr>
          <w:rFonts w:ascii="Georgia" w:eastAsia="Times New Roman" w:hAnsi="Georgia" w:cs="Calibri"/>
          <w:i/>
          <w:iCs/>
          <w:color w:val="333333"/>
          <w:sz w:val="20"/>
          <w:szCs w:val="20"/>
          <w:lang w:val="en"/>
        </w:rPr>
        <w:t>majority</w:t>
      </w:r>
      <w:r>
        <w:rPr>
          <w:rFonts w:ascii="Georgia" w:eastAsia="Times New Roman" w:hAnsi="Georgia" w:cs="Calibri"/>
          <w:color w:val="333333"/>
          <w:sz w:val="20"/>
          <w:szCs w:val="20"/>
          <w:lang w:val="en"/>
        </w:rPr>
        <w:t> consent for the transfer of all attributes, that also would satisfy the requirement that there not be free transferability of interests. Then we get into the question of how to define “majority”: by number of members or by value of their membership? And what if only the managing partners need to consent? Or if there are two classes of membership and the transfer of interests in one class requires the consent of the other? The point is that people keep pushing the boundaries to see how close their LLC can come to corporation-like status without being called a corporation.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Statutes for LLCs allow other business entities to convert to this form upon application.</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limited liability company has become the entity of choice for many businesspeople. It is created by state authority that, upon application, issues the “certificate of organization.” It is controlled either by managers or by members, it affords its members limited liability, and it is taxed like a partnership. But these happy results are obtained only if the firm lacks enough corporate attributes to escape being labeled as a corporation. To avoid too much “corporateness,” the firm’s certificate usually limits its continuity of life and the free transferability of interest. The ongoing game is to finesse these limits: to make them as nonconstraining as possible, to get right up to the line to preserve continuity, and to make the interest as freely transferable as possible.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8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six attributes of a corporation? Which are automatically relevant to the LLC? Which two corporate attributes are usually dropped in an LLC?</w:t>
      </w:r>
    </w:p>
    <w:p w:rsidR="00A86150" w:rsidRDefault="00F714D4">
      <w:pPr>
        <w:numPr>
          <w:ilvl w:val="0"/>
          <w:numId w:val="58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LLC not want to be treated like a corporation?</w:t>
      </w:r>
    </w:p>
    <w:p w:rsidR="00A86150" w:rsidRDefault="00F714D4">
      <w:pPr>
        <w:numPr>
          <w:ilvl w:val="0"/>
          <w:numId w:val="58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name of the LLC have to include an indication that it is an LLC?</w:t>
      </w:r>
    </w:p>
    <w:p w:rsidR="00A86150" w:rsidRDefault="00F714D4">
      <w:pPr>
        <w:numPr>
          <w:ilvl w:val="0"/>
          <w:numId w:val="58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did LLCs finesse the requirement that they not allow too-free transferability of the interest?</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5"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Treasury Regulation, § 301.7701-2(b)(1).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24.3 Other Forms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A86150" w:rsidRDefault="00F714D4">
      <w:pPr>
        <w:numPr>
          <w:ilvl w:val="0"/>
          <w:numId w:val="590"/>
        </w:numPr>
        <w:shd w:val="clear" w:color="auto" w:fill="EAE9DC"/>
        <w:tabs>
          <w:tab w:val="clear" w:pos="720"/>
          <w:tab w:val="num" w:pos="13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other business forms: sub-S corporations, limited liability partnerships, and limited liability limited partnerships.</w:t>
      </w:r>
    </w:p>
    <w:p w:rsidR="00A86150" w:rsidRDefault="00F714D4">
      <w:pPr>
        <w:shd w:val="clear" w:color="auto" w:fill="FFFFFF"/>
        <w:spacing w:before="24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Sub-S Corporation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History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sub-S corporation or the S corporation gets its name from the IRS Code, Chapter 1, Subchapter S. It was authorized by Congress in 1958 to help small corporations and to stem the economic and cultural influence of the relatively few, but increasingly powerful, huge multinational corporations. According to the website of an S corporation champion, “a half century later, S corporations are the most popular corporate structure in America. The IRS estimates that there were 4.5 million S corporation owners in the United States in 2007—about twice the number of C [standard] corporations.”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 and Capitalization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 corporation is a regular corporation created upon application to the appropriate secretary of state’s office and operated according to its bylaws and shareholders’ agreements. There are, however, some limits on how the business is set up, among them the following:</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must be incorporated in the United States.</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cannot have more than one hundred shareholders (a married couple counts as one shareholder).</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only shareholders are individuals, estates, certain exempt organizations, or certain trusts.</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Only US citizens and resident aliens may be shareholders.</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corporation has only one class of stock.</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some exceptions, it cannot be a bank, thrift institution, or insurance company.</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shareholders must consent to the S corporation election.</w:t>
      </w:r>
    </w:p>
    <w:p w:rsidR="00A86150" w:rsidRDefault="00F714D4">
      <w:pPr>
        <w:pStyle w:val="ListParagraph"/>
        <w:numPr>
          <w:ilvl w:val="0"/>
          <w:numId w:val="591"/>
        </w:num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capitalized as is a regular corporation.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owners of the S corporation have limited liability.</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Taxation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Taxation is the crux of the matter. The S corporation pays no corporate income tax (unless it has a lot of passive income). The S corporation’s shareholders include on their personal income statements, and pay tax on, their share of the corporation’s separately stated items of income, deduction, and loss. That is, the S corporation avoids the dreaded double taxation of corporate income.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Transferability of Ownership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 corporations’ shares can be bought or sold via share purchase agreements, and all changes in the ownership are reflected in the share ledger in the corporate minute book.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Limited Liability Partnerships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Background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1991, Texas enacted the first limited liability partnership (LLP) statute, largely in response to the liability that had been imposed on partners in partnerships sued by government agencies in relation to massive savings and loan failures in the 1980s.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(Here we see an example of the legislature allowing business owners to externalize the risks of business operation.) More broadly, the success of the limited liability company attracted the attention of professionals like accountants, lawyers, and doctors who sought insulation from personal liability for the mistakes or malpractice of their partners. Their wish was granted with the adoption in all states of statutes authorizing the creation of the limited liability partnership in the early 1990s. Most partnership law under the Revised Uniform Partnership Act applies to LLPs.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Members of a partnership (only a majority is required) who want to form an LLP must file with the secretary of state; the name of the firm must include “limited liability partnership” or “LLP” to notify the public that its members will not stand personally for the firm’s liabilities.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noted, the purpose of the LLP form of business is to afford insulation from liability for its members. A typical statute provides as follows: “Any obligation of a partnership incurred while the partnership is a limited liability partnership, whether arising in contract, tort or otherwise, is solely the obligation of the partnership. A partner is not personally liable, directly or indirectly, by way of indemnification, contribution, assessment or otherwise, for such an obligation solely by reason of being or so acting as a partner.”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the statutes vary. The early ones only allowed limited liability for negligent acts and retained unlimited liability for other acts, such as malpractice, misconduct, or wrongful acts by partners, employees, or agents. The second wave eliminated all these as grounds for unlimited liability, leaving only breaches of ordinary contract obligation. These two types of legislation are called </w:t>
      </w:r>
      <w:r>
        <w:rPr>
          <w:rFonts w:ascii="Georgia" w:eastAsia="Times New Roman" w:hAnsi="Georgia" w:cs="Calibri"/>
          <w:i/>
          <w:iCs/>
          <w:color w:val="333333"/>
          <w:sz w:val="20"/>
          <w:szCs w:val="20"/>
          <w:lang w:val="en"/>
        </w:rPr>
        <w:t>partial shield</w:t>
      </w:r>
      <w:r>
        <w:rPr>
          <w:rFonts w:ascii="Georgia" w:eastAsia="Times New Roman" w:hAnsi="Georgia" w:cs="Calibri"/>
          <w:color w:val="333333"/>
          <w:sz w:val="20"/>
          <w:szCs w:val="20"/>
          <w:lang w:val="en"/>
        </w:rPr>
        <w:t> statutes. The third wave of LLP legislation offered </w:t>
      </w:r>
      <w:r>
        <w:rPr>
          <w:rFonts w:ascii="Georgia" w:eastAsia="Times New Roman" w:hAnsi="Georgia" w:cs="Calibri"/>
          <w:i/>
          <w:iCs/>
          <w:color w:val="333333"/>
          <w:sz w:val="20"/>
          <w:szCs w:val="20"/>
          <w:lang w:val="en"/>
        </w:rPr>
        <w:t>full shield</w:t>
      </w:r>
      <w:r>
        <w:rPr>
          <w:rFonts w:ascii="Georgia" w:eastAsia="Times New Roman" w:hAnsi="Georgia" w:cs="Calibri"/>
          <w:color w:val="333333"/>
          <w:sz w:val="20"/>
          <w:szCs w:val="20"/>
          <w:lang w:val="en"/>
        </w:rPr>
        <w:t>protection—no unlimited liability at all. Needless to say, the full-shield type has been most popular and most widely adopted. Still, however, many statutes require specified amounts of professional malpractice insurance, and partners remain fully liable for their own negligence or for wrongful acts of those in the LLP whom they supervise.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other respects, the LLP is like a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Limited Liability Limited Partnerships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progress toward achieving limited liability continues. Alimited liability limited partnership (LLLP, or triple LP) is the latest invention. It is a limited partnership that has invoked the LLLP provisions of its state partnership law by filing with a specified public official the appropriate documentation to become an LLLP. This form completely eliminates the automatic personal liability of the general partner for partnership obligations and, under most statutes, also eliminates the “control rule” liability exposure for all limited partners. It is noteworthy that California law does not allow for an LLLP to be formed in California; however, it does recognize LLLPs formed in other states. A “foreign” LLLP doing business in California must register with the secretary of state. As of February 2011, twenty-one states allow the formation of LLLPs.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2001 revision of the Uniform Limited Partnership Act (ULPA) provides this definition of an LLLP: “‘Limited liability limited partnership’…means a limited partnership whose certificate of limited partnership states that the limited partnership is a limited liability limited partnership.”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Section 404(c) gets to the point: “An obligation of a limited partnership incurred while the limited partnership is a limited liability limited partnership, whether arising in contract, tort, or otherwise, is solely the obligation of the limited partnership. A general partner is not personally liable, directly or indirectly, by way of contribution or otherwise, for such an obligation solely by reason of being or acting as a general partner. This subsection applies despite anything inconsistent in the partnership agreement that existed immediately before the consent required to become a limited liability limited partnership[.]”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discussion of limited partnerships, we noted that ULPA-2001 eliminates the “control rule” so that limited partners who exercise day-to-day control are</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thereby liable as general partners. Now, in the section quoted in the previous paragraph, the </w:t>
      </w:r>
      <w:r>
        <w:rPr>
          <w:rFonts w:ascii="Georgia" w:eastAsia="Times New Roman" w:hAnsi="Georgia" w:cs="Calibri"/>
          <w:i/>
          <w:iCs/>
          <w:color w:val="333333"/>
          <w:sz w:val="20"/>
          <w:szCs w:val="20"/>
          <w:lang w:val="en"/>
        </w:rPr>
        <w:t>general partner’s</w:t>
      </w:r>
      <w:r>
        <w:rPr>
          <w:rFonts w:ascii="Georgia" w:eastAsia="Times New Roman" w:hAnsi="Georgia" w:cs="Calibri"/>
          <w:color w:val="333333"/>
          <w:sz w:val="20"/>
          <w:szCs w:val="20"/>
          <w:lang w:val="en"/>
        </w:rPr>
        <w:t> liability for partnership obligations is vaporized too. (Of course, the general partner is liable for its, his, or her own torts.) The preface to ULPA-2001 explains, “In a limited liability limited partnership (‘LLLP’), no partner—whether general or limited—is liable on account of partner status for the limited partnership’s obligations. Both general and limited partners benefit from a full, status-based liability shield that is equivalent to the shield enjoyed by corporate shareholders, LLC members, and partners in an LLP.”</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Presumably, most existing limited partnerships will switch over to LLLPs. The ULPA-2001 provides that “the Act makes LLLP status available through a simple statement in the certificate of limited partnership.”</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Ethical Concerns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a reason that partnership law imposed personal liability on the partners: people tend to be more careful when they are personally liable for their own mistakes and bad judgment. Many government programs reflect peoples’ interest in adverting risk: federal deposit insurance, Social Security, and bankruptcy, to name three. And of course corporate limited liability has existed for two hundred years.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Whether the movement to allow almost anybody the right to a business organization that affords limited liability will encourage entrepreneurship and business activity or whether it will usher in a new era of moral hazard—people being allowed to escape the consequences of their own irresponsibility—is yet to be seen.</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Businesspeople always prefer to reduce their risks. The partnership form imposes serious potential risk: unlimited personal liability. The corporate form eliminates that risk but imposes some onerous formalities and double taxation. Early on, then, the limited partnership form was born, but it still imposed unlimited liability on the general partner and on the limited partner if she became too actively involved. Congress was induced in the mid-1950s to allow certain small US corporations the right to single taxation, but the sub-S corporation still suffered from various limitations on its structure. In the 1980s, the limited liability company was invented; it has become the entity of choice for many businesspeople, but its availability for professionals was limited. In the late 1980s, the limited liability partnership form gained favor, and in the early 2000s, the limited liability limited partnership finished off unlimited liability for limited partnerships.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9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principal disadvantage of the general partnership is that it imposes unlimited personal liability on the partners. What is the disadvantage of the corporate form?</w:t>
      </w:r>
    </w:p>
    <w:p w:rsidR="00A86150" w:rsidRDefault="00F714D4">
      <w:pPr>
        <w:numPr>
          <w:ilvl w:val="0"/>
          <w:numId w:val="592"/>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isn’t the limited partnership an entirely satisfactory solution to the liability problem of the partnership?</w:t>
      </w:r>
    </w:p>
    <w:p w:rsidR="00A86150" w:rsidRDefault="00F714D4">
      <w:pPr>
        <w:numPr>
          <w:ilvl w:val="0"/>
          <w:numId w:val="59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issue of “moral hazard” and the business organization form.</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6"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History and Challenges of America’s Dominant Business Structure,” </w:t>
      </w:r>
      <w:r>
        <w:rPr>
          <w:rFonts w:ascii="Calibri" w:eastAsia="Times New Roman" w:hAnsi="Calibri" w:cs="Calibri"/>
          <w:i/>
          <w:iCs/>
          <w:color w:val="333333"/>
          <w:sz w:val="20"/>
          <w:szCs w:val="20"/>
        </w:rPr>
        <w:t>S Corp: Defending America’s Small and Family-Owned Businesses</w:t>
      </w:r>
      <w:r>
        <w:rPr>
          <w:rFonts w:ascii="Calibri" w:eastAsia="Times New Roman" w:hAnsi="Calibri" w:cs="Calibri"/>
          <w:color w:val="333333"/>
          <w:sz w:val="20"/>
          <w:szCs w:val="20"/>
        </w:rPr>
        <w:t>, </w:t>
      </w:r>
      <w:hyperlink r:id="rId70" w:tgtFrame="_blank" w:history="1">
        <w:r>
          <w:rPr>
            <w:rStyle w:val="Hyperlink"/>
            <w:rFonts w:ascii="Calibri" w:eastAsia="Times New Roman" w:hAnsi="Calibri" w:cs="Calibri"/>
            <w:color w:val="2689C6"/>
            <w:sz w:val="20"/>
            <w:szCs w:val="20"/>
          </w:rPr>
          <w:t>http://www.s-corp.org/our-history</w:t>
        </w:r>
      </w:hyperlink>
      <w:r>
        <w:rPr>
          <w:rFonts w:ascii="Calibri" w:eastAsia="Times New Roman" w:hAnsi="Calibri" w:cs="Calibri"/>
          <w:color w:val="333333"/>
          <w:sz w:val="20"/>
          <w:szCs w:val="20"/>
        </w:rPr>
        <w:t>.</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Christine M. Przybysz, “Shielded Beyond State Limits: Examining Conflict-Of-Law Issues In Limited Liability Partnerships,” </w:t>
      </w:r>
      <w:r>
        <w:rPr>
          <w:rFonts w:ascii="Calibri" w:eastAsia="Times New Roman" w:hAnsi="Calibri" w:cs="Calibri"/>
          <w:i/>
          <w:iCs/>
          <w:color w:val="333333"/>
          <w:sz w:val="20"/>
          <w:szCs w:val="20"/>
        </w:rPr>
        <w:t>Case Western Reserve Law Review</w:t>
      </w:r>
      <w:r>
        <w:rPr>
          <w:rFonts w:ascii="Calibri" w:eastAsia="Times New Roman" w:hAnsi="Calibri" w:cs="Calibri"/>
          <w:color w:val="333333"/>
          <w:sz w:val="20"/>
          <w:szCs w:val="20"/>
        </w:rPr>
        <w:t> 54, no. 2 (2003): 605.</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Revised Code of Washington (RCW), Section 25.05.130.</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Limited Partnership Act (2001),” NCCUSL Archives,</w:t>
      </w:r>
      <w:hyperlink r:id="rId71" w:tgtFrame="_blank" w:history="1">
        <w:r>
          <w:rPr>
            <w:rStyle w:val="Hyperlink"/>
            <w:rFonts w:ascii="Calibri" w:eastAsia="Times New Roman" w:hAnsi="Calibri" w:cs="Calibri"/>
            <w:color w:val="2689C6"/>
            <w:sz w:val="20"/>
            <w:szCs w:val="20"/>
          </w:rPr>
          <w:t>http://www.law.upenn.edu/bll/archives/ulc/ulpa/final2001.htm</w:t>
        </w:r>
      </w:hyperlink>
      <w:r>
        <w:rPr>
          <w:rFonts w:ascii="Calibri" w:eastAsia="Times New Roman" w:hAnsi="Calibri" w:cs="Calibri"/>
          <w:color w:val="333333"/>
          <w:sz w:val="20"/>
          <w:szCs w:val="20"/>
        </w:rPr>
        <w:t>; ULPA Section, 102(9).</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ULPA Section, 404(c).</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See, for example, David A. Moss, “Risk, Responsibility, and the Role of Government,” </w:t>
      </w:r>
      <w:r>
        <w:rPr>
          <w:rFonts w:ascii="Calibri" w:eastAsia="Times New Roman" w:hAnsi="Calibri" w:cs="Calibri"/>
          <w:i/>
          <w:iCs/>
          <w:color w:val="333333"/>
          <w:sz w:val="20"/>
          <w:szCs w:val="20"/>
        </w:rPr>
        <w:t>Drake Law Review</w:t>
      </w:r>
      <w:r>
        <w:rPr>
          <w:rFonts w:ascii="Calibri" w:eastAsia="Times New Roman" w:hAnsi="Calibri" w:cs="Calibri"/>
          <w:color w:val="333333"/>
          <w:sz w:val="20"/>
          <w:szCs w:val="20"/>
        </w:rPr>
        <w:t> 56, no. 2 (2008): 541.</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24.4</w:t>
      </w:r>
      <w:r>
        <w:rPr>
          <w:rFonts w:ascii="Calibri" w:eastAsia="Times New Roman" w:hAnsi="Calibri" w:cs="Calibri"/>
          <w:b/>
          <w:bCs/>
          <w:color w:val="333333"/>
          <w:sz w:val="36"/>
          <w:szCs w:val="36"/>
        </w:rPr>
        <w:t> Cases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Limited Partnerships: Limited Partners’ Liability for Managing Limited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Frigidaire Sales Corp. v. Union Properties, Inc.</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562 P.2d 244 (Wash. 1977)</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[Frigidaire] entered into a contract with Commercial Investors (Commercial), a limited partnership. Defendants, Leonard Mannon and Raleigh Baxter, were limited partners of Commercial. Defendants were also officers, directors, and shareholders of Union Properties, Inc., the only general partner of Commercial. Defendants controlled Union Properties, and through their control of Union Properties they exercised the day-to-day control and management of Commercial. Commercial breached the contract, and Plaintiff brought suit against Union Properties and Defendants. The trial court concluded that Defendants did not incur general liability for Commercial’s obligations by reason of their control of Commercial, and the Court of Appeals affirmed.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does not contend that Defendants acted improperly by setting up the limited partnership with a corporation as the sole general partner. Limited partnerships are a statutory form of business organization, and parties creating a limited partnership must follow the statutory requirements. In Washington, parties may form a limited partnership with a corporation as the sole general partner.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sole contention is that Defendants should incur general liability for the limited partnership’s obligations under RCW 25.08.070, because they exercised the day-to-day control and management of Commercial. Defendants, on the other hand, argue that Commercial was controlled by Union Properties, a separate legal entity, and not by Defendants in their individual capacities. [RCW 25.08.070 then read: “A limited partner shall not become liable as a general partner unless, in addition to the exercise of his rights and powers as limited partner, he takes part in the control of the business.”]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pattern of operation of Union Properties was to investigate and conceive of real estate investment opportunities and, when it found such opportunities, to cause the creation of limited partnerships with Union Properties acting as the general partner. Commercial was only one of several limited partnerships so conceived and created. Defendants did not form Union Properties for the sole purpose of operating Commercial. Hence, their acts on behalf of Union Properties were not performed merely for the benefit of Commercial.…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[P]etitioner was never led to believe that Defendants were acting in any capacity other than in their corporate capacities. The parties stipulated at the trial that Defendants never acted in any direct, personal capacity. When the shareholders of a corporation, who are also the corporation’s officers and directors, conscientiously keep the affairs of the corporation separate from their personal affairs, and no fraud or manifest injustice is perpetrated upon third persons who deal with the corporation, the corporation’s separate entity should be respected. [Citations]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us to find that Defendants incurred general liability for the limited partnership’s obligations under RCW 25.08.070 would require us to apply a literal interpretation of the statute and totally ignore the corporate entity of Union Properties, when Plaintiff knew it was dealing with that corporate entity. There can be no doubt that Defendants, in fact, controlled the corporation. However, they did so only in their capacities as agents for their principal, the corporate general partner. Although the corporation was a separate entity, it could act only through its board of directors, officers, and agents. [Citations] Plaintiff entered into the contract with Commercial. Defendants signed the contract in their capacities as president and secretary-treasurer of Union Properties, the general partner of Commercial. In the eyes of the law it was Union Properties, as a separate corporate entity, which entered into the contract with Plaintiff and controlled the limited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Further, because Defendants scrupulously separated their actions on behalf of the corporation from their personal actions, Plaintiff never mistakenly assumed that Defendants were general partners with general liability. [Citations] Plaintiff knew Union Properties was the sole general partner and did not rely on Defendants’ control by assuming that they were also general partners. If Plaintiff had not wished to rely on the solvency of Union Properties as the only general partner, it could have insisted that Defendants personally guarantee contractual performance. Because Plaintiff entered into the contract knowing that Union Properties was the only party with general liability, and because in the eyes of the law it was Union Properties, a separate entity, which controlled the limited partnership, there is no reason for us to find that Defendants incurred general liability for their acts done as officers of the corporate general partner.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decision of the Court of Appeals is affirmed.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9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Frigidaire entered into a contract with Commercial Investors, a limited partnership. The general partner in the limited partnership was Union Properties, Inc., a corporation. Who were the limited partners in the limited partnership? Who were the controlling principals of the corporate general partner?</w:t>
      </w:r>
    </w:p>
    <w:p w:rsidR="00A86150" w:rsidRDefault="00F714D4">
      <w:pPr>
        <w:numPr>
          <w:ilvl w:val="0"/>
          <w:numId w:val="59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common for the general partner in a limited partnership to be a corporation?</w:t>
      </w:r>
    </w:p>
    <w:p w:rsidR="00A86150" w:rsidRDefault="00F714D4">
      <w:pPr>
        <w:numPr>
          <w:ilvl w:val="0"/>
          <w:numId w:val="59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does the court reiterate that the plaintiff knew it was dealing with a limited partnership that had a corporate general partner?</w:t>
      </w:r>
    </w:p>
    <w:p w:rsidR="00A86150" w:rsidRDefault="00F714D4">
      <w:pPr>
        <w:numPr>
          <w:ilvl w:val="0"/>
          <w:numId w:val="59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could the plaintiff have done in this case to protect itself?</w:t>
      </w:r>
    </w:p>
    <w:p w:rsidR="00A86150" w:rsidRDefault="00F714D4">
      <w:pPr>
        <w:numPr>
          <w:ilvl w:val="0"/>
          <w:numId w:val="59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court ruled in favor of the defendants, but is this setup kind of a scam? What is the “moral hazard” problem lurking in this case?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Liability Issues in LLCs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Puleo v. Topel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856 N.E.2d 1152 (Ill. App. 2006)</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Philip Puleo [and others]…appeal the order of the circuit court dismissing their claims against defendant Michael Topel.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record shows that effective May 30, 2002, Thinktank, a limited liability company (LLC) primarily involved in web design and web marketing, was involuntarily dissolved by the Illinois Secretary of State…due to Thinktank’s failure to file its 2001 annual report as required by the Illinois Limited Liability Company Act (the Act)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December 2002], plaintiffs, independent contractors hired by Topel, filed a complaint against Topel and Thinktank in which they alleged breach of contract, unjust enrichment, and claims under the account stated theory. Those claims stemmed from plaintiffs’ contention that Topel, who plaintiffs alleged was the sole manager and owner of Thinktank, knew or should have known of Thinktank’s involuntary dissolution, but nonetheless continued to conduct business as Thinktank from May 30, 2002, through the end of August 2002. They further contended that on or about August 30, 2002, Topel informed Thinktank employees and independent contractors, including plaintiffs, that the company was ceasing operations and that their services were no longer needed. Thinktank then failed to pay plaintiffs for work they had performed.…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 2003, the circuit granted plaintiffs’ motion for judgment on the pleadings against Thinktank. Thereafter, on October 16, 2003, plaintiffs filed a separate motion for summary judgment against Topel [personally]. Relying on [Citation], plaintiffs contended that Topel, as a principal of Thinktank, an LLC, had a legal status similar to a shareholder or director of a corporation, who courts have found liable for a dissolved corporation’s debts. Thus, plaintiffs argued that Topel was personally liable for Thinktank’s debts.…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circuit court denied plaintiffs’ motion for summary judgment against Topel.…In doing so, the circuit court acknowledged that Topel continued to do business as Thinktank after its dissolution and that the contractual obligations at issue were incurred after the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However…the court entered a final order dismissing all of plaintiffs’ claims against Topel with prejudice.…The court stated in pertinent part: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Based upon the Court’s…finding that the Illinois Legislature did not intend to hold a member of a Limited Liability Company liable for debts incurred after the Limited Liability Company had been involuntarily dissolved, the Court finds that all of Plaintiffs’ claims against Defendant Topel within the Complaint fail as a matter of law, as they are premised upon Defendant Topel’s alleged personal liability for obligations incurred in the name of Thinktank LLC after it had been involuntarily dissolved by the Illinois Secretary of State.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now appeal that order…[contending] that…the circuit court erred in dismissing their claims against Topel. In making that argument, plaintiffs acknowledge that the issue as to whether a member or manager of an LLC may be held personally liable for obligations incurred by an involuntarily dissolved LLC appears to be one of first impression under the Act. That said, plaintiffs assert that it has long been the law in Illinois that an officer or director of a dissolved corporation has no authority to exercise corporate powers and thus is personally liable for any debts he incurs on behalf of the corporation after its dissolution. [Citations] Plaintiffs reason that Topel, as managing member of Thinktank, similarly should be held liable for debts the company incurred after its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first look to the provisions of the Act as they provided the trial court its basis for its ruling.…</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Except as otherwise provided in subsection (d) of this Section, the debts, obligations, and liabilities of a limited liability company, whether arising in contract, tort, or otherwise, are solely the debts, obligations, and liabilities of the company. A member or manager is not personally liable for a debt, obligation, or liability of the company solely by reason of being or acting as a member or manager.…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 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 All or specified members of a limited liability company are liable in their capacity as members for all or specified debts, obligations, or liabilities of the company if:</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a provision to that effect is contained in the articles of organization; and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a member so liable has consented in writing to the adoption of the provision or to be bound by the provision.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relevant section provides]: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A limited liability company is bound by a member or manager’s act after dissolution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is appropriate for winding up the company’s business; or</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would have bound the company before dissolution, if the other party to the transaction did not have notice of the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A member or manager who, with knowledge of the dissolution, subjects a limited liability company to liability by an act that is not appropriate for winding up the company’s business is liable to the company for any damage caused to the company arising from the liability.</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statute] clearly indicates that a member or manager of an LLC is not personally liable for debts the company incurs unless each of the provisions in subsection (d) is met. In this case, plaintiffs cannot establish either of the provisions in subsection (d). They have not provided this court with Thinktank’s articles of organization, much less a provision establishing Topel’s personal liability, nor have they provided this court with Topel’s written adoption of such a provision. As such, under the express language of the Act, plaintiffs cannot establish Topel’s personal liability for debts that Thinktank incurred after its dissolution.…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1998…the legislature amended [the LLC statute]…and in doing so removed…language which explicitly provided that a member or manager of an LLC could be held personally liable for his or her own actions or for the actions of the LLC to the same extent as a shareholder or director of a corporation could be held personally liable [which would include post-dissolution acts undertaken without authority]. As we have not found any legislative commentary regarding that amendment, we presume that by removing the noted statutory language, the legislature meant to shield a member or manager of an LLC from personal liability. [Citation] “When a statute is amended, it is presumed that the legislature intended to change the law as it formerly existed.”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Nonetheless, plaintiffs ask this court to disregard the 1998 amendment and to imply a provision into the Act similar to…the Business Corporation Act. We cannot do so.…When the legislature amended section [the relevant section] it clearly removed the provision that allowed a member or manager of an LLC to be held personally liable in the same manner as provided in section 3.20 of the Business Corporation Act. Thus, the Act does not provide for a member or manager’s personal liability to a third party for an LLC’s debts and liabilities, and no rule of construction authorizes this court to declare that the legislature did not mean what the plain language of the statute imports.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therefore, find that the circuit court did not err in concluding that the Act did not permit it to find Topel personally liable to plaintiffs for Thinktank’s debts and liabilities. We agree with plaintiff that the circuit court’s ruling does not provide an equitable result. However, the circuit court, like this court, was bound by the statutory language.</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Accordingly, we affirm the judgment of the circuit court of Cook County.</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9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it possible the defendant did not know his LLC had been involuntarily dissolved because it failed to file its required annual report? Should he have known it was dissolved?</w:t>
      </w:r>
    </w:p>
    <w:p w:rsidR="00A86150" w:rsidRDefault="00F714D4">
      <w:pPr>
        <w:numPr>
          <w:ilvl w:val="0"/>
          <w:numId w:val="59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Topel’s business had been a corporation, he would not have had insulation from liability for postdissolution contracts—he would have been liable. Is the result here equitable? Is it fraud?</w:t>
      </w:r>
    </w:p>
    <w:p w:rsidR="00A86150" w:rsidRDefault="00F714D4">
      <w:pPr>
        <w:numPr>
          <w:ilvl w:val="0"/>
          <w:numId w:val="594"/>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Seven months after the LLC’s existence was terminated by the state, the defendant hired a number of employees, did not pay them, and then avoided liability under the LLC shield. How else could the court have ruled here? It is possible that the legislature’s intent was simply to eliminate compulsory piercing (see </w:t>
      </w:r>
      <w:r>
        <w:rPr>
          <w:rFonts w:ascii="Calibri" w:eastAsia="Times New Roman" w:hAnsi="Calibri" w:cs="Calibri"/>
          <w:color w:val="2689C6"/>
          <w:sz w:val="20"/>
          <w:szCs w:val="20"/>
        </w:rPr>
        <w:t>Chapter 25 "Corporation: General Characteristics and Formation"</w:t>
      </w:r>
      <w:r>
        <w:rPr>
          <w:rFonts w:ascii="Calibri" w:eastAsia="Times New Roman" w:hAnsi="Calibri" w:cs="Calibri"/>
          <w:color w:val="333333"/>
          <w:sz w:val="20"/>
          <w:szCs w:val="20"/>
        </w:rPr>
        <w:t> under corporate law principles and leave the question of LLC piercing to the courts. If so was the court’s decision was correct? The current LLC act language is similar to the Model Business Corporation Act, which surely permits piercing (see </w:t>
      </w:r>
      <w:r>
        <w:rPr>
          <w:rFonts w:ascii="Calibri" w:eastAsia="Times New Roman" w:hAnsi="Calibri" w:cs="Calibri"/>
          <w:color w:val="2689C6"/>
          <w:sz w:val="20"/>
          <w:szCs w:val="20"/>
        </w:rPr>
        <w:t>Chapter 25 "Corporation: General Characteristics and Formation"</w:t>
      </w:r>
      <w:r>
        <w:rPr>
          <w:rFonts w:ascii="Calibri" w:eastAsia="Times New Roman" w:hAnsi="Calibri" w:cs="Calibri"/>
          <w:color w:val="333333"/>
          <w:sz w:val="20"/>
          <w:szCs w:val="20"/>
        </w:rPr>
        <w:t>).</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Defective Registration as a Limited Liability Partnership</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Campbell v. Lichtenfels</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2007 WL 447919 (Conn. Super. 2007)</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case concerns the aftermath of the dissolution of the parties’ law practice. Following a hearing on January 2 and 3, 2007, this court issued a memorandum of decision on January 5, 2007 granting the plaintiff a prejudgment remedy in the amount of $15,782.01. The plaintiff has now moved for reargument, contending that the court improperly considered as a setoff one-half of a malpractice settlement paid personally by the defendant, which sum the court found to be a debt of a partnership. [The defendant was sued for malpractice by a third party; he paid the entire claim personally and when the law firm dissolved, the plaintiff’s share from the liquidated assets was reduced by one-half to account for the amount the defendant had paid.]</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support of his motion to reargue, the plaintiff relies on General Statutes Sec. 34-427(c) and, in that motion, italicizes those portions which he believes apply to his request for reargument. That section states (with emphasis as supplied in the plaintiff’s motion) that: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partner in a registered limited liability partnership is not liable directly or indirectly, </w:t>
      </w:r>
      <w:r>
        <w:rPr>
          <w:rFonts w:ascii="Georgia" w:eastAsia="Times New Roman" w:hAnsi="Georgia" w:cs="Calibri"/>
          <w:i/>
          <w:iCs/>
          <w:color w:val="333333"/>
          <w:sz w:val="20"/>
          <w:szCs w:val="20"/>
        </w:rPr>
        <w:t>including by way of indemnification, contribution or otherwise</w:t>
      </w:r>
      <w:r>
        <w:rPr>
          <w:rFonts w:ascii="Georgia" w:eastAsia="Times New Roman" w:hAnsi="Georgia" w:cs="Calibri"/>
          <w:color w:val="333333"/>
          <w:sz w:val="20"/>
          <w:szCs w:val="20"/>
        </w:rPr>
        <w:t>, for any debts, obligations and liabilities of or chargeable </w:t>
      </w:r>
      <w:r>
        <w:rPr>
          <w:rFonts w:ascii="Georgia" w:eastAsia="Times New Roman" w:hAnsi="Georgia" w:cs="Calibri"/>
          <w:i/>
          <w:iCs/>
          <w:color w:val="333333"/>
          <w:sz w:val="20"/>
          <w:szCs w:val="20"/>
        </w:rPr>
        <w:t>to the partnership or another partner</w:t>
      </w:r>
      <w:r>
        <w:rPr>
          <w:rFonts w:ascii="Georgia" w:eastAsia="Times New Roman" w:hAnsi="Georgia" w:cs="Calibri"/>
          <w:color w:val="333333"/>
          <w:sz w:val="20"/>
          <w:szCs w:val="20"/>
        </w:rPr>
        <w:t> or partners, </w:t>
      </w:r>
      <w:r>
        <w:rPr>
          <w:rFonts w:ascii="Georgia" w:eastAsia="Times New Roman" w:hAnsi="Georgia" w:cs="Calibri"/>
          <w:i/>
          <w:iCs/>
          <w:color w:val="333333"/>
          <w:sz w:val="20"/>
          <w:szCs w:val="20"/>
        </w:rPr>
        <w:t>whether arising in</w:t>
      </w:r>
      <w:r>
        <w:rPr>
          <w:rFonts w:ascii="Georgia" w:eastAsia="Times New Roman" w:hAnsi="Georgia" w:cs="Calibri"/>
          <w:color w:val="333333"/>
          <w:sz w:val="20"/>
          <w:szCs w:val="20"/>
        </w:rPr>
        <w:t> contract, </w:t>
      </w:r>
      <w:r>
        <w:rPr>
          <w:rFonts w:ascii="Georgia" w:eastAsia="Times New Roman" w:hAnsi="Georgia" w:cs="Calibri"/>
          <w:i/>
          <w:iCs/>
          <w:color w:val="333333"/>
          <w:sz w:val="20"/>
          <w:szCs w:val="20"/>
        </w:rPr>
        <w:t>tort</w:t>
      </w:r>
      <w:r>
        <w:rPr>
          <w:rFonts w:ascii="Georgia" w:eastAsia="Times New Roman" w:hAnsi="Georgia" w:cs="Calibri"/>
          <w:color w:val="333333"/>
          <w:sz w:val="20"/>
          <w:szCs w:val="20"/>
        </w:rPr>
        <w:t>, or otherwise, arising in the course of the partnership business while the partnership is a registered limited liability partnership. (emphasis in original)</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italicizing the phases that appear to suit his purposes, the plaintiff completely ignores the most important phrase: “a partner in a registered limited liability partnership.” At the hearing, neither party presented any evidence at the hearing that tended to prove that the nature of the business relationship between the parties was that of a “registered limited liability partnership.” To the contrary, the testimony presented at the hearing revealed that the parties had a general partnership in which they had orally agreed to share profits and losses equally and that they never signed a partnership agreement. There was certainly no testimony or tangible evidence to the effect that the partnership had filed “a certificate of limited liability partnership with the Secretary of the State, stating the name of the partnership, which shall conform to the requirements of [the statute]; the address of its principal office;…a brief statement of the business in which the partnership engages; any other matters the partnership may determine to include; and that the partnership therefore applies for status as a registered limited liability partnership.” [Citation]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true that certain of the exhibits, such as copies of checks and letters written on the law firm letterhead, refer to the firm as “Campbell and Lichtenfels, LLP.” These exhibits, however, were not offered for the purpose of establishing the partnership’s character, and merely putting the initials “LLP” on checks and letterhead is not, in and of itself, proof of having met the statutory requirements for registration as a limited liability partnership. The key to establishing entitlement to the protections offered by [the limited liability partnership statute] is proof that the partnership has filed “a certificate of limited liability partnership with the Secretary of the State,” and the plaintiff presented no such evidence to the court.</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evidence presented at the hearing does not support a claim that the nature of the relationship between the parties to this case was that of partners in a registered limited liability partnership, the provisions of [the limited liability partnership statute] do not apply. Rather, this partnership is governed by the provisions of [the Uniform Partnership Act] which states: “Except as otherwise provided…all partners are liable jointly and severally for all obligations of the partnership unless otherwise agreed by the claimant or provided by law.” Because there has been no evidence that this partnership falls within [any exceptions] the court finds Campbell and Lichtenfels to have been a general partnership in which the plaintiff shares the liability for the malpractice claim, even if he was not the partner responsible for the alleged negligence that led to that claim.</w:t>
      </w:r>
    </w:p>
    <w:p w:rsidR="00A86150" w:rsidRDefault="00F714D4">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correctly points out that reargument is appropriate when the court has “overlooked” a “…principle of law which would have a controlling effect…” on the outcome of the case at hand. [Citation] The principle of law now raised by the plaintiff was “overlooked” by the court at the time of the hearing for two good reasons. First, it was not brought to the court’s attention at the time of the hearing. Second, and more importantly, the plaintiff presented no evidence that would have supported the claim that the principle of law in question, namely the provisions of [the limited liability partnership] was applicable to the facts of this case. Because the provisions of [that statute] are inapplicable, they are quite obviously not “controlling.” The principle of law which does control this issue is found in [general partnership law] and that principle makes the plaintiff liable for his share of the malpractice settlement, as the court has previously found. The motion for reargument is therefore denied.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A86150" w:rsidRDefault="00F714D4">
      <w:pPr>
        <w:numPr>
          <w:ilvl w:val="0"/>
          <w:numId w:val="59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parties had been operating as a limited liability partnership, how would that have changed the result?</w:t>
      </w:r>
    </w:p>
    <w:p w:rsidR="00A86150" w:rsidRDefault="00F714D4">
      <w:pPr>
        <w:numPr>
          <w:ilvl w:val="0"/>
          <w:numId w:val="59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find that there was no limited liability partnership?</w:t>
      </w:r>
    </w:p>
    <w:p w:rsidR="00A86150" w:rsidRDefault="00F714D4">
      <w:pPr>
        <w:numPr>
          <w:ilvl w:val="0"/>
          <w:numId w:val="59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does general partnership law treat a debt by one partner incurred in the course of partnership business?</w:t>
      </w:r>
    </w:p>
    <w:p w:rsidR="00A86150" w:rsidRDefault="00F714D4">
      <w:pPr>
        <w:numPr>
          <w:ilvl w:val="0"/>
          <w:numId w:val="595"/>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Here, as in the case in </w:t>
      </w:r>
      <w:r>
        <w:rPr>
          <w:rFonts w:ascii="Calibri" w:eastAsia="Times New Roman" w:hAnsi="Calibri" w:cs="Calibri"/>
          <w:color w:val="2689C6"/>
          <w:sz w:val="20"/>
          <w:szCs w:val="20"/>
        </w:rPr>
        <w:t>Section 24.4.2 "Liability Issues in LLCs"</w:t>
      </w:r>
      <w:r>
        <w:rPr>
          <w:rFonts w:ascii="Calibri" w:eastAsia="Times New Roman" w:hAnsi="Calibri" w:cs="Calibri"/>
          <w:color w:val="333333"/>
          <w:sz w:val="20"/>
          <w:szCs w:val="20"/>
        </w:rPr>
        <w:t>, there really is no inequitable result. Why is this true?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24.5 Summary and Exercises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F4F4F4"/>
        <w:spacing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 partnerships and corporations lie a variety of hybrid business forms: limited partnerships, sub-S corporations, limited liability companies, limited liability partnerships, and limited liability limited partnerships. These business forms were invented to achieve, as much as possible, the corporate benefits of limited liability, centralized control, and easy transfer of ownership interest with the tax treatment of a partnership.</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Limited partnerships were recognized in the early twentieth century and today are governed mostly by the Uniform Limited Partnership Act (ULPA-1985 or ULPA-2001). These entities, not subject to double taxation, are composed of one or more general partners and one or more limited partners. The general partner controls the firm and is liable like a partner in a general partnership (except under ULPA-2001 liability is limited); the limited partners are investors and have little say in the daily operations of the firm. If they get too involved, they lose their status as limited partners (except this is not so under ULPA-2001). The general partner, though, can be a corporation, which finesses the liability problem. A limited partnership comes into existence only when a certificate of limited partnership is filed with the state.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mid-twentieth century, Congress was importuned to allow small corporations the benefit of pass-through taxation. It created the sub-S corporation (referring to a section of the IRS code). It affords the benefits of taxation like a partnership and limited liability for its members, but there are several inconvenient limitations on how sub-S corporations can be set up and operate.</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1990s saw the limited liability company become the entity of choice for many businesspeople. It deftly combines limited liability for all owners—managers and nonmanagers—with pass-through taxation and has none of the restrictions perceived to hobble the sub-S corporate form. Careful crafting of the firm’s bylaws and operating certificate allow it to combine the best of all possible business forms. There remained, though, one fly in the ointment: most states did not allow professionals to form limited liability companies (LLCs).</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last barrier was hurtled with the development of the limited liability partnership. This form, though mostly governed by partnership law, eschews the vicarious liability of nonacting partners for another’s torts, malpractice, or partnership breaches of contract. The extent to which such exoneration from liability presents a moral hazard—allowing bad actors to escape their just liability—is a matter of concern.</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polished off liability for all owners with the LLC and the LLP, the next logical step occurred when eyes returned to the venerable limited partnership. The invention of the limited liability limited partnership in ULPA-2001 not only abolished the “control test” that made limited partners liable if they got too involved in the firm’s operations but also eliminated the general partner’s liability.</w:t>
      </w:r>
    </w:p>
    <w:p w:rsidR="00A86150" w:rsidRDefault="00F714D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24.1 Comparison of Business Organization Forms</w:t>
      </w:r>
    </w:p>
    <w:tbl>
      <w:tblPr>
        <w:tblW w:w="0" w:type="auto"/>
        <w:tblCellMar>
          <w:left w:w="0" w:type="dxa"/>
          <w:right w:w="0" w:type="dxa"/>
        </w:tblCellMar>
        <w:tblLook w:val="04A0" w:firstRow="1" w:lastRow="0" w:firstColumn="1" w:lastColumn="0" w:noHBand="0" w:noVBand="1"/>
      </w:tblPr>
      <w:tblGrid>
        <w:gridCol w:w="1169"/>
        <w:gridCol w:w="1479"/>
        <w:gridCol w:w="1422"/>
        <w:gridCol w:w="1380"/>
        <w:gridCol w:w="1585"/>
        <w:gridCol w:w="1180"/>
        <w:gridCol w:w="1295"/>
      </w:tblGrid>
      <w:tr w:rsidR="00A8615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Type of Business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Formation and Ownership Rules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Funding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Management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Liability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Taxes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Dissolution</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Limited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Formal filing of articles of partnership; unlimited number of general and limited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General and limited partners contribute capital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General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General partner personally liable; limited partners to extent of contribution</w:t>
            </w:r>
            <w:r>
              <w:rPr>
                <w:rFonts w:ascii="Calibri" w:eastAsia="Times New Roman" w:hAnsi="Calibri" w:cs="Calibri"/>
                <w:color w:val="2689C6"/>
                <w:sz w:val="21"/>
                <w:szCs w:val="21"/>
                <w:vertAlign w:val="superscrip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Death or termination of general partner, unless otherwise agreed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 corporation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Formal filing of articles of incorporation; up to 100 shareholders allowed but only one class of stock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Equity (sell stock) or debt funding (issue bonds); members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Board of directors, officers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Owners not personally liable absent piercing corporate veil (see </w:t>
            </w:r>
            <w:r>
              <w:rPr>
                <w:rFonts w:ascii="Times New Roman" w:eastAsia="Times New Roman" w:hAnsi="Times New Roman" w:cs="Times New Roman"/>
                <w:color w:val="2689C6"/>
                <w:sz w:val="21"/>
                <w:szCs w:val="21"/>
              </w:rPr>
              <w:t>Chapter 25 "Corporation: General Characteristics and Formation"</w:t>
            </w: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Only if limited duration or shareholders vote to dissolve</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Limited liability company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Formal filing of articles of organization; unlimited “members”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Member managed or manager managed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Upon death or bankruptcy, unless otherwise agreed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Limited liability partnership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Formal filing of articles of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 partners or delegated to managing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Varies, but liability is generally on partnership; nonacting partners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Upon death or bankruptcy, unless otherwise agreed</w:t>
            </w:r>
          </w:p>
        </w:tc>
      </w:tr>
      <w:tr w:rsidR="00A8615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Limited liability limited partnership (LLLP)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Formal filing of articles of LLP; choosing LLLP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Liability on general partner abolished: all members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A86150" w:rsidRDefault="00F714D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Same as above</w:t>
            </w:r>
          </w:p>
        </w:tc>
      </w:tr>
    </w:tbl>
    <w:p w:rsidR="00A86150" w:rsidRDefault="00A86150">
      <w:pPr>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5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Yolanda and Zachary decided to restructure their small bookstore as a limited partnership, called “Y to Z’s Books, LP.” Under their new arrangement, Yolanda contributed a new infusion of $300; she was named the general partner. Zachary contributed $300 also, and he was named the limited partner: Yolanda was to manage the store on Monday, Wednesday, and Friday, and Zachary to manage it on Tuesday, Thursday, and Saturday. Y to Z Books, LP failed to pay $800 owing to Vendor. Moreover, within a few weeks, Y to Z’s Books became insolvent. Who is liable for the damages to Vendor?</w:t>
      </w:r>
    </w:p>
    <w:p w:rsidR="00A86150" w:rsidRDefault="00F714D4">
      <w:pPr>
        <w:numPr>
          <w:ilvl w:val="0"/>
          <w:numId w:val="5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result would be obtained in Exercise 1 if Yolanda and Zachary had formed a limited liability company?</w:t>
      </w:r>
    </w:p>
    <w:p w:rsidR="00A86150" w:rsidRDefault="00F714D4">
      <w:pPr>
        <w:numPr>
          <w:ilvl w:val="0"/>
          <w:numId w:val="596"/>
        </w:numPr>
        <w:shd w:val="clear" w:color="auto" w:fill="E3EFF7"/>
        <w:tabs>
          <w:tab w:val="clear" w:pos="720"/>
          <w:tab w:val="num" w:pos="1440"/>
        </w:tabs>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Yolanda and Zachary had formed a limited liability partnership. What result would be obtained then?</w:t>
      </w:r>
    </w:p>
    <w:p w:rsidR="00A86150" w:rsidRDefault="00F714D4">
      <w:pPr>
        <w:numPr>
          <w:ilvl w:val="0"/>
          <w:numId w:val="5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Jacobsen and Kelly agreed to form an LLC. They filled out the appropriate paperwork and mailed it with their check to the secretary of state’s office. However, they made a mistake: instead of sending it to “Boston, MA”—Boston, Massachusetts—they sent it to “Boston, WA”—Boston, Washington. There is a town in Washington State called “Little Boston” that is part of an isolated Indian reservation. The paperwork got to Little Boston but then was much delayed. After two weeks, Jacobsen and Kelly figured the secretary of state in Boston, MA, was simply slow to respond. They began to use their checks, business cards, and invoices labeled “Jacobsen and Kelly, LLC.” They made a contract to construct a wind turbine for Pablo; Kelly did the work but used guy wires that were too small to support the turbine. During a modest wind a week after the turbine’s erection, it crashed into Pablo’s house. The total damages exceeded $35,000. Pablo discovered Jacobsen and Kelly’s LLC was defectively created and sought judgment against them personally. May Pablo proceed against them both personally?</w:t>
      </w:r>
    </w:p>
    <w:p w:rsidR="00A86150" w:rsidRDefault="00F714D4">
      <w:pPr>
        <w:numPr>
          <w:ilvl w:val="0"/>
          <w:numId w:val="5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Holden was the manager of and a member of Frost LLLP, an investment firm. In that capacity, he embezzled $30,000 from one of the firm’s clients, Backus. Backus sued the firm and Holden personally, but the latter claimed he was shielded from liability by the firm. Is Holden correct?</w:t>
      </w:r>
    </w:p>
    <w:p w:rsidR="00A86150" w:rsidRDefault="00F714D4">
      <w:pPr>
        <w:numPr>
          <w:ilvl w:val="0"/>
          <w:numId w:val="59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Bellamy, Carlisle, and Davidson formed a limited partnership. Bellamy and Carlisle were the general partners and Davidson the limited partner. They contributed capital in the amounts of $100,000, $100,000, and $200,000, respectively, but then could not agree on a profit-sharing formula. At the end of the first year, how should they divide their profits?</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A86150" w:rsidRDefault="00F714D4">
      <w:pPr>
        <w:numPr>
          <w:ilvl w:val="0"/>
          <w:numId w:val="597"/>
        </w:numPr>
        <w:shd w:val="clear" w:color="auto" w:fill="E3EFF7"/>
        <w:spacing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Peron and Quinn formed P and Q Limited Partnership. Peron made a capital contribution of $20,000 and became a general partner. Quinn made a capital contribution of $10,000 and became a limited partner. At the end of the first year of operation, a third party sued the partnership and both partners in a tort action. What is the potential liability of Peron and Quinn, respectively?</w:t>
      </w:r>
    </w:p>
    <w:p w:rsidR="00A86150" w:rsidRDefault="00F714D4">
      <w:pPr>
        <w:pStyle w:val="ListParagraph"/>
        <w:numPr>
          <w:ilvl w:val="0"/>
          <w:numId w:val="59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$20,000 and $10,000</w:t>
      </w:r>
    </w:p>
    <w:p w:rsidR="00A86150" w:rsidRDefault="00F714D4">
      <w:pPr>
        <w:pStyle w:val="ListParagraph"/>
        <w:numPr>
          <w:ilvl w:val="0"/>
          <w:numId w:val="59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$20,000 and $0</w:t>
      </w:r>
    </w:p>
    <w:p w:rsidR="00A86150" w:rsidRDefault="00F714D4">
      <w:pPr>
        <w:pStyle w:val="ListParagraph"/>
        <w:numPr>
          <w:ilvl w:val="0"/>
          <w:numId w:val="59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unlimited and $0</w:t>
      </w:r>
    </w:p>
    <w:p w:rsidR="00A86150" w:rsidRDefault="00F714D4">
      <w:pPr>
        <w:pStyle w:val="ListParagraph"/>
        <w:numPr>
          <w:ilvl w:val="0"/>
          <w:numId w:val="59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unlimited and $10,000</w:t>
      </w:r>
    </w:p>
    <w:p w:rsidR="00A86150" w:rsidRDefault="00F714D4">
      <w:pPr>
        <w:pStyle w:val="ListParagraph"/>
        <w:numPr>
          <w:ilvl w:val="0"/>
          <w:numId w:val="59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unlimited and unlimited</w:t>
      </w:r>
    </w:p>
    <w:p w:rsidR="00A86150" w:rsidRDefault="00F714D4">
      <w:pPr>
        <w:numPr>
          <w:ilvl w:val="0"/>
          <w:numId w:val="599"/>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limited partnership</w:t>
      </w:r>
    </w:p>
    <w:p w:rsidR="00A86150" w:rsidRDefault="00F714D4">
      <w:pPr>
        <w:pStyle w:val="ListParagraph"/>
        <w:numPr>
          <w:ilvl w:val="0"/>
          <w:numId w:val="60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comes into existence when a certificate of partnership is filed</w:t>
      </w:r>
    </w:p>
    <w:p w:rsidR="00A86150" w:rsidRDefault="00F714D4">
      <w:pPr>
        <w:pStyle w:val="ListParagraph"/>
        <w:numPr>
          <w:ilvl w:val="0"/>
          <w:numId w:val="60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always provides limited liability to an investor</w:t>
      </w:r>
    </w:p>
    <w:p w:rsidR="00A86150" w:rsidRDefault="00F714D4">
      <w:pPr>
        <w:pStyle w:val="ListParagraph"/>
        <w:numPr>
          <w:ilvl w:val="0"/>
          <w:numId w:val="60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gives limited partners a say in the daily operation of the firm</w:t>
      </w:r>
    </w:p>
    <w:p w:rsidR="00A86150" w:rsidRDefault="00F714D4">
      <w:pPr>
        <w:pStyle w:val="ListParagraph"/>
        <w:numPr>
          <w:ilvl w:val="0"/>
          <w:numId w:val="60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not likely to be the business form of choice if a limited liability limited partnership option is available</w:t>
      </w:r>
    </w:p>
    <w:p w:rsidR="00A86150" w:rsidRDefault="00F714D4">
      <w:pPr>
        <w:pStyle w:val="ListParagraph"/>
        <w:numPr>
          <w:ilvl w:val="0"/>
          <w:numId w:val="60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two of these (specify)</w:t>
      </w:r>
    </w:p>
    <w:p w:rsidR="00A86150" w:rsidRDefault="00F714D4">
      <w:pPr>
        <w:numPr>
          <w:ilvl w:val="0"/>
          <w:numId w:val="601"/>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Puentes is a limited partner of ABC, LP. He paid $30,000 for his interest and he also loaned the firm $20,000. The firm failed. Upon dissolution and liquidation,</w:t>
      </w:r>
    </w:p>
    <w:p w:rsidR="00A86150" w:rsidRDefault="00F714D4">
      <w:pPr>
        <w:pStyle w:val="ListParagraph"/>
        <w:numPr>
          <w:ilvl w:val="0"/>
          <w:numId w:val="602"/>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Puentes will get his loan repaid pro rata along with other creditors.</w:t>
      </w:r>
    </w:p>
    <w:p w:rsidR="00A86150" w:rsidRDefault="00F714D4">
      <w:pPr>
        <w:pStyle w:val="ListParagraph"/>
        <w:numPr>
          <w:ilvl w:val="0"/>
          <w:numId w:val="602"/>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Puentes will get repaid, along with other limited partners, in respect to his capital and loan after all other creditors have been paid.</w:t>
      </w:r>
    </w:p>
    <w:p w:rsidR="00A86150" w:rsidRDefault="00F714D4">
      <w:pPr>
        <w:pStyle w:val="ListParagraph"/>
        <w:numPr>
          <w:ilvl w:val="0"/>
          <w:numId w:val="602"/>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any assets remain, the last to be distributed will be the general partners’ profits.</w:t>
      </w:r>
    </w:p>
    <w:p w:rsidR="00A86150" w:rsidRDefault="00F714D4">
      <w:pPr>
        <w:pStyle w:val="ListParagraph"/>
        <w:numPr>
          <w:ilvl w:val="0"/>
          <w:numId w:val="602"/>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Puentes holds partnership property as collateral, he can resort to it to satisfy his claim if partnership assets are insufficient to meet creditors’ claims.</w:t>
      </w:r>
    </w:p>
    <w:p w:rsidR="00A86150" w:rsidRDefault="00F714D4">
      <w:pPr>
        <w:numPr>
          <w:ilvl w:val="0"/>
          <w:numId w:val="603"/>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Reference to “moral hazard” in conjunction with hybrid business forms gets to what concern?</w:t>
      </w:r>
    </w:p>
    <w:p w:rsidR="00A86150" w:rsidRDefault="00F714D4">
      <w:pPr>
        <w:pStyle w:val="ListParagraph"/>
        <w:numPr>
          <w:ilvl w:val="0"/>
          <w:numId w:val="60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general partners in a limited partnership will run the firm for their benefit, not the limited partners’ benefit</w:t>
      </w:r>
    </w:p>
    <w:p w:rsidR="00A86150" w:rsidRDefault="00F714D4">
      <w:pPr>
        <w:pStyle w:val="ListParagraph"/>
        <w:numPr>
          <w:ilvl w:val="0"/>
          <w:numId w:val="60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the members of a limited liability company or limited liability partnership will engage in activities that expose themselves to potential liability</w:t>
      </w:r>
    </w:p>
    <w:p w:rsidR="00A86150" w:rsidRDefault="00F714D4">
      <w:pPr>
        <w:pStyle w:val="ListParagraph"/>
        <w:numPr>
          <w:ilvl w:val="0"/>
          <w:numId w:val="60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the trend toward limited liability gives bad actors little incentive to behave ethically because the losses caused by their behavior are mostly not borne by them</w:t>
      </w:r>
    </w:p>
    <w:p w:rsidR="00A86150" w:rsidRDefault="00F714D4">
      <w:pPr>
        <w:pStyle w:val="ListParagraph"/>
        <w:numPr>
          <w:ilvl w:val="0"/>
          <w:numId w:val="60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too few modern professional partnerships will see any need for malpractice insurance</w:t>
      </w:r>
    </w:p>
    <w:p w:rsidR="00A86150" w:rsidRDefault="00F714D4">
      <w:pPr>
        <w:numPr>
          <w:ilvl w:val="0"/>
          <w:numId w:val="605"/>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One of the advantages to the LLC form over the sub-S form is</w:t>
      </w:r>
    </w:p>
    <w:p w:rsidR="00A86150" w:rsidRDefault="00F714D4">
      <w:pPr>
        <w:pStyle w:val="ListParagraph"/>
        <w:numPr>
          <w:ilvl w:val="0"/>
          <w:numId w:val="606"/>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sub-S form, corporate profits are effectively taxed twice.</w:t>
      </w:r>
    </w:p>
    <w:p w:rsidR="00A86150" w:rsidRDefault="00F714D4">
      <w:pPr>
        <w:pStyle w:val="ListParagraph"/>
        <w:numPr>
          <w:ilvl w:val="0"/>
          <w:numId w:val="606"/>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sub-S form does not provide “full-shield” insulation of liability for its members.</w:t>
      </w:r>
    </w:p>
    <w:p w:rsidR="00A86150" w:rsidRDefault="00F714D4">
      <w:pPr>
        <w:pStyle w:val="ListParagraph"/>
        <w:numPr>
          <w:ilvl w:val="0"/>
          <w:numId w:val="606"/>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LLC cannot have a “manager-manager” form of control, whereas that is common for sub-S corporations.</w:t>
      </w:r>
    </w:p>
    <w:p w:rsidR="00A86150" w:rsidRDefault="00F714D4">
      <w:pPr>
        <w:pStyle w:val="ListParagraph"/>
        <w:numPr>
          <w:ilvl w:val="0"/>
          <w:numId w:val="606"/>
        </w:numPr>
        <w:shd w:val="clear" w:color="auto" w:fill="E3EFF7"/>
        <w:spacing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LLC form requires fewer formalities in its operation (minutes, annual meetings, etc.).</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A86150" w:rsidRDefault="00F714D4">
      <w:pPr>
        <w:numPr>
          <w:ilvl w:val="0"/>
          <w:numId w:val="60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F714D4">
      <w:pPr>
        <w:numPr>
          <w:ilvl w:val="0"/>
          <w:numId w:val="60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 (that is, a and d)</w:t>
      </w:r>
    </w:p>
    <w:p w:rsidR="00A86150" w:rsidRDefault="00F714D4">
      <w:pPr>
        <w:numPr>
          <w:ilvl w:val="0"/>
          <w:numId w:val="60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 (Choice a is wrong because as a secured creditor Puentes can realize on the collateral without regard to other creditors’ payment.)</w:t>
      </w:r>
    </w:p>
    <w:p w:rsidR="00A86150" w:rsidRDefault="00F714D4">
      <w:pPr>
        <w:numPr>
          <w:ilvl w:val="0"/>
          <w:numId w:val="60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A86150" w:rsidRDefault="00F714D4">
      <w:pPr>
        <w:numPr>
          <w:ilvl w:val="0"/>
          <w:numId w:val="60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A86150" w:rsidRDefault="0081777E">
      <w:pPr>
        <w:shd w:val="clear" w:color="auto" w:fill="FFFFFF"/>
        <w:spacing w:after="0" w:line="270" w:lineRule="atLeast"/>
        <w:jc w:val="center"/>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127" style="width:468pt;height:1.5pt" o:hralign="center" o:hrstd="t" o:hr="t" fillcolor="#a0a0a0"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Under ULPA-2001, the general partner has limited liability.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25</w:t>
      </w:r>
    </w:p>
    <w:p w:rsidR="00A86150" w:rsidRDefault="0081777E">
      <w:pPr>
        <w:shd w:val="clear" w:color="auto" w:fill="FFFFFF"/>
        <w:spacing w:after="0" w:line="240" w:lineRule="atLeast"/>
        <w:jc w:val="center"/>
        <w:textAlignment w:val="baseline"/>
        <w:outlineLvl w:val="0"/>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128" style="width:468pt;height:1.5pt" o:hralign="center" o:hrstd="t" o:hr="t" fillcolor="#a0a0a0" stroked="f"/>
        </w:pict>
      </w:r>
    </w:p>
    <w:p w:rsidR="00A86150" w:rsidRDefault="00F714D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Corporation: General Characteristics and Formation</w:t>
      </w:r>
    </w:p>
    <w:p w:rsidR="00A86150" w:rsidRDefault="00A86150">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A86150" w:rsidRDefault="00F714D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A86150" w:rsidRDefault="00F714D4">
      <w:pPr>
        <w:shd w:val="clear" w:color="auto" w:fill="EAE9DC"/>
        <w:spacing w:after="0" w:line="439" w:lineRule="atLeast"/>
        <w:ind w:left="72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A86150" w:rsidRDefault="00F714D4">
      <w:pPr>
        <w:numPr>
          <w:ilvl w:val="0"/>
          <w:numId w:val="608"/>
        </w:numPr>
        <w:shd w:val="clear" w:color="auto" w:fill="EAE9DC"/>
        <w:tabs>
          <w:tab w:val="clear" w:pos="720"/>
          <w:tab w:val="num" w:pos="216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historical background of the corporation</w:t>
      </w:r>
    </w:p>
    <w:p w:rsidR="00A86150" w:rsidRDefault="00F714D4">
      <w:pPr>
        <w:numPr>
          <w:ilvl w:val="0"/>
          <w:numId w:val="608"/>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partnerships compare with corporations</w:t>
      </w:r>
    </w:p>
    <w:p w:rsidR="00A86150" w:rsidRDefault="00F714D4">
      <w:pPr>
        <w:numPr>
          <w:ilvl w:val="0"/>
          <w:numId w:val="608"/>
        </w:numPr>
        <w:shd w:val="clear" w:color="auto" w:fill="EAE9DC"/>
        <w:tabs>
          <w:tab w:val="clear" w:pos="720"/>
          <w:tab w:val="num" w:pos="1440"/>
        </w:tabs>
        <w:spacing w:after="0"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corporation is as a legal entity, and how corporate owners can lose limited liability by certain actions</w:t>
      </w:r>
    </w:p>
    <w:p w:rsidR="00A86150" w:rsidRDefault="00F714D4">
      <w:pPr>
        <w:numPr>
          <w:ilvl w:val="0"/>
          <w:numId w:val="608"/>
        </w:numPr>
        <w:shd w:val="clear" w:color="auto" w:fill="EAE9DC"/>
        <w:tabs>
          <w:tab w:val="clear" w:pos="720"/>
          <w:tab w:val="num" w:pos="1440"/>
        </w:tabs>
        <w:spacing w:line="439" w:lineRule="atLeast"/>
        <w:ind w:left="108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corporations are classified</w:t>
      </w:r>
    </w:p>
    <w:p w:rsidR="00A86150" w:rsidRDefault="00F714D4">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corporation is the dominant form of the business enterprise in the modern world. As a legal entity, it is bound by much of the law discussed in the preceding chapters. However, as a significant institutional actor in the business world, the corporation has a host of relationships that have called forth a separate body of law.</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25.1 Historical Background</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609"/>
        </w:numPr>
        <w:shd w:val="clear" w:color="auto" w:fill="EAE9DC"/>
        <w:tabs>
          <w:tab w:val="clear" w:pos="720"/>
          <w:tab w:val="num" w:pos="19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Comprehend the historical significance of corporate formation.</w:t>
      </w:r>
    </w:p>
    <w:p w:rsidR="00A86150" w:rsidRDefault="00F714D4">
      <w:pPr>
        <w:numPr>
          <w:ilvl w:val="0"/>
          <w:numId w:val="609"/>
        </w:numPr>
        <w:shd w:val="clear" w:color="auto" w:fill="EAE9DC"/>
        <w:tabs>
          <w:tab w:val="clear" w:pos="720"/>
          <w:tab w:val="num" w:pos="16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Learn about key court decisions and their effect on interstate commerce and corporate formation.</w:t>
      </w:r>
    </w:p>
    <w:p w:rsidR="00A86150" w:rsidRDefault="00F714D4">
      <w:pPr>
        <w:numPr>
          <w:ilvl w:val="0"/>
          <w:numId w:val="609"/>
        </w:numPr>
        <w:shd w:val="clear" w:color="auto" w:fill="EAE9DC"/>
        <w:tabs>
          <w:tab w:val="clear" w:pos="720"/>
          <w:tab w:val="num" w:pos="13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Become acquainted with how states formed their corporate laws.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Fixture of Every Major Legal System</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partnership, the corporation is an ancient concept, recognized in the Code of Hammurabi, and to some degree a fixture in every other major legal system since then. The first corporations were not business enterprises; instead, they were associations for religious and governmental ends in which perpetual existence was a practical requirement. Thus until relatively late in legal history, kings, popes, and jurists assumed that corporations could be created only by political or ecclesiastical authority and that corporations were creatures of the state or church. By the seventeenth century, with feudalism on the wane and business enterprise becoming a growing force, kings extracted higher taxes and intervened more directly in the affairs of businesses by refusing to permit them to operate in corporate form except by royal grant. This came to be known as the concession theory, because incorporation was a concession from the sovereign.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important concessions, or charters, were those given to the giant foreign trading companies, including the Russia Company (1554), the British East India Company (1600), Hudson’s Bay Company (1670, and still operating in Canada under the name “the Bay”), and the South Sea Company (1711). These were joint-stock companies—that is, individuals contributed capital to the enterprise, which traded on behalf of all the stockholders. Originally, trading companies were formed for single voyages, but the advantages of a continuing fund of capital soon became apparent. Also apparent was the legal characteristic that above all led shareholders to subscribe to the stock: limited liability. They risked only the cash they put in, not their personal fortunes.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companies were wildly successful. The British East India Company paid its original investors a fourfold return between 1683 and 1692. But perhaps nothing excited the imagination of the British more than the discovery of gold bullion aboard a Spanish shipwreck; 150 companies were quickly formed to salvage the sunken Spanish treasure. Though most of these companies were outright frauds, they ignited the search for easy wealth by a public unwary of the risks. In particular, the South Sea Company promised the sun and the moon: in return for a monopoly over the slave trade to the West Indies, it told an enthusiastic public that it would retire the public debt and make every person rich.</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1720, a fervor gripped London that sent stock prices soaring. Beggars and earls alike speculated from January to August; and then the bubble burst. Without considering the ramifications, Parliament had enacted the highly restrictive Bubble Act, which was supposed to do away with unchartered </w:t>
      </w:r>
      <w:r>
        <w:rPr>
          <w:rFonts w:ascii="Georgia" w:eastAsia="Times New Roman" w:hAnsi="Georgia" w:cs="Calibri"/>
          <w:b/>
          <w:bCs/>
          <w:color w:val="333333"/>
          <w:sz w:val="20"/>
          <w:szCs w:val="20"/>
          <w:lang w:val="en"/>
        </w:rPr>
        <w:t>joint-stock</w:t>
      </w:r>
      <w:r>
        <w:rPr>
          <w:rFonts w:ascii="Georgia" w:eastAsia="Times New Roman" w:hAnsi="Georgia" w:cs="Calibri"/>
          <w:color w:val="333333"/>
          <w:sz w:val="20"/>
          <w:szCs w:val="20"/>
          <w:lang w:val="en"/>
        </w:rPr>
        <w:t> companies. When the government prosecuted four companies under the act for having fraudulently obtained charters, the public panicked and stock prices came tumbling down, resulting in history’s first modern financial crisis.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consequence, corporate development was severely retarded in England. Distrustful of the chartered company, Parliament issued few corporate charters, and then only for public or quasi-public undertakings, such as transportation, insurance, and banking enterprises. Corporation law languished: William Blackstone devoted less than 1 percent of his immensely influential</w:t>
      </w:r>
      <w:r>
        <w:rPr>
          <w:rFonts w:ascii="Georgia" w:eastAsia="Times New Roman" w:hAnsi="Georgia" w:cs="Calibri"/>
          <w:i/>
          <w:iCs/>
          <w:color w:val="333333"/>
          <w:sz w:val="20"/>
          <w:szCs w:val="20"/>
          <w:lang w:val="en"/>
        </w:rPr>
        <w:t>Commentaries on the Law of England</w:t>
      </w:r>
      <w:r>
        <w:rPr>
          <w:rFonts w:ascii="Georgia" w:eastAsia="Times New Roman" w:hAnsi="Georgia" w:cs="Calibri"/>
          <w:color w:val="333333"/>
          <w:sz w:val="20"/>
          <w:szCs w:val="20"/>
          <w:lang w:val="en"/>
        </w:rPr>
        <w:t> (1765) to corporations and omitted altogether any discussion of limited liability. In </w:t>
      </w:r>
      <w:r>
        <w:rPr>
          <w:rFonts w:ascii="Georgia" w:eastAsia="Times New Roman" w:hAnsi="Georgia" w:cs="Calibri"/>
          <w:i/>
          <w:iCs/>
          <w:color w:val="333333"/>
          <w:sz w:val="20"/>
          <w:szCs w:val="20"/>
          <w:lang w:val="en"/>
        </w:rPr>
        <w:t>The Wealth of Nations</w:t>
      </w:r>
      <w:r>
        <w:rPr>
          <w:rFonts w:ascii="Georgia" w:eastAsia="Times New Roman" w:hAnsi="Georgia" w:cs="Calibri"/>
          <w:color w:val="333333"/>
          <w:sz w:val="20"/>
          <w:szCs w:val="20"/>
          <w:lang w:val="en"/>
        </w:rPr>
        <w:t> (1776), Adam Smith doubted that the use of corporations would spread. England did not repeal the Bubble Act until 1825, and then only because the value of true incorporation had become apparent from the experience of its former colonies.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US Corporation Formation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United States remained largely unaffected by the Bubble Act. Incorporation was granted only by special acts of state legislatures, even well into the nineteenth century, but many such acts were passed. Before the Revolution, perhaps fewer than a dozen business corporations existed throughout the thirteen colonies. During the 1790s, two hundred businesses were incorporated, and their numbers swelled thereafter. The theory that incorporation should not be accomplished except through special legislation began to give way. As industrial development accelerated in the mid-1800s, it was possible in many states to incorporate by adhering to the requirements of a general statute. Indeed, by the late nineteenth century, all but three states constitutionally</w:t>
      </w:r>
      <w:r>
        <w:rPr>
          <w:rFonts w:ascii="Georgia" w:eastAsia="Times New Roman" w:hAnsi="Georgia" w:cs="Calibri"/>
          <w:i/>
          <w:iCs/>
          <w:color w:val="333333"/>
          <w:sz w:val="20"/>
          <w:szCs w:val="20"/>
          <w:lang w:val="en"/>
        </w:rPr>
        <w:t>forbade</w:t>
      </w:r>
      <w:r>
        <w:rPr>
          <w:rFonts w:ascii="Georgia" w:eastAsia="Times New Roman" w:hAnsi="Georgia" w:cs="Calibri"/>
          <w:color w:val="333333"/>
          <w:sz w:val="20"/>
          <w:szCs w:val="20"/>
          <w:lang w:val="en"/>
        </w:rPr>
        <w:t> their legislatures from chartering companies through special enactments.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Supreme Court contributed importantly to the development of corporate law. In </w:t>
      </w:r>
      <w:r>
        <w:rPr>
          <w:rFonts w:ascii="Georgia" w:eastAsia="Times New Roman" w:hAnsi="Georgia" w:cs="Calibri"/>
          <w:i/>
          <w:iCs/>
          <w:color w:val="333333"/>
          <w:sz w:val="20"/>
          <w:szCs w:val="20"/>
          <w:lang w:val="en"/>
        </w:rPr>
        <w:t>Gibbons v. Ogden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groundbreaking case, the Court held that the Commerce Clause of the US Constitution (Article I, Section 8, Clause 3) granted Congress the power to regulate interstate commerce. However, in </w:t>
      </w:r>
      <w:r>
        <w:rPr>
          <w:rFonts w:ascii="Georgia" w:eastAsia="Times New Roman" w:hAnsi="Georgia" w:cs="Calibri"/>
          <w:i/>
          <w:iCs/>
          <w:color w:val="333333"/>
          <w:sz w:val="20"/>
          <w:szCs w:val="20"/>
          <w:lang w:val="en"/>
        </w:rPr>
        <w:t>Paul v. Virginia</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Court said that a state could prevent corporations not chartered there—that is, </w:t>
      </w:r>
      <w:r>
        <w:rPr>
          <w:rFonts w:ascii="Georgia" w:eastAsia="Times New Roman" w:hAnsi="Georgia" w:cs="Calibri"/>
          <w:b/>
          <w:bCs/>
          <w:color w:val="333333"/>
          <w:sz w:val="20"/>
          <w:szCs w:val="20"/>
          <w:lang w:val="en"/>
        </w:rPr>
        <w:t>out-of-state or</w:t>
      </w:r>
      <w:r>
        <w:rPr>
          <w:rFonts w:ascii="Georgia" w:eastAsia="Times New Roman" w:hAnsi="Georgia" w:cs="Calibri"/>
          <w:color w:val="333333"/>
          <w:sz w:val="20"/>
          <w:szCs w:val="20"/>
          <w:lang w:val="en"/>
        </w:rPr>
        <w:t> foreign corporations—from engaging in what it considered the local, and not interstate, business of issuing insurance policies. The inference made by many was that states could not bar foreign corporations engaged in </w:t>
      </w:r>
      <w:r>
        <w:rPr>
          <w:rFonts w:ascii="Georgia" w:eastAsia="Times New Roman" w:hAnsi="Georgia" w:cs="Calibri"/>
          <w:i/>
          <w:iCs/>
          <w:color w:val="333333"/>
          <w:sz w:val="20"/>
          <w:szCs w:val="20"/>
          <w:lang w:val="en"/>
        </w:rPr>
        <w:t>interstate</w:t>
      </w:r>
      <w:r>
        <w:rPr>
          <w:rFonts w:ascii="Georgia" w:eastAsia="Times New Roman" w:hAnsi="Georgia" w:cs="Calibri"/>
          <w:color w:val="333333"/>
          <w:sz w:val="20"/>
          <w:szCs w:val="20"/>
          <w:lang w:val="en"/>
        </w:rPr>
        <w:t> business from their borders.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decision brought about a competition in corporation laws. The early general laws had imposed numerous restrictions. The breadth of corporate enterprise was limited, ceilings were placed on total capital and indebtedness, incorporators were required to have residence in the state, the duration of the company often was not perpetual but was limited to a term of years or until a particular undertaking was completed, and the powers of management were circumscribed. These restrictions and limitations were thought to be necessary to protect the citizenry of the chartering legislature’s own state. But once it became clear that companies chartered in one state could operate in others, states began in effect to “sell” incorporation for tax revenues.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New Jersey led the way in 1875 with a general incorporation statute that greatly liberalized the powers of management and lifted many of the former restrictions. The Garden State was ultimately eclipsed by Delaware, which in 1899 enacted the most liberal corporation statute in the country, so that to the present day there are thousands of “Delaware corporations” that maintain no presence in the state other than an address on file with the secretary of state in Dover.</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1920s, the National Conference of Commissioners on Uniform State Laws drafted a Uniform Business Corporation Act, the final version of which was released in 1928. It was not widely adopted, but it did provide the basis during the 1930s for revisions of some state laws, including those in California, Illinois, Michigan, Minnesota, and Pennsylvania. By that time, in the midst of the Great Depression, the federal government for the first time intruded into corporate law in a major way by creating federal agencies, most notably the Securities and Exchange Commission in 1934, with power to regulate the interstate issuance of corporate stock.</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Corporate Law Today</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World War II, most states revised their general corporation laws. A significant development for states was the preparation of the Model Business Corporation Act by the American Bar Association’s Committee on Corporate Laws. About half of the states have adopted all or major portions of the act. The 2005 version of this act, the Revised Model Business Corporation Act (RMBCA), will be referred to throughout our discussion of corporation law.</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Corporations have their roots in political and religious authority. The concept of limited liability and visions of financial rewards fueled the popularity of joint-stock companies, particularly trading companies, in late-seventeenth- and early eighteenth-century England. The English Parliament successfully enacted the Bubble Act in 1720 to curb the formation of these companies; the restrictions weren’t loosened until over one hundred years later, after England viewed the success of corporations in its former colonies. Although early corporate laws in the United States were fairly restrictive, once states began to “sell” incorporation for tax revenues, the popularity of liberal and corporate-friendly laws caught on, especially in Delaware beginning in 1899. A corporation remains a creature of the state—that is, the state in which it is incorporated. Delaware remains the state of choice because more corporations are registered there than in any other state.</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610"/>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English Parliament had not enacted the Bubble Act in 1720, would the “bubble” have burst? If so, what would have been the consequences to corporate development?</w:t>
      </w:r>
    </w:p>
    <w:p w:rsidR="00A86150" w:rsidRDefault="00F714D4">
      <w:pPr>
        <w:numPr>
          <w:ilvl w:val="0"/>
          <w:numId w:val="610"/>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were some of the key components of early US corporate laws? What was the rationale behind these laws?</w:t>
      </w:r>
    </w:p>
    <w:p w:rsidR="00A86150" w:rsidRDefault="00F714D4">
      <w:pPr>
        <w:numPr>
          <w:ilvl w:val="0"/>
          <w:numId w:val="610"/>
        </w:numPr>
        <w:shd w:val="clear" w:color="auto" w:fill="E3EFF7"/>
        <w:tabs>
          <w:tab w:val="clear" w:pos="720"/>
          <w:tab w:val="num" w:pos="1020"/>
        </w:tabs>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your opinion, what are some of the liberal laws that attract corporations to Delaware?</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29"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Gibbons v. Ogden</w:t>
      </w:r>
      <w:r>
        <w:rPr>
          <w:rFonts w:ascii="Calibri" w:eastAsia="Times New Roman" w:hAnsi="Calibri" w:cs="Calibri"/>
          <w:color w:val="333333"/>
          <w:sz w:val="20"/>
          <w:szCs w:val="20"/>
        </w:rPr>
        <w:t>, 22 U.S. 1 (1824).</w: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Paul v. Virginia</w:t>
      </w:r>
      <w:r>
        <w:rPr>
          <w:rFonts w:ascii="Calibri" w:eastAsia="Times New Roman" w:hAnsi="Calibri" w:cs="Calibri"/>
          <w:color w:val="333333"/>
          <w:sz w:val="20"/>
          <w:szCs w:val="20"/>
        </w:rPr>
        <w:t>, 75 U.S. 168 (1868).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25.2</w:t>
      </w:r>
      <w:r>
        <w:rPr>
          <w:rStyle w:val="apple-converted-space"/>
          <w:rFonts w:ascii="Calibri" w:hAnsi="Calibri" w:cs="Calibri"/>
          <w:color w:val="333333"/>
        </w:rPr>
        <w:t> </w:t>
      </w:r>
      <w:r>
        <w:rPr>
          <w:rFonts w:ascii="Calibri" w:hAnsi="Calibri" w:cs="Calibri"/>
          <w:color w:val="333333"/>
        </w:rPr>
        <w:t>Partnerships versus Corporations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611"/>
        </w:numPr>
        <w:shd w:val="clear" w:color="auto" w:fill="EAE9DC"/>
        <w:tabs>
          <w:tab w:val="clear" w:pos="720"/>
          <w:tab w:val="num" w:pos="19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Distinguish basic aspects of partnership formation from those of corporate formation.</w:t>
      </w:r>
    </w:p>
    <w:p w:rsidR="00A86150" w:rsidRDefault="00F714D4">
      <w:pPr>
        <w:numPr>
          <w:ilvl w:val="0"/>
          <w:numId w:val="611"/>
        </w:numPr>
        <w:shd w:val="clear" w:color="auto" w:fill="EAE9DC"/>
        <w:tabs>
          <w:tab w:val="clear" w:pos="720"/>
          <w:tab w:val="num" w:pos="16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Explain ownership and control in partnerships and in publicly held and closely held corporations.</w:t>
      </w:r>
    </w:p>
    <w:p w:rsidR="00A86150" w:rsidRDefault="00F714D4">
      <w:pPr>
        <w:numPr>
          <w:ilvl w:val="0"/>
          <w:numId w:val="611"/>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Know how partnerships and corporations are taxed.</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 us assume that three people have already formed a partnership to run a bookstore business. Bob has contributed $80,000. Carol has contributed a house in which the business can lawfully operate. Ted has contributed his services; he has been managing the bookstore, and the business is showing a slight profit. A friend has been telling them that they ought to incorporate. What are the major factors they should consider in reaching a decision?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Ease of Formation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are easy to form. If the business is simple enough and the partners are few, the agreement need not even be written down. Creating a corporation is more complicated because formal documents must be placed on file with public authorities.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Ownership and Control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general partners have equal rights in the management and conduct of the business. By contrast, ownership and control of corporations are, in theory, separated.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publicly held corporation</w:t>
      </w:r>
      <w:r>
        <w:rPr>
          <w:rFonts w:ascii="Georgia" w:hAnsi="Georgia" w:cs="Calibri"/>
          <w:color w:val="333333"/>
          <w:sz w:val="20"/>
          <w:szCs w:val="20"/>
        </w:rPr>
        <w:t>, which has many shareholders, the separation is real. Ownership is widely dispersed because millions of shares are outstanding and it is rare that any single shareholder will own more than a tiny percentage of stock. It is difficult under the best of circumstances for shareholders to exert any form of control over corporate operations. However,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closely held corporation</w:t>
      </w:r>
      <w:r>
        <w:rPr>
          <w:rFonts w:ascii="Georgia" w:hAnsi="Georgia" w:cs="Calibri"/>
          <w:color w:val="333333"/>
          <w:sz w:val="20"/>
          <w:szCs w:val="20"/>
        </w:rPr>
        <w:t>, which has few shareholders, the officers or senior managers are usually also the shareholders, so the separation of ownership and control may be less pronounced or even nonexistent.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Transferability of Interests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Transferability of an interest in a partnership is a problem because a transferee cannot become a member unless all partners consent. The problem can be addressed and overcome in the partnership agreement.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Transfer of interest</w:t>
      </w:r>
      <w:r>
        <w:rPr>
          <w:rFonts w:ascii="Georgia" w:hAnsi="Georgia" w:cs="Calibri"/>
          <w:color w:val="333333"/>
          <w:sz w:val="20"/>
          <w:szCs w:val="20"/>
        </w:rPr>
        <w:t>in a corporation, through a sale of stock, is much easier; but for the stock of a small corporation, there might not be a market or there might be contractual restrictions on transfer.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Financing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 have considerable flexibility in financing. They can lure potential investors by offering interests in profits and, in the case of general partnerships, control. Corporations can finance by selling freely transferable stock to the public or by incurring debt. Different approaches to the financing of corporations are discussed in</w:t>
      </w:r>
      <w:r>
        <w:rPr>
          <w:rStyle w:val="apple-converted-space"/>
          <w:rFonts w:ascii="Georgia" w:hAnsi="Georgia" w:cs="Calibri"/>
          <w:color w:val="333333"/>
          <w:sz w:val="20"/>
          <w:szCs w:val="20"/>
        </w:rPr>
        <w:t> </w:t>
      </w:r>
      <w:r>
        <w:rPr>
          <w:rFonts w:ascii="Georgia" w:hAnsi="Georgia" w:cs="Calibri"/>
          <w:color w:val="2689C6"/>
          <w:sz w:val="20"/>
          <w:szCs w:val="20"/>
        </w:rPr>
        <w:t>Chapter 26 "Legal Aspects of Corporate Finance"</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Taxation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is a conduit for income and is not taxed as a separate entity. Individual partners are taxed, and although limited by the 1986 Tax Reform Act, they can deduct partnership losses. Corporate earnings, on the other hand, are subject to double taxation. The corporation is first taxed on its own earnings as an entity. Then, when profits are distributed to shareholders in the form of dividends, the shareholders are taxed again. (A small corporation, with no more than one hundred shareholders, can elect S corporation status. Because S corporations are taxed as partnerships, they avoid double taxation.) However, incorporating brings several tax benefits. For example, the corporation can take deductions for life, medical, and disability insurance coverage for its employees, whereas partners or sole proprietors cannot.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24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Partnerships are easier to form than corporations, especially since no documents are required. General partners share both ownership and control, but in publicly held corporations, these functions are separated. Additional benefits for a partnership include flexibility in financing, single taxation, and the ability to deduct losses. Transfer of interest in a partnership can be difficult if not addressed in the initial agreement, since all partners must consent to the transfer.</w:t>
      </w:r>
    </w:p>
    <w:p w:rsidR="00A86150" w:rsidRDefault="00F714D4">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12"/>
        </w:numPr>
        <w:shd w:val="clear" w:color="auto" w:fill="E3EFF7"/>
        <w:spacing w:before="240"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Provide an example of when it would be best to form a partnership, and cite the advantages and disadvantages of doing so.</w:t>
      </w:r>
    </w:p>
    <w:p w:rsidR="00A86150" w:rsidRDefault="00F714D4">
      <w:pPr>
        <w:numPr>
          <w:ilvl w:val="0"/>
          <w:numId w:val="6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Provide an example of when it would be best to form a corporation, and cite the advantages and disadvantages of doing so.</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25.3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The Corporate Veil: The Corporation as a Legal Entity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13"/>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Know what rights a corporate “person” and a natural person have in common.</w:t>
      </w:r>
    </w:p>
    <w:p w:rsidR="00A86150" w:rsidRDefault="00F714D4">
      <w:pPr>
        <w:numPr>
          <w:ilvl w:val="0"/>
          <w:numId w:val="613"/>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when a corporate “veil” is pierced and shareholder liability is imposed.</w:t>
      </w:r>
    </w:p>
    <w:p w:rsidR="00A86150" w:rsidRDefault="00F714D4">
      <w:pPr>
        <w:numPr>
          <w:ilvl w:val="0"/>
          <w:numId w:val="613"/>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Identify other instances when a shareholder will be held personally liable.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comparing partnerships and corporations, there is one additional factor that ordinarily tips the balance in favor of incorporating: the corporation is a legal entity in its own right, one that can provide a “veil” that protects its shareholders from personal liability.</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25.1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The Corporate Veil</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5486400" cy="1695450"/>
            <wp:effectExtent l="0" t="0" r="0" b="0"/>
            <wp:docPr id="133" name="Picture 33" descr="http://images.flatworldknowledge.com/mayerlawentrep/mayerlawentrep-fig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mayerlawentrep/mayerlawentrep-fig43_0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crucial factor accounts for the development of much of corporate law. Unlike the individual actor in the legal system, the corporation is difficult to deal with in conventional legal terms. The business of the sole proprietor and the sole proprietor herself are one and the same. When a sole proprietor makes a decision, she risks her own capital. When the managers of a corporation take a corporate action, they are risking the capital of others—the shareholders. Thus accountability is a major theme in the system of law constructed to cope with legal entities other than natural persons.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Basic Rights of the Corporate “Person”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say that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corporation is a “person”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does not automatically describe what its rights are, for the courts have not accorded the corporation every right guaranteed a natural person. Yet the Supreme Court recently affirmed in</w:t>
      </w:r>
      <w:r>
        <w:rPr>
          <w:rStyle w:val="Emphasis"/>
          <w:rFonts w:ascii="Georgia" w:hAnsi="Georgia" w:cs="Calibri"/>
          <w:color w:val="333333"/>
          <w:sz w:val="20"/>
          <w:szCs w:val="20"/>
          <w:lang w:val="en"/>
        </w:rPr>
        <w:t>Citizens United v. Federal Election Commission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(2010) that the government may not suppress the First Amendment right of political speech because the speaker is a corporation rather than a natural person. According to the Court, “No sufficient governmental interest justifies limits on the political speech of nonprofit or for-profit corporations.”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courts have also concluded that corporations are entitled to the essential constitutional protections of due process and equal protection. They are also entitled to Fourth Amendment protection against unreasonable search and seizure; in other words, the police must have a search warrant to enter corporate premises and look through files. Warrants, however, are not required for highly regulated industries, such as those involving liquor or guns. The Double Jeopardy Clause applies to criminal prosecutions of corporations: an acquittal cannot be appealed nor can the case be retried. For purposes of the federal courts’ diversity jurisdiction, a corporation is deemed to be a citizen of both the state in which it is incorporated and the state in which it has its principal place of business (often, the corporate “headquarters”).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Until relatively recently, few cases had tested the power of the state to limit the right of corporations to spend their own funds to speak the “corporate mind.” Most cases involving corporate free speech address advertising, and few states have enacted laws that directly impinge on the freedom of companies to advertise. But those states that have done so have usually sought to limit the ability of corporations to sway voters in public referenda. In 1978, the Supreme Court finally confronted the issue head on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First National Bank of Boston v. Bellotti</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25.7.1 "Limiting a Corporation’s First Amendment Rights"</w:t>
      </w:r>
      <w:r>
        <w:rPr>
          <w:rFonts w:ascii="Georgia" w:hAnsi="Georgia" w:cs="Calibri"/>
          <w:color w:val="333333"/>
          <w:sz w:val="20"/>
          <w:szCs w:val="20"/>
          <w:lang w:val="en"/>
        </w:rPr>
        <w:t>). The ruling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Bellotti</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was reaffirmed by the Supreme Court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Citizens United v. Federal Election Commission</w:t>
      </w:r>
      <w:r>
        <w:rPr>
          <w:rFonts w:ascii="Georgia" w:hAnsi="Georgia" w:cs="Calibri"/>
          <w:color w:val="333333"/>
          <w:sz w:val="20"/>
          <w:szCs w:val="20"/>
          <w:lang w:val="en"/>
        </w:rPr>
        <w: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Citizens United</w:t>
      </w:r>
      <w:r>
        <w:rPr>
          <w:rFonts w:ascii="Georgia" w:hAnsi="Georgia" w:cs="Calibri"/>
          <w:color w:val="333333"/>
          <w:sz w:val="20"/>
          <w:szCs w:val="20"/>
          <w:lang w:val="en"/>
        </w:rPr>
        <w:t>, the Court struck down the part of the McCain-Feingold Act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that prohibited all corporations, both for-profit and not-for-profit, and unions from broadcasting “electioneering communications.”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Absence of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lack certain rights that natural persons possess. For example, corporations do not have the privilege against self-incrimination guaranteed for natural persons by the Fifth and Fourteenth Amendments. In any legal proceeding, the courts may force a corporation to turn over incriminating documents, even if they also incriminate officers or employees of the corporation. As we explore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29 "Corporate Expansion, State and Federal Regulation of Foreign Corporations, and Corporate Dissolution"</w:t>
      </w:r>
      <w:r>
        <w:rPr>
          <w:rFonts w:ascii="Georgia" w:hAnsi="Georgia" w:cs="Calibri"/>
          <w:color w:val="333333"/>
          <w:sz w:val="20"/>
          <w:szCs w:val="20"/>
          <w:lang w:val="en"/>
        </w:rPr>
        <w:t>, corporations are not citizens under the Privileges and Immunities Clause of the Constitution, so that the states can discriminate between domestic and foreign corporations. And the corporation is not entitled to federal review of state criminal convictions, as are many individuals.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Piercing the Corporate Veil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Given the importance of the corporate entity as a veil that limits shareholder liability, it is important to note that in certain circumstances, the courts may reach beyond the wall of protection that divides a corporation from the people or entities that exist behind it. This is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piercing the corporate veil</w:t>
      </w:r>
      <w:r>
        <w:rPr>
          <w:rFonts w:ascii="Georgia" w:hAnsi="Georgia" w:cs="Calibri"/>
          <w:color w:val="333333"/>
          <w:sz w:val="20"/>
          <w:szCs w:val="20"/>
          <w:lang w:val="en"/>
        </w:rPr>
        <w:t>, and it will occur in two instances: (1) when the corporation is used to commit a fraud or an injustice and (2) when the corporation does not act as if it were one.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Fraud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Felsenthal Company burned to the ground. Its president, one of the company’s largest creditors and also virtually its sole owner, instigated the fire. The corporation sued the insurance company to recover the amount for which it was insured. According to the court in the Felsenthal case, “The general rule of law is that the willful burning of property by a stockholder in a corporation is not a defense against the collection of the insurance by the corporation, and…the corporation cannot be prevented from collecting the insurance because its agents willfully set fire to the property without the participation or authority of the corporation or of all of the stockholders of the corporation.”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But because the fire was caused by the beneficial owner of “practically all” the stock, who also “has the absolute management of [the corporation’s] affairs and its property, and is its president,” the court refused to allow the company to recover the insurance money; allowing the company to recover would reward fraud.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Failure to Act as a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other limited circumstances, individual stockholders may also be found personally liable. Failure to follow corporate formalities, for example, may subject stockholders to</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personal liability</w:t>
      </w:r>
      <w:r>
        <w:rPr>
          <w:rFonts w:ascii="Georgia" w:hAnsi="Georgia" w:cs="Calibri"/>
          <w:color w:val="333333"/>
          <w:sz w:val="20"/>
          <w:szCs w:val="20"/>
          <w:lang w:val="en"/>
        </w:rPr>
        <w:t>. This is a special risk that small, especially one-person, corporations run. Particular factors that bring this rule into play include inadequate capitalization, omission of regular meetings, failure to record minutes of meetings, failure to file annual reports, and commingling of corporate and personal assets. Where these factors exist, the courts may look through the corporate veil and pluck out the individual stockholder or stockholders to answer for a tort, contract breach, or the like. The classic case is the taxicab operator who incorporates several of his cabs separately and services them through still another corporation. If one of the cabs causes an accident, the corporation is usually “judgment proof” because the corporation will have few assets (practically worthless cab, minimum insurance). The courts frequently permit plaintiffs to proceed against the common owner on the grounds that the particular corporation was inadequately financed.</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25.2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The Subsidiary as a Corporate Veil</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5486400" cy="1685925"/>
            <wp:effectExtent l="0" t="0" r="0" b="9525"/>
            <wp:docPr id="134" name="Picture 32" descr="http://images.flatworldknowledge.com/mayerlawentrep/mayerlawentrep-fig4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mayerlawentrep/mayerlawentrep-fig43_0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68592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a corporation owns a subsidiary corporation, the question frequently arises whether the subsidiary is acting as an independent entity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25.2 "The Subsidiary as a Corporate Veil"</w:t>
      </w:r>
      <w:r>
        <w:rPr>
          <w:rFonts w:ascii="Georgia" w:hAnsi="Georgia" w:cs="Calibri"/>
          <w:color w:val="333333"/>
          <w:sz w:val="20"/>
          <w:szCs w:val="20"/>
          <w:lang w:val="en"/>
        </w:rPr>
        <w:t>). The Supreme Court addressed this question of derivative versus direct liability of the corporate parent vis-à-vis its subsidiary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United States v. Bestfoods</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25.7.2 "Piercing the Corporate Veil"</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Other Types of Personal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Even when a corporation is formed for a proper purpose and is operated as a corporation, there are instances in which individual shareholders will be personally liable. For example, if a shareholder involved in company management commits a tort or enters into a contract in a personal capacity, he will remain personally liable for the consequences of his actions. In some states, statutes give employees special rights against shareholders. For example, a New York statute permits employees to recover wages, salaries, and debts owed them by the company from the ten largest shareholders of the corporation. (Shareholders of public companies whose stock is traded on a national exchange or over the counter are exempt.) Likewise, federal law permits the IRS to recover from the “responsible persons” any withholding taxes collected by a corporation but not actually paid over to the US Treasury.</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Corporations have some of the legal rights of a natural person. They are entitled to the constitutional protections of due process and equal protection, Fourth Amendment protection against unreasonable search and seizure, and First Amendment protection of free speech and expression. For purposes of the federal courts’ diversity jurisdiction, a corporation is deemed to be a citizen of both the state in which it is incorporated and the state in which it has its principal place of business. However, corporations do not have the privilege against self-incrimination guaranteed for natural persons by the Fifth and Fourteenth Amendments. Further, corporations are not free from liability. Courts will pierce the corporate veil and hold a corporation liable when the corporation is used to perpetrate fraud or when it fails to act as a corporation.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14"/>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Do you think that corporations should have rights similar to those of natural persons? Should any of these rights be curtailed?</w:t>
      </w:r>
    </w:p>
    <w:p w:rsidR="00A86150" w:rsidRDefault="00F714D4">
      <w:pPr>
        <w:numPr>
          <w:ilvl w:val="0"/>
          <w:numId w:val="61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an example of speaking the “corporate mind”?</w:t>
      </w:r>
    </w:p>
    <w:p w:rsidR="00A86150" w:rsidRDefault="00F714D4">
      <w:pPr>
        <w:numPr>
          <w:ilvl w:val="0"/>
          <w:numId w:val="61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If Corporation BCD’s president and majority stockholder secretly sells all of his stock before resigning a few days later, and the corporation’s unexpected change in majority ownership causes the share price to plummet, do corporate stockholders have a cause of action? If so, under what theory?</w:t>
      </w:r>
    </w:p>
    <w:p w:rsidR="00A86150" w:rsidRDefault="0081777E">
      <w:pPr>
        <w:spacing w:after="0"/>
        <w:jc w:val="center"/>
        <w:divId w:val="1203438025"/>
      </w:pPr>
      <w:r>
        <w:pict>
          <v:rect id="_x0000_i1130"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Citizens United v. Federal Election Commission</w:t>
      </w:r>
      <w:r>
        <w:rPr>
          <w:rFonts w:ascii="Calibri" w:hAnsi="Calibri" w:cs="Calibri"/>
          <w:color w:val="333333"/>
          <w:sz w:val="20"/>
          <w:szCs w:val="20"/>
        </w:rPr>
        <w:t>, 558 U.S. ___ (2010).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The Bipartisan Campaign Reform Act of 2002 (BCRA, McCain–Feingold Act, Pub.L. 107-155, 116 Stat. 81, enacted March 27, 2002, H.R. 2356).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D. I. Felsenthal Co. v. Northern Assurance Co., Ltd.</w:t>
      </w:r>
      <w:r>
        <w:rPr>
          <w:rFonts w:ascii="Calibri" w:hAnsi="Calibri" w:cs="Calibri"/>
          <w:color w:val="333333"/>
          <w:sz w:val="20"/>
          <w:szCs w:val="20"/>
        </w:rPr>
        <w:t>, 284 Ill. 343, 120 N.E. 268 (1918).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Felsenthal Co. v. Northern Assurance Co., Ltd.</w:t>
      </w:r>
      <w:r>
        <w:rPr>
          <w:rFonts w:ascii="Calibri" w:hAnsi="Calibri" w:cs="Calibri"/>
          <w:color w:val="333333"/>
          <w:sz w:val="20"/>
          <w:szCs w:val="20"/>
        </w:rPr>
        <w:t>, 120 N.E. 268 (Ill. 1918).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25.4</w:t>
      </w:r>
      <w:r>
        <w:rPr>
          <w:rStyle w:val="apple-converted-space"/>
          <w:rFonts w:ascii="Calibri" w:hAnsi="Calibri" w:cs="Calibri"/>
          <w:color w:val="333333"/>
        </w:rPr>
        <w:t> </w:t>
      </w:r>
      <w:r>
        <w:rPr>
          <w:rFonts w:ascii="Calibri" w:hAnsi="Calibri" w:cs="Calibri"/>
          <w:color w:val="333333"/>
        </w:rPr>
        <w:t>Classifications of Corporations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615"/>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Distinguish the “public,” or municipal, corporation from the publicly held corporation.</w:t>
      </w:r>
    </w:p>
    <w:p w:rsidR="00A86150" w:rsidRDefault="00F714D4">
      <w:pPr>
        <w:numPr>
          <w:ilvl w:val="0"/>
          <w:numId w:val="615"/>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Explain how the tax structure for professional corporations evolved.</w:t>
      </w:r>
    </w:p>
    <w:p w:rsidR="00A86150" w:rsidRDefault="00F714D4">
      <w:pPr>
        <w:numPr>
          <w:ilvl w:val="0"/>
          <w:numId w:val="615"/>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Define the two types of business corporations.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Nonprofit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four major classifications of corporations is the </w:t>
      </w:r>
      <w:r>
        <w:rPr>
          <w:rStyle w:val="marginterm"/>
          <w:rFonts w:ascii="Georgia" w:hAnsi="Georgia" w:cs="Calibri"/>
          <w:color w:val="333333"/>
          <w:sz w:val="20"/>
          <w:szCs w:val="20"/>
        </w:rPr>
        <w:t>nonprofit corporation</w:t>
      </w:r>
      <w:r>
        <w:rPr>
          <w:rStyle w:val="apple-converted-space"/>
          <w:rFonts w:ascii="Georgia" w:hAnsi="Georgia" w:cs="Calibri"/>
          <w:color w:val="333333"/>
          <w:sz w:val="20"/>
          <w:szCs w:val="20"/>
        </w:rPr>
        <w:t> </w:t>
      </w:r>
      <w:r>
        <w:rPr>
          <w:rFonts w:ascii="Georgia" w:hAnsi="Georgia" w:cs="Calibri"/>
          <w:color w:val="333333"/>
          <w:sz w:val="20"/>
          <w:szCs w:val="20"/>
        </w:rPr>
        <w:t>(also called not-for-profit corporation). It is defined in the American Bar Association’s Model Non-Profit Corporation Act as “a corporation no part of the income of</w:t>
      </w:r>
      <w:r>
        <w:rPr>
          <w:rStyle w:val="apple-converted-space"/>
          <w:rFonts w:ascii="Georgia" w:hAnsi="Georgia" w:cs="Calibri"/>
          <w:color w:val="333333"/>
          <w:sz w:val="20"/>
          <w:szCs w:val="20"/>
        </w:rPr>
        <w:t> </w:t>
      </w:r>
      <w:r>
        <w:rPr>
          <w:rStyle w:val="Emphasis"/>
          <w:rFonts w:ascii="Georgia" w:hAnsi="Georgia" w:cs="Calibri"/>
          <w:color w:val="333333"/>
          <w:sz w:val="20"/>
          <w:szCs w:val="20"/>
        </w:rPr>
        <w:t>which</w:t>
      </w:r>
      <w:r>
        <w:rPr>
          <w:rStyle w:val="apple-converted-space"/>
          <w:rFonts w:ascii="Georgia" w:hAnsi="Georgia" w:cs="Calibri"/>
          <w:color w:val="333333"/>
          <w:sz w:val="20"/>
          <w:szCs w:val="20"/>
        </w:rPr>
        <w:t> </w:t>
      </w:r>
      <w:r>
        <w:rPr>
          <w:rFonts w:ascii="Georgia" w:hAnsi="Georgia" w:cs="Calibri"/>
          <w:color w:val="333333"/>
          <w:sz w:val="20"/>
          <w:szCs w:val="20"/>
        </w:rPr>
        <w:t>is distributable to its members, directors or officers.” Nonprofit corporations may be formed under this law for charitable, educational, civil, religious, social, and cultural purposes, among others.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Public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true public corporation is a governmental entity. It is often called a </w:t>
      </w:r>
      <w:r>
        <w:rPr>
          <w:rStyle w:val="marginterm"/>
          <w:rFonts w:ascii="Georgia" w:hAnsi="Georgia" w:cs="Calibri"/>
          <w:color w:val="333333"/>
          <w:sz w:val="20"/>
          <w:szCs w:val="20"/>
        </w:rPr>
        <w:t>municipal corporation</w:t>
      </w:r>
      <w:r>
        <w:rPr>
          <w:rFonts w:ascii="Georgia" w:hAnsi="Georgia" w:cs="Calibri"/>
          <w:color w:val="333333"/>
          <w:sz w:val="20"/>
          <w:szCs w:val="20"/>
        </w:rPr>
        <w:t>, to distinguish it from the publicly held corporation, which is sometimes also referred to as a “public” corporation, although it is in fact private (i.e., it is not governmental). Major cities and counties, and many towns, villages, and special governmental units, such as sewer, transportation, and public utility authorities, are incorporated. These corporations are not organized for profit, do not have shareholders, and operate under different statutes than do business corporations.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Professional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the 1960s, lawyers, doctors, accountants, and other professionals could not practice their professions in corporate form. This inability, based on a fear of professionals’ being subject to the direction of the corporate owners, was financially disadvantageous. Under the federal income tax laws then in effect, corporations could establish far better pension plans than could the self-employed. During the 1960s, the states began to let professionals incorporate, but the IRS balked, denying them many tax benefits. In 1969, the IRS finally conceded that it would tax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professional corporation</w:t>
      </w:r>
      <w:r>
        <w:rPr>
          <w:rStyle w:val="apple-converted-space"/>
          <w:rFonts w:ascii="Georgia" w:hAnsi="Georgia" w:cs="Calibri"/>
          <w:color w:val="333333"/>
          <w:sz w:val="20"/>
          <w:szCs w:val="20"/>
        </w:rPr>
        <w:t> </w:t>
      </w:r>
      <w:r>
        <w:rPr>
          <w:rFonts w:ascii="Georgia" w:hAnsi="Georgia" w:cs="Calibri"/>
          <w:color w:val="333333"/>
          <w:sz w:val="20"/>
          <w:szCs w:val="20"/>
        </w:rPr>
        <w:t>just as it would any other corporation, so that professionals could, from that time on, place a much higher proportion of tax-deductible income into a tax-deferred pension. That decision led to a burgeoning number of professional corporations.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 Corporations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Two Types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business corporation</w:t>
      </w:r>
      <w:r>
        <w:rPr>
          <w:rStyle w:val="apple-converted-space"/>
          <w:rFonts w:ascii="Georgia" w:hAnsi="Georgia" w:cs="Calibri"/>
          <w:color w:val="333333"/>
          <w:sz w:val="20"/>
          <w:szCs w:val="20"/>
        </w:rPr>
        <w:t> </w:t>
      </w:r>
      <w:r>
        <w:rPr>
          <w:rFonts w:ascii="Georgia" w:hAnsi="Georgia" w:cs="Calibri"/>
          <w:color w:val="333333"/>
          <w:sz w:val="20"/>
          <w:szCs w:val="20"/>
        </w:rPr>
        <w:t>proper that we focus on in this unit. There are two broad types of business corporations: publicly held (or public) and closely held (or close or private) corporations. Again, both types are private in the sense that they are not governmental.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publicly held corporation is one in which stock is widely held or available for wide public distribution through such means as trading on a national or regional stock exchange. Its managers, if they are also owners of stock, usually constitute a small percentage of the total number of shareholders and hold a small amount of stock relative to the total shares outstanding. Few, if any, shareholders of public corporations know their fellow shareholders.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the shareholders of the closely held corporation are fewer in number. Shares in a closely held corporation could be held by one person, and usually by no more than thirty. Shareholders of the closely held corporation often share family ties or have some other association that permits each to know the others.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Though most closely held corporations are small, no economic or legal reason prevents them from being large. Some are huge, having annual sales of several billion dollars each. Roughly 90 percent of US corporations are closely held.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giant publicly held companies with more than $1 billion in assets and sales, with initials such as IBM and GE, constitute an exclusive group. Publicly held corporations outside this elite class fall into two broad (nonlegal) categories: those that are quoted on stock exchanges and those whose stock</w:t>
      </w:r>
      <w:r>
        <w:rPr>
          <w:rStyle w:val="apple-converted-space"/>
          <w:rFonts w:ascii="Georgia" w:hAnsi="Georgia" w:cs="Calibri"/>
          <w:color w:val="333333"/>
          <w:sz w:val="20"/>
          <w:szCs w:val="20"/>
        </w:rPr>
        <w:t> </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too widely dispersed to be called closely held but is not traded on exchanges.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There are four major classifications of corporations: (1) nonprofit, (2) municipal, (3) professional, and (4) business. Business corporations are divided into two types, publicly held and closely held corporations.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professionals, such as doctors, lawyers, and accountants, wait so long to incorporate?</w:t>
      </w:r>
    </w:p>
    <w:p w:rsidR="00A86150" w:rsidRDefault="00F714D4">
      <w:pPr>
        <w:numPr>
          <w:ilvl w:val="0"/>
          <w:numId w:val="616"/>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a publicly held corporation from a closely held one.</w:t>
      </w:r>
    </w:p>
    <w:p w:rsidR="00A86150" w:rsidRDefault="00F714D4">
      <w:pPr>
        <w:numPr>
          <w:ilvl w:val="0"/>
          <w:numId w:val="6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most corporations in the US publicly or closely held? Are closely held corporations subject to different provisions than publicly held ones?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25.5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Corporate Organization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17"/>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steps to issue a corporate charter.</w:t>
      </w:r>
    </w:p>
    <w:p w:rsidR="00A86150" w:rsidRDefault="00F714D4">
      <w:pPr>
        <w:numPr>
          <w:ilvl w:val="0"/>
          <w:numId w:val="617"/>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states’ rights in modifying a corporate charter.</w:t>
      </w:r>
    </w:p>
    <w:p w:rsidR="00A86150" w:rsidRDefault="00F714D4">
      <w:pPr>
        <w:numPr>
          <w:ilvl w:val="0"/>
          <w:numId w:val="617"/>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factors to consider in selecting a state in which to incorporate.</w:t>
      </w:r>
    </w:p>
    <w:p w:rsidR="00A86150" w:rsidRDefault="00F714D4">
      <w:pPr>
        <w:numPr>
          <w:ilvl w:val="0"/>
          <w:numId w:val="617"/>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functions and liability of a promoter.</w:t>
      </w:r>
    </w:p>
    <w:p w:rsidR="00A86150" w:rsidRDefault="00F714D4">
      <w:pPr>
        <w:numPr>
          <w:ilvl w:val="0"/>
          <w:numId w:val="617"/>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business and legal requirements in executing and filing the articles of incorporation.</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25.4 "Classifications of Corporations"</w:t>
      </w:r>
      <w:r>
        <w:rPr>
          <w:rFonts w:ascii="Georgia" w:hAnsi="Georgia" w:cs="Calibri"/>
          <w:color w:val="333333"/>
          <w:sz w:val="20"/>
          <w:szCs w:val="20"/>
          <w:lang w:val="en"/>
        </w:rPr>
        <w:t>, corporate status offers companies many protections. If the owners of a business decide to incorporate after weighing the pros and cons of incorporation, they need to take the steps explained in this section.</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Corporate Charter</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Function of the Charter</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ultimate goal of the incorporation process is issuance of a</w:t>
      </w:r>
      <w:r>
        <w:rPr>
          <w:rStyle w:val="marginterm"/>
          <w:rFonts w:ascii="Georgia" w:hAnsi="Georgia" w:cs="Calibri"/>
          <w:color w:val="333333"/>
          <w:sz w:val="20"/>
          <w:szCs w:val="20"/>
          <w:lang w:val="en"/>
        </w:rPr>
        <w:t>corporate charter</w:t>
      </w:r>
      <w:r>
        <w:rPr>
          <w:rFonts w:ascii="Georgia" w:hAnsi="Georgia" w:cs="Calibri"/>
          <w:color w:val="333333"/>
          <w:sz w:val="20"/>
          <w:szCs w:val="20"/>
          <w:lang w:val="en"/>
        </w:rPr>
        <w:t>. The term used for the document varies from state to state. Most states call the basic document filed in the appropriate public office the “articles of incorporation” or “certificate of incorporation,” but there are other variations. There is no legal significance to these differences in terminology.</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Chartering is basically a state prerogative. Congress has chartered several enterprises, including national banks (under the National Banking Act), federal savings and loan associations, national farm loan associations, and the like, but virtually all business corporations are chartered at the state level.</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Originally a legislative function, chartering is now an administrative function in every state. The secretary of state issues the final indorsement to the articles of incorporation, thus giving them legal effect.</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Charter as a Contract</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charter is a contract between the state and the corporation. Under the Contracts Clause of Article I of the Constitution, no state can pass any law “impairing the obligation of contracts.” In 1816, the question arose whether a state could revoke or amend a corporate charter once granted. The corporation in question was Dartmouth College. The New Hampshire legislature sought to turn the venerable private college, operating under an old royal charter, into a public institution by changing the membership of its board. The case wound up in the Supreme Court. Chief Justice John Marshall ruled that the legislature’s attempt was unconstitutional, because to amend a charter is to impair a contract.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decision pleased incorporators because it implied that once a corporation had been created, the state could never modify the powers it had been granted. But, in addition, the ruling seemed to favor monopolies. The theory was that by granting a charter to, say, a railroad corporation, the state was barred from creating any further railroad corporations. Why? Because, the lawyers argued, a competitor would cut into the first company’s business, reducing the value of the charter, hence impairing the contract. Justice Joseph Story, concurring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Dartmouth</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had already suggested the way out for the states: “If the legislature mean to claim such an authority [to alter or amend the charter], it must be reserved in the grant. The charter of Dartmouth College contains no such reservation.…” The states quickly picked up on Justice Story’s suggestion and wrote into the charter explicit language giving legislatures the authority to modify corporations’ charters at their pleasure. So the potential immutability of corporate charters had little practical chance to develop.</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Selection of a State</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Where to Charter</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Choosing the particular venue in which to incorporate is the first critical decision to be made after deciding to incorporate. Some corporations, though headquartered in the United States, choose to incorporate offshore to take advantage of lenient taxation laws. Advantages of an offshore corporation include not only lenient tax laws but also a great deal of privacy as well as certain legal protections. For example, the names of the officers and directors can be excluded from documents filed. In the United States, over half of the</w:t>
      </w:r>
      <w:r>
        <w:rPr>
          <w:rStyle w:val="Emphasis"/>
          <w:rFonts w:ascii="Georgia" w:hAnsi="Georgia" w:cs="Calibri"/>
          <w:color w:val="333333"/>
          <w:sz w:val="20"/>
          <w:szCs w:val="20"/>
          <w:lang w:val="en"/>
        </w:rPr>
        <w:t>Fortune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500 companies hold Delaware charters for reasons related to Delaware’s having a lower tax structure, a favorable business climate, and a legal system—both its statutes and its courts—seen as being up to date, flexible, and often probusiness. Delaware’s success has led other states to compete, and the political realities have caused the Revised Model Business Corporation Act (RMBCA), which was intentionally drafted to balance the interests of all significant groups (management, shareholders, and the public), to be revised from time to time so that it is more permissive from the perspective of management.</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Why Choose Delaware?</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Delaware remains the most popular state in which to incorporate for several reasons, including the following: (1) low incorporation fees; (2) only one person is needed to serve the incorporator of the corporation; the RMBC requires three incorporators; (3) no minimum capital requirement; (4) favorable tax climate, including no sales tax; (5) no taxation of shares held by nonresidents; and (5) no corporate income tax for companies doing business outside of Delaware. In addition, Delaware’s Court of Chancery, a court of equity, is renowned as a premier business court with a well-established body of corporate law, thereby affording a business a certain degree of predictability in judicial decision making.</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Promoter</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Functions</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state of incorporation has been selected, it is time for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promoters</w:t>
      </w:r>
      <w:r>
        <w:rPr>
          <w:rFonts w:ascii="Georgia" w:hAnsi="Georgia" w:cs="Calibri"/>
          <w:color w:val="333333"/>
          <w:sz w:val="20"/>
          <w:szCs w:val="20"/>
          <w:lang w:val="en"/>
        </w:rPr>
        <w:t>, the midwives of the enterprise, to go to work. Promoters are the individuals who take the steps necessary to form the corporation, and they often will receive stock in exchange for their efforts. They have four principal functions: (1) to seek out or discover business opportunities, (2) to raise capital by persuading investors to sign stock subscriptions, (3) to enter into contracts on behalf of the corporation to be formed, (4) and to prepare the articles of incorporation.</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Promoters have acquired an unsavory reputation as fast talkers who cajole investors out of their money. Though some promoters fit this image, it is vastly overstated. Promotion is difficult work often carried out by the same individuals who will manage the business.</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Contract Liability</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Promoters face two major legal problems. First, they face possible liability on contracts made on behalf of the business before it is incorporated. For example, suppose Bob is acting as promoter of the proposed BCT Bookstore, Inc. On September 15, he enters into a contract with Computogram Products to purchase computer equipment for the corporation to be formed. If the incorporation never takes place, or if the corporation is formed but the corporation refuses to accept the contract, Bob remains liable.</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assume that the corporation is formed on October 15, and on October 18 it formally accepts all the contracts that Bob signed prior to October 15. Does Bob remain liable? In most states, he does. The ratification theory of agency law will not help in many states that adhere strictly to agency rules, because there was no principal (the corporation) in existence when the contract was made and hence the promoter must remain liable. To avoid this result, Bob should seek an express novation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15 "Discharge of Obligations"</w:t>
      </w:r>
      <w:r>
        <w:rPr>
          <w:rFonts w:ascii="Georgia" w:hAnsi="Georgia" w:cs="Calibri"/>
          <w:color w:val="333333"/>
          <w:sz w:val="20"/>
          <w:szCs w:val="20"/>
          <w:lang w:val="en"/>
        </w:rPr>
        <w:t>), although in some states, a novation will be implied. The intention of the parties should be stated as precisely as possible in the contract, as the promoters learned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RKO-Stanley Warner Theatres, Inc. v. Graziano</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25.7.3 "Corporate Promoter"</w:t>
      </w:r>
      <w:r>
        <w:rPr>
          <w:rFonts w:ascii="Georgia" w:hAnsi="Georgia" w:cs="Calibri"/>
          <w:color w:val="333333"/>
          <w:sz w:val="20"/>
          <w:szCs w:val="20"/>
          <w:lang w:val="en"/>
        </w:rPr>
        <w:t>).</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promoters’ other major legal concern is the duty owed to the corporation. The law is clear that promoters owe a fiduciary duty. For example, a promoter who transfers real estate worth $250,000 to the corporation in exchange for $750,000 worth of stock would be liable for $500,000 for breach of fiduciary duty.</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Preincorporation Stock Subscriptions</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of the promoter’s jobs is to obtain</w:t>
      </w:r>
      <w:r>
        <w:rPr>
          <w:rStyle w:val="marginterm"/>
          <w:rFonts w:ascii="Georgia" w:hAnsi="Georgia" w:cs="Calibri"/>
          <w:color w:val="333333"/>
          <w:sz w:val="20"/>
          <w:szCs w:val="20"/>
          <w:lang w:val="en"/>
        </w:rPr>
        <w:t>preincorporation stock subscriptions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line up offers by would-be investors to purchase stock in the corporation to be formed. These stock subscriptions are agreements to purchase, at a specified price, a certain number of shares of stock of a corporation, which is to be formed at some point in the future. The contract, however, actually comes into existence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after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formation, once the corporation itself accepts the offer to subscribe. Alice agrees with Bob to invest $10,000 in the BCT Bookstore, Inc. for one thousand shares. The agreement is treated as an offer to purchase. The offer is deemed accepted at the moment the bookstore is incorporated.</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major problem for the corporation is an attempt by subscribers to revoke their offers. A basic rule of contract law is that offers are revocable before acceptance. Under RMBCA, Section 6.20, however, a subscription for shares is irrevocable for six months unless the subscription agreement itself provides otherwise or unless all the subscribers consent to revocation. In many states that have not adopted the model act, the contract rule applies and the offer is always revocable. Other states use various common-law devices to prevent revocation. For example, the subscription by one investor is held as consideration for the subscription of another, so that a binding contract has been formed.</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Execution and Filing of the Articles of Incorporation</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business details are settled, the promoters, now known as incorporators, must sign and deliver the articles of incorporation to the secretary of state. The articles of incorporation typically include the following: the corporate name; the address of the corporation’s initial registered office; the period of the corporation’s duration (usually perpetual); the company’s purposes; the total number of shares, the classes into which they are divided, and the par value of each; the limitations and rights of each class of shareholders; the authority of the directors to establish preferred or special classes of stock; provisions for preemptive rights; provisions for the regulation of the internal affairs of the corporation, including any provision restricting the transfer of shares; the number of directors constituting the initial board of directors and the names and addresses of initial members; and the name and address of each incorporator. Although compliance with these requirements is largely a matter of filling in the blanks, two points deserve mention.</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First, the choice of a name is often critical to the business. Under RMBCA, Section 4.01, the name must include one of the following words (or abbreviations): corporation, company, incorporated, or limited (Corp., Co., Inc., or Ltd.). The name is not allowed to deceive the public about the corporation’s purposes, nor may it be the same as that of any other company incorporated or authorized to do business in the state.</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legal requirements are obvious; the business requirements are much harder. If the name is not descriptive of the business or does not anticipate changes in the business, it may have to be changed, and the change can be expensive. For example, when Standard Oil Company of New Jersey changed its name to Exxon in 1972, the estimated cost was over $100 million. (And even with this expenditure, some shareholders grumbled that the new name sounded like a laxative.)</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second point to bear in mind about the articles of incorporation is that drafting the clause stating corporate purposes requires special care, because the corporation will be limited to the purposes set forth. In one famous case, the charter of Cornell University placed a limit on the amount of contributions it could receive from any one benefactor. When Jennie McGraw died in 1881, leaving to Cornell the carillon that still plays on the Ithaca, New York, campus to this day, she also bequeathed to the university her residuary estate valued at more than $1 million. This sum was greater than the ceiling placed in Cornell’s charter. After lengthy litigation, the university lost in the US Supreme Court, and the money went to her family.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dilemma is how to draft a clause general enough to allow the corporation to expand, yet specific enough to prevent it from engaging in undesirable activities.</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states require the purpose clauses to be specific, but the usual approach is to permit a broad statement of purposes. Section 3.01 of the RMBCA goes one step further in providing that a corporation automatically “has the purpose of engaging in any lawful business” unless the articles specify a more limited purpose. Once completed, the articles of incorporation are delivered to the secretary of state for filing. The existence of a corporation begins once the articles have been filed.</w:t>
      </w:r>
    </w:p>
    <w:p w:rsidR="00A86150" w:rsidRDefault="00F714D4">
      <w:pPr>
        <w:pStyle w:val="Heading2"/>
        <w:shd w:val="clear" w:color="auto" w:fill="FFFFFF"/>
        <w:spacing w:before="24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Organizational Meeting of Directors</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first order of business, once the certificate of incorporation is issued, is a meeting of the board of directors named in the articles of incorporation. They must adopt bylaws, elect officers, and transact any other business that may come before the meeting (RMBCA, Section 2.05). Other business would include accepting (ratifying) promoters’ contracts, calling for the payment of stock subscriptions, and adopting bank resolution forms, giving authority to various officers to sign checks drawn on the corporation.</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10.20 of the RMBCA vests in the directors the power to alter, amend, or repeal the bylaws adopted at the initial meeting, subject to repeal or change by the shareholders. The articles of incorporation may reserve the power to modify or repeal exclusively to the shareholders. The bylaws may contain any provisions that do not conflict with the articles of incorporation or the law of the state.</w:t>
      </w:r>
    </w:p>
    <w:p w:rsidR="00A86150" w:rsidRDefault="00F714D4">
      <w:pPr>
        <w:pStyle w:val="para"/>
        <w:shd w:val="clear" w:color="auto" w:fill="FFFFFF"/>
        <w:spacing w:before="24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Typical provisions in the bylaws include fixing the place and time at which annual stockholders’ meetings will be held, fixing a quorum, setting the method of voting, establishing the method of choosing directors, creating committees of directors, setting down the method by which board meetings may be called and the voting procedures to be followed, determining the offices to be filled by the directors and the powers with which each officer shall be vested, fixing the method of declaring dividends, establishing a fiscal year, setting out rules governing issuance and transfer of stock, and establishing the method of amending the bylaws.</w:t>
      </w:r>
    </w:p>
    <w:p w:rsidR="00A86150" w:rsidRDefault="00F714D4">
      <w:pPr>
        <w:pStyle w:val="para"/>
        <w:shd w:val="clear" w:color="auto" w:fill="FFFFFF"/>
        <w:spacing w:before="24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2.07 of the RMBCA provides that the directors may adopt bylaws that will operate during an emergency. An emergency is a situation in which “a quorum of the corporation’s directors cannot readily be assembled because of some catastrophic event.”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Articles of incorporation represent a corporate charter—that is, a contract between the corporation and the state. Filing these articles, or “chartering,” is accomplished at the state level. The secretary of state’s final approval gives these articles legal effect. A state cannot change a charter unless it reserves the right when granting the charter.</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In selecting a state in which to incorporate, a corporation looks for a favorable corporate climate. Delaware remains the state of choice for incorporation, particularly for publicly held companies. Most closely held companies choose to incorporate in their home states.</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Following the state selection, the promoter commences his or her functions, which include entering into contracts on behalf of the corporation to be formed (for which he or she can be held liable) and preparing the articles of incorporation.</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 articles of incorporation must include the corporation’s name and its corporate purpose, which can be broad. Finally, once the certificate of incorporation is issued, the corporation’s board of directors must hold an organizational meeting.</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18"/>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Does the Contracts Clause of the Constitution, which forbids a state from impeding a contract, apply to corporations?</w:t>
      </w:r>
    </w:p>
    <w:p w:rsidR="00A86150" w:rsidRDefault="00F714D4">
      <w:pPr>
        <w:numPr>
          <w:ilvl w:val="0"/>
          <w:numId w:val="6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of the advantages of selecting Delaware as the state of incorporation?</w:t>
      </w:r>
    </w:p>
    <w:p w:rsidR="00A86150" w:rsidRDefault="00F714D4">
      <w:pPr>
        <w:numPr>
          <w:ilvl w:val="0"/>
          <w:numId w:val="6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of the risks that a promoter faces for his or her actions on behalf of the corporation? Can he or she limit these risks?</w:t>
      </w:r>
    </w:p>
    <w:p w:rsidR="00A86150" w:rsidRDefault="00F714D4">
      <w:pPr>
        <w:numPr>
          <w:ilvl w:val="0"/>
          <w:numId w:val="6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dangers of limiting a corporation’s purpose?</w:t>
      </w:r>
    </w:p>
    <w:p w:rsidR="00A86150" w:rsidRDefault="00F714D4">
      <w:pPr>
        <w:numPr>
          <w:ilvl w:val="0"/>
          <w:numId w:val="6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order of business at the first board of directors’ meeting?</w:t>
      </w:r>
    </w:p>
    <w:p w:rsidR="00A86150" w:rsidRDefault="0081777E">
      <w:pPr>
        <w:spacing w:after="0"/>
        <w:jc w:val="center"/>
        <w:divId w:val="1825122490"/>
      </w:pPr>
      <w:r>
        <w:pict>
          <v:rect id="_x0000_i1131"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Trustees of Dartmouth College v. Woodward</w:t>
      </w:r>
      <w:r>
        <w:rPr>
          <w:rFonts w:ascii="Calibri" w:hAnsi="Calibri" w:cs="Calibri"/>
          <w:color w:val="333333"/>
          <w:sz w:val="20"/>
          <w:szCs w:val="20"/>
        </w:rPr>
        <w:t>, 17 U.S. 518 (1819).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Cornell University v. Fiske</w:t>
      </w:r>
      <w:r>
        <w:rPr>
          <w:rFonts w:ascii="Calibri" w:hAnsi="Calibri" w:cs="Calibri"/>
          <w:color w:val="333333"/>
          <w:sz w:val="20"/>
          <w:szCs w:val="20"/>
        </w:rPr>
        <w:t>, 136 U.S. 152 (1890).</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25.6</w:t>
      </w:r>
      <w:r>
        <w:rPr>
          <w:rStyle w:val="apple-converted-space"/>
          <w:rFonts w:ascii="Calibri" w:hAnsi="Calibri" w:cs="Calibri"/>
          <w:color w:val="333333"/>
        </w:rPr>
        <w:t> </w:t>
      </w:r>
      <w:r>
        <w:rPr>
          <w:rFonts w:ascii="Calibri" w:hAnsi="Calibri" w:cs="Calibri"/>
          <w:color w:val="333333"/>
        </w:rPr>
        <w:t>Effect of Organization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619"/>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Distinguish between a de jure and a de facto corporation.</w:t>
      </w:r>
    </w:p>
    <w:p w:rsidR="00A86150" w:rsidRDefault="00F714D4">
      <w:pPr>
        <w:numPr>
          <w:ilvl w:val="0"/>
          <w:numId w:val="619"/>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Define the doctrine of corporation by estoppel.</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 Jure and De Facto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promoters meet the requirements of corporate formation, a</w:t>
      </w:r>
      <w:r>
        <w:rPr>
          <w:rStyle w:val="marginterm"/>
          <w:rFonts w:ascii="Georgia" w:hAnsi="Georgia" w:cs="Calibri"/>
          <w:color w:val="333333"/>
          <w:sz w:val="20"/>
          <w:szCs w:val="20"/>
        </w:rPr>
        <w:t>de jure corporation</w:t>
      </w:r>
      <w:r>
        <w:rPr>
          <w:rFonts w:ascii="Georgia" w:hAnsi="Georgia" w:cs="Calibri"/>
          <w:color w:val="333333"/>
          <w:sz w:val="20"/>
          <w:szCs w:val="20"/>
        </w:rPr>
        <w:t>, considered a legal entity, is formed. Because the various steps are complex, the formal prerequisites are not always met. Suppose that a company, thinking its incorporation has taken place when in fact it hasn’t met all requirements, starts up its business. What then? Is everything it does null and void? If three conditions exist, a court might decide that a</w:t>
      </w:r>
      <w:r>
        <w:rPr>
          <w:rStyle w:val="marginterm"/>
          <w:rFonts w:ascii="Georgia" w:hAnsi="Georgia" w:cs="Calibri"/>
          <w:color w:val="333333"/>
          <w:sz w:val="20"/>
          <w:szCs w:val="20"/>
        </w:rPr>
        <w:t>de facto corporation</w:t>
      </w:r>
      <w:r>
        <w:rPr>
          <w:rStyle w:val="apple-converted-space"/>
          <w:rFonts w:ascii="Georgia" w:hAnsi="Georgia" w:cs="Calibri"/>
          <w:color w:val="333333"/>
          <w:sz w:val="20"/>
          <w:szCs w:val="20"/>
        </w:rPr>
        <w:t> </w:t>
      </w:r>
      <w:r>
        <w:rPr>
          <w:rFonts w:ascii="Georgia" w:hAnsi="Georgia" w:cs="Calibri"/>
          <w:color w:val="333333"/>
          <w:sz w:val="20"/>
          <w:szCs w:val="20"/>
        </w:rPr>
        <w:t>has been formed; that is, the business will be recognized as a corporation. The state then has the power to force the de facto corporation to correct the defect(s) so that a de jure corporation will be created.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three traditional conditions are the following: (1) a statute must exist under which the corporation could have been validly incorporated, (2) the promoters must have made a bona fide attempt to comply with the statute, and (3) corporate powers must have been used or exercised.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frequent cause of defective incorporation is the promoters’ failure to file the articles of incorporation in the appropriate public office. The states are split on whether a de facto corporation results if every other legal requirement is met.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Corporation by Estoppel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incorporators omit important steps, it is still possible for a court, under estoppel principles, to treat the business as a corporation. Assume that Bob, Carol, and Ted have sought to incorporate the BCT Bookstore, Inc., but have failed to file the articles of incorporation. At the initial directors’ meeting, Carol turns over to the corporation a deed to her property. A month later, Bob discovers the omission and hurriedly submits the articles of incorporation to the appropriate public office. Carol decides she wants her land back. It is clear that the corporation was not de jure at the time she surrendered her deed, and it was probably not de facto either. Can she recover the land? Under equitable principles, the answer is no. She is estopped from denying the existence of the corporation, because it would be inequitable to permit one who has conducted herself as though there were a corporation to deny its existence in order to defeat a contract into which she willingly entered. As</w:t>
      </w:r>
      <w:r>
        <w:rPr>
          <w:rStyle w:val="apple-converted-space"/>
          <w:rFonts w:ascii="Georgia" w:hAnsi="Georgia" w:cs="Calibri"/>
          <w:color w:val="333333"/>
          <w:sz w:val="20"/>
          <w:szCs w:val="20"/>
        </w:rPr>
        <w:t> </w:t>
      </w:r>
      <w:r>
        <w:rPr>
          <w:rStyle w:val="Emphasis"/>
          <w:rFonts w:ascii="Georgia" w:hAnsi="Georgia" w:cs="Calibri"/>
          <w:color w:val="333333"/>
          <w:sz w:val="20"/>
          <w:szCs w:val="20"/>
        </w:rPr>
        <w:t>Cranson v. International Business Machines Corp</w:t>
      </w:r>
      <w:r>
        <w:rPr>
          <w:rFonts w:ascii="Georgia" w:hAnsi="Georgia" w:cs="Calibri"/>
          <w:color w:val="333333"/>
          <w:sz w:val="20"/>
          <w:szCs w:val="20"/>
        </w:rPr>
        <w:t>. indicates (</w:t>
      </w:r>
      <w:r>
        <w:rPr>
          <w:rFonts w:ascii="Georgia" w:hAnsi="Georgia" w:cs="Calibri"/>
          <w:color w:val="2689C6"/>
          <w:sz w:val="20"/>
          <w:szCs w:val="20"/>
        </w:rPr>
        <w:t>Section 25.7.4 "De Jure and De Facto Corporations"</w:t>
      </w:r>
      <w:r>
        <w:rPr>
          <w:rFonts w:ascii="Georgia" w:hAnsi="Georgia" w:cs="Calibri"/>
          <w:color w:val="333333"/>
          <w:sz w:val="20"/>
          <w:szCs w:val="20"/>
        </w:rPr>
        <w:t>), the doctrine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corporation by estoppel</w:t>
      </w:r>
      <w:r>
        <w:rPr>
          <w:rStyle w:val="apple-converted-space"/>
          <w:rFonts w:ascii="Georgia" w:hAnsi="Georgia" w:cs="Calibri"/>
          <w:color w:val="333333"/>
          <w:sz w:val="20"/>
          <w:szCs w:val="20"/>
        </w:rPr>
        <w:t> </w:t>
      </w:r>
      <w:r>
        <w:rPr>
          <w:rFonts w:ascii="Georgia" w:hAnsi="Georgia" w:cs="Calibri"/>
          <w:color w:val="333333"/>
          <w:sz w:val="20"/>
          <w:szCs w:val="20"/>
        </w:rPr>
        <w:t>can also be used by the corporation against one of its creditors.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A court will find that a corporation might exist under fact (de facto), and not under law (de jure) if the following conditions are met: (1) a statute exists under which the corporation could have been validly incorporated, (2) the promoters must have made a bona fide attempt to comply with the statute, and (3) corporate powers must have been used or exercised. A de facto corporation may also be found when a promoter fails to file the articles of incorporation. In the alternative, the court may look to estoppel principles to find a corporation.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of the formal prerequisites to forming a de jure corporation?</w:t>
      </w:r>
    </w:p>
    <w:p w:rsidR="00A86150" w:rsidRDefault="00F714D4">
      <w:pPr>
        <w:numPr>
          <w:ilvl w:val="0"/>
          <w:numId w:val="6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states in agreement over what represents a de facto corporation if a promoter fails to file the articles of incorporation?</w:t>
      </w:r>
    </w:p>
    <w:p w:rsidR="00A86150" w:rsidRDefault="00F714D4">
      <w:pPr>
        <w:numPr>
          <w:ilvl w:val="0"/>
          <w:numId w:val="6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corporation by estoppel?</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25.7</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Limiting a Corporation’s First Amendment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National Bank of Boston v. Bellotti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435 U.S. 765 (1978)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POWELL delivered the opinion of the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sustaining a state criminal statute that forbids certain expenditures by banks and business corporations for the purpose of influencing the vote on referendum proposals, the Massachusetts Supreme Judicial Court held that the First Amendment rights of a corporation are limited to issues that materially affect its business, property, or assets. The court rejected appellants’ claim that the statute abridges freedom of speech in violation of the First and Fourteenth Amendments. The issue presented in this context is one of first impression in this Court. We postponed the question of jurisdiction to our consideration of the merits. We now reverse.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at issue, Mass. Gen. Laws Ann., Ch. 55, § 8 (West Supp. 1977), prohibits appellants, two national banking associations and three business corporations, from making contributions or expenditures “for the purpose of…influencing or affecting the vote on any question submitted to the voters, other than one materially affecting any of the property, business or assets of the corporation.” The statute further specifies that “[no] question submitted to the voters solely concerning the taxation of the income, property or transactions of individuals shall be deemed materially to affect the property, business or assets of the corporation.” A corporation that violates § 8 may receive a maximum fine of $50,000; a corporate officer, director, or agent who violates the section may receive a maximum fine of $10,000 or imprisonment for up to one year, or both. Appellants wanted to spend money to publicize their views on a proposed constitutional amendment that was to be submitted to the voters as a ballot question at a general election on November 2, 1976. The amendment would have permitted the legislature to impose a graduated tax on the income of individuals. After appellee, the Attorney General of Massachusetts, informed appellants that he intended to enforce § 8 against them, they brought this action seeking to have the statute declared unconstitutional.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below framed the principal question in this case as whether and to what extent corporations have First Amendment rights. We believe that the court posed the wrong question. The Constitution often protects interests broader than those of the party seeking their vindication. The First Amendment, in particular, serves significant societal interests. The proper question therefore is not whether corporations “have” First Amendment rights and, if so, whether they are coextensive with those of natural persons. Instead, the question must be whether § 8 abridges expression that the First Amendment was meant to protect. We hold that it does. The speech proposed by appellants is at the heart of the First Amendment’s protection.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freedom of speech and of the press guaranteed by the Constitution embraces at the least the liberty to discuss publicly and truthfully all matters of public concern without previous restraint or fear of subsequent punishment. Freedom of discussion, if it would fulfill its historic function in this nation, must embrace all issues about which information is needed or appropriate to enable the members of society to cope with the exigencies of their period.</w:t>
      </w:r>
      <w:r>
        <w:rPr>
          <w:rStyle w:val="apple-converted-space"/>
          <w:rFonts w:ascii="Georgia" w:hAnsi="Georgia" w:cs="Calibri"/>
          <w:color w:val="333333"/>
          <w:sz w:val="20"/>
          <w:szCs w:val="20"/>
        </w:rPr>
        <w:t> </w:t>
      </w:r>
      <w:r>
        <w:rPr>
          <w:rStyle w:val="Emphasis"/>
          <w:rFonts w:ascii="Georgia" w:hAnsi="Georgia" w:cs="Calibri"/>
          <w:color w:val="333333"/>
          <w:sz w:val="20"/>
          <w:szCs w:val="20"/>
        </w:rPr>
        <w:t>Thornhill v. Alabama</w:t>
      </w:r>
      <w:r>
        <w:rPr>
          <w:rFonts w:ascii="Georgia" w:hAnsi="Georgia" w:cs="Calibri"/>
          <w:color w:val="333333"/>
          <w:sz w:val="20"/>
          <w:szCs w:val="20"/>
        </w:rPr>
        <w:t>, 310 U.S. 88, 101-102 (1940).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referendum issue that appellants wish to address falls squarely within this description. In appellants’ view, the enactment of a graduated personal income tax, as proposed to be authorized by constitutional amendment, would have a seriously adverse effect on the economy of the State. The importance of the referendum issue to the people and government of Massachusetts is not disputed. Its merits, however, are the subject of sharp disagreement.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thus find no support in the First or Fourteenth Amendment, or in the decisions of this Court, for the proposition that speech that otherwise would be within the protection of the First Amendment loses that protection simply because its source is a corporation that cannot prove, to the satisfaction of a court, a material effect on its business or property. The “materially affecting” requirement is not an identification of the boundaries of corporate speech etched by the Constitution itself. Rather, it amounts to an impermissible legislative prohibition of speech based on the identity of the interests that spokesmen may represent in public debate over controversial issues and a requirement that the speaker have a sufficiently great interest in the subject to justify communication.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8 permits a corporation to communicate to the public its views on certain referendum subjects—those materially affecting its business—but not others. It also singles out one kind of ballot question—individual taxation as a subject about which corporations may never make their ideas public. The legislature has drawn the line between permissible and impermissible speech according to whether there is a sufficient nexus, as defined by the legislature, between the issue presented to the voters and the business interests of the speaker.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realm of protected speech, the legislature is constitutionally disqualified from dictating the subjects about which persons may speak and the speakers who may address a public issue. If a legislature may direct business corporations to “stick to business,” it also may limit other corporations—religious, charitable, or civic—to their respective “business” when addressing the public. Such power in government to channel the expression of views is unacceptable under the First Amendment. Especially where, as here, the legislature’s suppression of speech suggests an attempt to give one side of a debatable public question an advantage in expressing its views to the people, the First Amendment is plainly offended.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that portion of § 8 challenged by appellants prohibits protected speech in a manner unjustified by a compelling state interest, it must be invalidated. The judgment of the Supreme Judicial Court is reversed.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court, does § 8 abridge a freedom that the First Amendment is intended to protect? If so, which freedom(s)?</w:t>
      </w:r>
    </w:p>
    <w:p w:rsidR="00A86150" w:rsidRDefault="00F714D4">
      <w:pPr>
        <w:numPr>
          <w:ilvl w:val="0"/>
          <w:numId w:val="6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Must a corporation prove a material effect on its business or property to maintain protection under the First Amendment?</w:t>
      </w:r>
    </w:p>
    <w:p w:rsidR="00A86150" w:rsidRDefault="00F714D4">
      <w:pPr>
        <w:numPr>
          <w:ilvl w:val="0"/>
          <w:numId w:val="6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state legislature dictate the subjects on which a corporation may “speak”?</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Piercing the Corporate Veil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United States v. Bestfoods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113 F.3d 572 (1998)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SOUTER,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United States brought this action under §107(a)(2) of the Comprehensive Environmental Response, Compensation, and Liability Act of 1980 (CERCLA) against, among others, respondent CPC International, Inc., the parent corporation of the defunct Ott Chemical Co. (Ott II), for the costs of cleaning up industrial waste generated by Ott II’s chemical plant. Section 107(a)(2) authorizes suits against, among others, “any person who at the time of disposal of any hazardous substance owned or operated any facility.” The trial focused on whether CPC, as a parent corporation, had “owned or operated” Ott II’s plant within the meaning of §107(a)(2). The District Court said that operator liability may attach to a parent corporation both indirectly, when the corporate veil can be pierced under state law, and directly, when the parent has exerted power or influence over its subsidiary by actively participating in, and exercising control over, the subsidiary’s business during a period of hazardous waste disposal. Applying that test, the court held CPC liable because CPC had selected Ott II’s board of directors and populated its executive ranks with CPC officials, and another CPC official had played a significant role in shaping Ott II’s environmental compliance policy.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Circuit reversed. Although recognizing that a parent company might be held directly liable under §107(a)(2) if it actually operated its subsidiary’s facility in the stead of the subsidiary, or alongside of it as a joint venturer, that court refused to go further. Rejecting the District Court’s analysis, the Sixth Circuit explained that a parent corporation’s liability for operating a facility ostensibly operated by its subsidiary depends on whether the degree to which the parent controls the subsidiary and the extent and manner of its involvement with the facility amount to the abuse of the corporate form that will warrant piercing the corporate veil and disregarding the separate corporate entities of the parent and subsidiary. Applying Michigan veil-piercing law, the court decided that CPC was not liable for controlling Ott II’s actions, since the two corporations maintained separate personalities and CPC did not utilize the subsidiary form to perpetrate fraud or subvert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When (but only when) the corporate veil may be pierced, a parent corporation may be charged with derivative CERCLA liability for its subsidiary’s actions in operating a polluting facility. It is a general principle of corporate law that a parent corporation (so-called because of control through ownership of another corporation’s stock) is not liable for the acts of its subsidiaries. CERCLA does not purport to reject this bedrock principle, and the Government has indeed made no claim that a corporate parent is liable as an owner or an operator under §107(a)(2) simply because its subsidiary owns or operates a polluting facility. But there is an equally fundamental principle of corporate law, applicable to the parent-subsidiary relationship as well as generally, that the corporate veil may be pierced and the shareholder held liable for the corporation’s conduct when,</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Fonts w:ascii="Georgia" w:hAnsi="Georgia" w:cs="Calibri"/>
          <w:color w:val="333333"/>
          <w:sz w:val="20"/>
          <w:szCs w:val="20"/>
        </w:rPr>
        <w:t>, the corporate form would otherwise be misused to accomplish certain wrongful purposes, most notably fraud, on the shareholder’s behalf. CERCLA does not purport to rewrite this well-settled rule, either, and against this venerable common-law backdrop, the congressional silence is audible. Cf.</w:t>
      </w:r>
      <w:r>
        <w:rPr>
          <w:rStyle w:val="apple-converted-space"/>
          <w:rFonts w:ascii="Georgia" w:hAnsi="Georgia" w:cs="Calibri"/>
          <w:color w:val="333333"/>
          <w:sz w:val="20"/>
          <w:szCs w:val="20"/>
        </w:rPr>
        <w:t> </w:t>
      </w:r>
      <w:r>
        <w:rPr>
          <w:rStyle w:val="Emphasis"/>
          <w:rFonts w:ascii="Georgia" w:hAnsi="Georgia" w:cs="Calibri"/>
          <w:color w:val="333333"/>
          <w:sz w:val="20"/>
          <w:szCs w:val="20"/>
        </w:rPr>
        <w:t>Edmonds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Compagnie Generale Transatlantique</w:t>
      </w:r>
      <w:r>
        <w:rPr>
          <w:rFonts w:ascii="Georgia" w:hAnsi="Georgia" w:cs="Calibri"/>
          <w:color w:val="333333"/>
          <w:sz w:val="20"/>
          <w:szCs w:val="20"/>
        </w:rPr>
        <w:t>, 443 U.S. 256, 266-267. CERCLA’s failure to speak to a matter as fundamental as the liability implications of corporate ownership demands application of the rule that, to abrogate a common-law principle, a statute must speak directly to the question addressed by the common law.</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Texas</w:t>
      </w:r>
      <w:r>
        <w:rPr>
          <w:rFonts w:ascii="Georgia" w:hAnsi="Georgia" w:cs="Calibri"/>
          <w:color w:val="333333"/>
          <w:sz w:val="20"/>
          <w:szCs w:val="20"/>
        </w:rPr>
        <w:t>, 507 U.S. 529, 534.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A corporate parent that actively participated in, and exercised control over, the operations of its subsidiary’s facility may be held directly liable in its own right under §107(a)(2) as an operator of the facility.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Derivative liability aside, CERCLA does not bar a parent corporation from direct liability for its own actions. Under the plain language of §107(a)(2), any person who operates a polluting facility is directly liable for the costs of cleaning up the pollution, and this is so even if that person is the parent corporation of the facility’s owner. Because the statute does not define the term “operate,” however, it is difficult to define actions sufficient to constitute direct parental “operation.” In the organizational sense obviously intended by CERCLA, to “operate” a facility ordinarily means to direct the workings of, manage, or conduct the affairs of the facility. To sharpen the definition for purposes of CERCLA’s concern with environmental contamination, an operator must manage, direct, or conduct operations specifically related to the leakage or disposal of hazardous waste, or decisions about compliance with environmental regulations.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Sixth Circuit correctly rejected the direct liability analysis of the District Court, which mistakenly focused on the relationship between parent and subsidiary, and premised liability on little more than CPC’s ownership of Ott II and its majority control over Ott II’s board of directors. Because direct liability for the parent’s operation of the facility must be kept distinct from derivative liability for the subsidiary’s operation of the facility, the analysis should instead have focused on the relationship between CPC and the facility itself,</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on whether CPC “operated” the facility, as evidenced by its direct participation in the facility’s activities. That error was compounded by the District Court’s erroneous assumption that actions of the joint officers and directors were necessarily attributable to CPC, rather than Ott II, contrary to time-honored common-law principles. The District Court’s focus on the relationship between parent and subsidiary (rather than parent and facility), combined with its automatic attribution of the actions of dual officers and directors to CPC, erroneously, even if unintentionally, treated CERCLA as though it displaced or fundamentally altered common-law standards of limited liability. The District Court’s analysis created what is in essence a relaxed, CERCLA-specific rule of derivative liability that would banish traditional standards and expectations from the law of CERCLA liability. Such a rule does not arise from congressional silence, and CERCLA’s silence is dispositive.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 Nonetheless, the Sixth Circuit erred in limiting direct liability under CERCLA to a parent’s sole or joint venture operation, so as to eliminate any possible finding that CPC is liable as an operator on the facts of this case. The ordinary meaning of the word “operate” in the organizational sense is not limited to those two parental actions, but extends also to situations in which,</w:t>
      </w:r>
      <w:r>
        <w:rPr>
          <w:rStyle w:val="apple-converted-space"/>
          <w:rFonts w:ascii="Georgia" w:hAnsi="Georgia" w:cs="Calibri"/>
          <w:color w:val="333333"/>
          <w:sz w:val="20"/>
          <w:szCs w:val="20"/>
        </w:rPr>
        <w:t> </w:t>
      </w:r>
      <w:r>
        <w:rPr>
          <w:rStyle w:val="Emphasis"/>
          <w:rFonts w:ascii="Georgia" w:hAnsi="Georgia" w:cs="Calibri"/>
          <w:color w:val="333333"/>
          <w:sz w:val="20"/>
          <w:szCs w:val="20"/>
        </w:rPr>
        <w:t>e.g.,</w:t>
      </w:r>
      <w:r>
        <w:rPr>
          <w:rStyle w:val="apple-converted-space"/>
          <w:rFonts w:ascii="Georgia" w:hAnsi="Georgia" w:cs="Calibri"/>
          <w:color w:val="333333"/>
          <w:sz w:val="20"/>
          <w:szCs w:val="20"/>
        </w:rPr>
        <w:t> </w:t>
      </w:r>
      <w:r>
        <w:rPr>
          <w:rFonts w:ascii="Georgia" w:hAnsi="Georgia" w:cs="Calibri"/>
          <w:color w:val="333333"/>
          <w:sz w:val="20"/>
          <w:szCs w:val="20"/>
        </w:rPr>
        <w:t>joint officers or directors conduct the affairs of the facility on behalf of the parent, or agents of the parent with no position in the subsidiary manage or direct activities at the subsidiary’s facility. Norms of corporate behavior (undisturbed by any CERCLA provision) are crucial reference points, both for determining whether a dual officer or director has served the parent in conducting operations at the facility, and for distinguishing a parental officer’s oversight of a subsidiary from his control over the operation of the subsidiary’s facility. There is, in fact, some evidence that an agent of CPC alone engaged in activities at Ott II’s plant that were eccentric under accepted norms of parental oversight of a subsidiary’s facility: The District Court’s opinion speaks of such an agent who played a conspicuous part in dealing with the toxic risks emanating from the plant’s operation. The findings in this regard are enough to raise an issue of CPC’s operation of the facility, though this Court draws no ultimate conclusion, leaving the issue for the lower courts to reevaluate and resolve in the first instance.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113 F.3d 572, vacated and remanded.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what ways can operator liability attach to a parent corporation? How did the Sixth Circuit Court disagree with the district court’s analysis?</w:t>
      </w:r>
    </w:p>
    <w:p w:rsidR="00A86150" w:rsidRDefault="00F714D4">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direct liability for a parent company’s operation of the facility distinct from derivative liability for the subsidiary’s operation of the facility? Should the focus be on parent and subsidiary or on parent and facility?</w:t>
      </w:r>
    </w:p>
    <w:p w:rsidR="00A86150" w:rsidRDefault="00F714D4">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norms of corporate behavior does the court look to in determining whether an officer or a director is involved in the operation of a facility?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Corporate Promoter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RKO-Stanley Warner Theatres, Inc. v. Graziano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355 A.2d. 830 (1976)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EAGEN,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30, 1970, RKO-Stanley Warner Theatres, Inc. [RKO], as seller, entered into an agreement of sale with Jack Jenofsky and Ralph Graziano, as purchasers. This agreement contemplated the sale of the Kent Theatre, a parcel of improved commercial real estate located at Cumberland and Kensington Avenues in Philadelphia, for a total purchase price of $70,000. Settlement was originally scheduled for September 30, 1970, and, at the request of Jenofsky and Graziano, continued twice, first to October 16, 1970, and then to October 21, 1970. However, Jenofsky and Graziano failed to complete settlement on the last scheduled date.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Subsequently, on November 13, 1970, RKO filed a complaint in equity seeking judicial enforcement of the agreement of sale. Although Jenofsky, in his answer to the complaint, denied personal liability for the performance of the agreement, the chancellor, after a hearing, entered a decree nisi granting the requested relief sought by RKO.…This appeal ensued.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execution of this agreement, Jenofsky and Graziano were engaged in promoting the formation of a corporation to be known as Kent Enterprises, Inc. Reflecting these efforts, Paragraph 19 of the agreement, added by counsel for Jenofsky and Graziano, recited: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understood by the parties hereto that it is the intention of the Purchaser to incorporate. Upon condition that such incorporation be completed by closing, all agreements, covenants, and warranties contained herein shall be construed to have been made between Seller and the resultant corporation and all documents shall reflect same.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fact, Jenofsky and Graziano did file Articles of Incorporation for Kent Enterprises, Inc., with the State Corporation Bureau on October 9, 1971, twelve days prior to the scheduled settlement date. Jenofsky now contends the inclusion of Paragraph 19 in the agreement and the subsequent filing of incorporation papers, released him from any personal liability resulting from the non-performance of the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legal relationship of Jenofsky to Kent Enterprises, Inc., at the date of the execution of the agreement of sale was that of promoter. As such, he is subject to the general rule that a promoter, although he may assume to act on behalf of a projected corporation and not for himself, will be held personally liable on contracts made by him for the benefit of a corporation he intends to organize. This personal liability will continue even after the contemplated corporation is formed and has received the benefits of the contract, unless there is a novation or other agreement to release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imposition of personal liability upon a promoter where that promoter has contracted on behalf of a corporation is based upon the principle that one who assumes to act for a nonexistent principal is himself liable on the contract in the absence of an agreement to the contrary.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possible understandings that parties may have when an agreement is executed by a promoter on behalf of a proposed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party is acting for a proposed corporation, he cannot, of course, bind it by anything he does, at the time, but he may (1) take on its behalf an offer from the other which, being accepted after the formation of the company, becomes a contract; (2) make a contract at the time binding himself, with the stipulation or understanding, that if a company is formed it will take his place and that then he shall be relieved of responsibility; or (3) bind himself personally without more and look to the proposed company, when formed, for indemnity.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RKO and Jenofsky concede the applicability of alternative No. 2 to the instant case. That is, they both recognize that Jenofsky (and Graziano) was to be initially personally responsible with this personal responsibility subsequently being released. Jenofsky contends the parties, by their inclusion of Paragraph 19 in the agreement, manifested an intention to release him from personal responsibility upon the mere formation of the proposed corporation, provided the incorporation was consummated prior to the scheduled closing date. However, while Paragraph 19 does make provision for recognition of the resultant corporation as to the closing documents, it makes no mention of any release of personal liability. Indeed, the entire agreement is silent as to the effect the formation of the projected corporation would have upon the personal liability of Jenofsky and Graziano. Because the agreement fails to provide expressly for the release of personal liability, it is, therefore, subject to more than one possible construction.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Consolidated Tile and Slate Co. v. Fox</w:t>
      </w:r>
      <w:r>
        <w:rPr>
          <w:rFonts w:ascii="Georgia" w:hAnsi="Georgia" w:cs="Calibri"/>
          <w:color w:val="333333"/>
          <w:sz w:val="20"/>
          <w:szCs w:val="20"/>
        </w:rPr>
        <w:t>, 410 Pa. 336,339,189 A.2d 228, 229 (1963), we stated that where an agreement is ambiguous and reasonably susceptible of two interpretations, “it must be construed most strongly against those who drew it.”…Instantly, the chancellor determined that the intent of the parties to the agreement was to hold Jenofsky personally responsible until such time as a corporate entity was formed and until such time as that corporate entity adopted the agreement. We believe this construction represents the only rational and prudent interpretation of the parties’ intent.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found by the court below, this agreement was entered into on the financial strength of Jenofsky and Graziano, alone as individuals. Therefore, it would have been illogical for RKO to have consented to the release of their personal liability upon the mere formation of a resultant corporation prior to closing. For it is a well-settled rule that a contract made by a promoter, even though made for and in the name of a proposed corporation, in the absence of a subsequent adoption (either expressly or impliedly) by the corporation, will not be binding upon the corporation. If, as Jenofsky contends, the intent was to release personal responsibility upon the mere incorporation prior to closing, the effect of the agreement would have been to create the possibility that RKO, in the event of non-performance, would be able to hold no party accountable: there being no guarantee that the resultant corporation would ratify the agreement. Without express language in the agreement indicating that such was the intention of the parties, we may not attribute this intention to them.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we hold that the intent of the parties in entering into this agreement was to have Jenofsky and Graziano personally liable until such time as the intended corporation was formed and ratified the agreement. [And there is no evidence that Kent Enterprises ratified the agreement. The decree is affirmed.]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a promoter’s personal liability continue even after the corporation is formed? Can he or she look to the corporation for indemnity after the corporation is formed?</w:t>
      </w:r>
    </w:p>
    <w:p w:rsidR="00A86150" w:rsidRDefault="00F714D4">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what instance(s) is a contract made by a promoter not binding on a corporation?</w:t>
      </w:r>
    </w:p>
    <w:p w:rsidR="00A86150" w:rsidRDefault="00F714D4">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whose favor does a court construe an ambiguous agreement?</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 Jure and De Facto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Cranson v. International Business Machines Corp.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234 Md. 477, 200 A.2d 33 (1964)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HORNEY,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theory that the Real Estate Service Bureau was neither a</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nor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and that Albion C. Cranson, Jr., was a partner in the business conducted by the Bureau and as such was personally liable for its debts, the International Business Machines Corporation brought this action against Cranson for the balance due on electric typewriters purchased by the Bureau. At the same time it moved for summary judgment and supported the motion by affidavit. In due course, Cranson filed a general issue plea and an affidavit in opposition to summary judgment in which he asserted in effect that the Bureau was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and that he was not personally liable for its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agreed statement of facts shows that in April 1961, Cranson was asked to invest in a new business corporation which was about to be created. Towards this purpose he met with other interested individuals and an attorney and agreed to purchase stock and become an officer and director. Thereafter, upon being advised by the attorney that the corporation had been formed under the laws of Maryland, he paid for and received a stock certificate evidencing ownership of shares in the corporation, and was shown the corporate seal and minute book. The business of the new venture was conducted as if it were a corporation, through corporate bank accounts, with auditors maintaining corporate books and records, and under a lease entered into by the corporation for the office from which it operated its business. Cranson was elected president and all transactions conducted by him for the corporation, including the dealings with I.B.M., were made as an officer of the corporation. At no time did he assume any personal obligation or pledge his individual credit to I.B.M. Due to an oversight on the part of the attorney, of which Cranson was not aware, the certificate of incorporation, which had been signed and acknowledged prior to May 1, 1961, was not filed until November 24, 1961. Between May 17 and November 8, the Bureau purchased eight typewriters from I.B.M., on account of which partial payments were made, leaving a balance due of $4,333.40, for which this suit was brought.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question is raised as to the propriety of making use of a motion for summary judgment as the means of determining the issues presented by the pleadings, we think the motion was appropriate. Since there was no genuine dispute as to the material facts, the only question was whether I.B.M. was entitled to judgment as a matter of law. The trial court found that it was, but we disagree.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fundamental question presented by the appeal is whether an officer of a defectively incorporated association may be subjected to personal liability under the circumstances of this case. We think not.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Traditionally, two doctrines have been used by the courts to clothe an officer of a defectively incorporated association with the corporate attribute of limited liability. The first, often referred to as the doctrine of</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corporations, has been applied in those cases where there are elements showing: (1) the existence of law authorizing incorporation; (2) an effort in good faith to incorporate under the existing law; and (3) actual use or exercise of corporate powers. The second, the doctrine of estoppel to deny the corporate existence, is generally employed where the person seeking to hold the officer personally liable has contracted or otherwise dealt with the association in such a manner as to recognize and in effect admit its existence as a corporate body.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as we see it, a wide difference between creating a corporation by means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doctrine and estopping a party, due to his conduct in a particular case, from setting up the claim of no incorporation. Although some cases tend to assimilate the doctrines of incorporation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and by estoppel, each is a distinct theory and they are not dependent on one another in their application. Where there is a concurrence of the three elements necessary for the application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doctrine, there exists an entity which is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against all persons but the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the estoppel theory is applied only to the facts of each particular case and may be invoked even where there is no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 Accordingly, even though one or more of the requisites of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corporation are absent, we think that this factor does not preclude the application of the estoppel doctrine in a proper case, such as the one at bar.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I.B.M. contends that the failure of the Bureau to file its certificate of incorporation debarred</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corporate existence. But, in spite of the fact that the omission might have prevented the Bureau from being either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 Jones v. Linden Building Ass’n, we think that I.B.M. having dealt with the Bureau as if it were a corporation and relied on its credit rather than that of Cranson, is estopped to assert that the Bureau was not incorporated at the time the typewriters were purchased. In 1 Clark and Marshall, Private Corporations, § 89, it is stated: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in relation to estoppel is based upon the ground that it would generally be inequitable to permit the corporate existence of an association to be denied by persons who have represented it to be a corporation, or held it out as a corporation, or by any persons who have recognized it as a corporation by dealing with it as such; and by the overwhelming weight of authority, therefore, a person may be estopped to deny the legal incorporation of an association which is not even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cases similar to the one at bar, involving a failure to file articles of incorporation, the courts of other jurisdictions have held that where one has recognized the corporate existence of an association, he is estopped to assert the contrary with respect to a claim arising out of such dealings.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I.B.M. is estopped to deny the corporate existence of the Bureau, we hold that Cranson was not liable for the balance due on account of the typewriters.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the appellee to pay the costs.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fundamental question presented by the case?</w:t>
      </w:r>
    </w:p>
    <w:p w:rsidR="00A86150" w:rsidRDefault="00F714D4">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differences between creating a corporation de facto and by estoppel?</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25.8</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hallmark of the corporate form of business enterprise is limited liability for its owners. Other features of corporations are separation of ownership and management, perpetual existence, and easy transferability of interests. In the early years of the common law, corporations were thought to be creatures of sovereign power and could be created only by state grant. But by the late nineteenth century, corporations could be formed by complying with the requirements of general corporation statutes in virtually every state. Today the standard is the Revised Model Business Corporation Act.</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as a legal entity, has many of the usual rights accorded natural persons. The principle of limited liability is broad but not absolute: when the corporation is used to commit a fraud or an injustice or when the corporation does not act as if it were one, the courts will pierce the corporate veil and pin liability on stockholders.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the usual business corporation, there are other forms, including not-for-profit corporations and professional corporations. Business corporations are classified into two types: publicly held and closely held corporations.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form a corporation, the would-be stockholders must choose the state in which they wish to incorporate. The goal of the incorporation process is issuance of a corporate charter. The charter is a contract between the state and the corporation. Although the Constitution prohibits states from impairing the obligation of contracts, states reserve the right to modify corporate charters.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is created by the incorporators (or promoters), who raise capital, enter into contracts on behalf of the corporation to be formed, and prepare the articles of incorporation. The promoters are personally liable on the contracts they enter into before the corporation is formed. Incorporators owe a fiduciary duty to each other, to investors, and to the corporation.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articles of incorporation typically contain a number of features, including the corporate name, corporate purposes, total number of shares and classes into which they are divided, par value, and the like. The name must include one of the following words (or abbreviations): corporation, company, incorporated, or limited (Corp., Co., Inc., or Ltd.). The articles of incorporation must be filed with the secretary of state. Once they have been filed, the board of directors named in the articles must adopt bylaws, elect officers, and conduct other necessary business. The directors are empowered to alter the bylaws, subject to repeal or change by the shareholders.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formal prerequisites to incorporation are lacking, a de facto corporation will be held to have been formed if (1) a statute exists under which the corporation could have been validly incorporated, (2) the promoters made a bona fide attempt to comply with the statute, and (3) a corporate privilege was exercised. Under appropriate circumstances, a corporation will be held to exist by estoppel.</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Two young business school graduates, Laverne and Shirley, form a consulting firm. In deciding between the partnership and corporation form of organization, they are especially concerned about personal liability for giving bad advice to their clients; that is, in the event they are sued, they want to prevent plaintiffs from taking their personal assets to satisfy judgments against the firm. Which form of organization would you recommend? Why?</w:t>
      </w:r>
    </w:p>
    <w:p w:rsidR="00A86150" w:rsidRDefault="00F714D4">
      <w:pPr>
        <w:numPr>
          <w:ilvl w:val="0"/>
          <w:numId w:val="625"/>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in Exercise 1 must negotiate a large loan from a local bank in order to finance their firm. A friend advises them that they should incorporate in order to avoid personal liability for the loan. Is this good advice? Why?</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decide to form a corporation. Before the incorporation process is complete, Laverne enters into a contract on behalf of the corporation to purchase office furniture and equipment for $20,000. After the incorporation process has been completed, the corporation formally accepts the contract made by Laverne. Is Laverne personally liable on the contract before corporate acceptance? After corporate acceptance? Why?</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have incorporated their business. One afternoon, an old college friend visits Shirley at the office. Shirley and her friend decide to go out for dinner to discuss old times. Shirley, being short of cash, takes money from a petty cash box to pay for dinner. (She first obtains permission from Laverne, who has done the same thing many times in the past.) Over dinner, Shirley learns that her friend is now an IRS agent and is investigating Shirley’s corporation. What problems does Shirley face in the investigation? Why?</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prepare articles of incorporation but forget to send the articles to the appropriate state office. A few months after they begin to operate their consulting business as a corporation, Laverne visits a client. After her meeting, in driving out of a parking lot, Laverne inadvertently backs her car over the client, causing serious bodily harm. Is Shirley liable for the accident? Why?</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Ralph, a resident of Oklahoma, was injured when using a consumer product manufactured by a corporation whose principal offices were in Tulsa. Since his damages exceeded $10,000, he filed a products-liability action against the company, which was incorporated in Delaware, in federal court. Does the federal court have jurisdiction? Why?</w:t>
      </w:r>
    </w:p>
    <w:p w:rsidR="00A86150" w:rsidRDefault="00F714D4">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is the president and only shareholder of a corporation. The IRS is investigating Alice and demands that she produce her corporate records. Alice refuses, pleading the Fifth Amendment privilege against self-incrimination. May the IRS force Alice to turn over her corporate records? Why?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62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comparing partnerships with corporations, the major factor favoring the corporate form is</w:t>
      </w:r>
    </w:p>
    <w:p w:rsidR="00A86150" w:rsidRDefault="00F714D4">
      <w:pPr>
        <w:pStyle w:val="ListParagraph"/>
        <w:numPr>
          <w:ilvl w:val="0"/>
          <w:numId w:val="6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ease of formation</w:t>
      </w:r>
    </w:p>
    <w:p w:rsidR="00A86150" w:rsidRDefault="00F714D4">
      <w:pPr>
        <w:pStyle w:val="ListParagraph"/>
        <w:numPr>
          <w:ilvl w:val="0"/>
          <w:numId w:val="6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flexible financing</w:t>
      </w:r>
    </w:p>
    <w:p w:rsidR="00A86150" w:rsidRDefault="00F714D4">
      <w:pPr>
        <w:pStyle w:val="ListParagraph"/>
        <w:numPr>
          <w:ilvl w:val="0"/>
          <w:numId w:val="6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limited liability</w:t>
      </w:r>
    </w:p>
    <w:p w:rsidR="00A86150" w:rsidRDefault="00F714D4">
      <w:pPr>
        <w:pStyle w:val="ListParagraph"/>
        <w:numPr>
          <w:ilvl w:val="0"/>
          <w:numId w:val="6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control of the business by investors</w:t>
      </w:r>
    </w:p>
    <w:p w:rsidR="00A86150" w:rsidRDefault="00F714D4">
      <w:pPr>
        <w:pStyle w:val="para"/>
        <w:numPr>
          <w:ilvl w:val="0"/>
          <w:numId w:val="6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with no part of its income distributable to its members, directors, or officers is called</w:t>
      </w:r>
    </w:p>
    <w:p w:rsidR="00A86150" w:rsidRDefault="00F714D4">
      <w:pPr>
        <w:pStyle w:val="ListParagraph"/>
        <w:numPr>
          <w:ilvl w:val="0"/>
          <w:numId w:val="6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publicly held corporation</w:t>
      </w:r>
    </w:p>
    <w:p w:rsidR="00A86150" w:rsidRDefault="00F714D4">
      <w:pPr>
        <w:pStyle w:val="ListParagraph"/>
        <w:numPr>
          <w:ilvl w:val="0"/>
          <w:numId w:val="6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closely held corporation</w:t>
      </w:r>
    </w:p>
    <w:p w:rsidR="00A86150" w:rsidRDefault="00F714D4">
      <w:pPr>
        <w:pStyle w:val="ListParagraph"/>
        <w:numPr>
          <w:ilvl w:val="0"/>
          <w:numId w:val="6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professional corporation</w:t>
      </w:r>
    </w:p>
    <w:p w:rsidR="00A86150" w:rsidRDefault="00F714D4">
      <w:pPr>
        <w:pStyle w:val="ListParagraph"/>
        <w:numPr>
          <w:ilvl w:val="0"/>
          <w:numId w:val="6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nonprofit corporation</w:t>
      </w:r>
    </w:p>
    <w:p w:rsidR="00A86150" w:rsidRDefault="00F714D4">
      <w:pPr>
        <w:pStyle w:val="para"/>
        <w:numPr>
          <w:ilvl w:val="0"/>
          <w:numId w:val="6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in which stock is widely held or available through a national or regional stock exchange is called</w:t>
      </w:r>
    </w:p>
    <w:p w:rsidR="00A86150" w:rsidRDefault="00F714D4">
      <w:pPr>
        <w:pStyle w:val="ListParagraph"/>
        <w:numPr>
          <w:ilvl w:val="0"/>
          <w:numId w:val="6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publicly held corporation</w:t>
      </w:r>
    </w:p>
    <w:p w:rsidR="00A86150" w:rsidRDefault="00F714D4">
      <w:pPr>
        <w:pStyle w:val="ListParagraph"/>
        <w:numPr>
          <w:ilvl w:val="0"/>
          <w:numId w:val="6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closely held corporation</w:t>
      </w:r>
    </w:p>
    <w:p w:rsidR="00A86150" w:rsidRDefault="00F714D4">
      <w:pPr>
        <w:pStyle w:val="ListParagraph"/>
        <w:numPr>
          <w:ilvl w:val="0"/>
          <w:numId w:val="6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public corporation</w:t>
      </w:r>
    </w:p>
    <w:p w:rsidR="00A86150" w:rsidRDefault="00F714D4">
      <w:pPr>
        <w:pStyle w:val="ListParagraph"/>
        <w:numPr>
          <w:ilvl w:val="0"/>
          <w:numId w:val="6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63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Essential to the formation of a de facto corporation is</w:t>
      </w:r>
    </w:p>
    <w:p w:rsidR="00A86150" w:rsidRDefault="00F714D4">
      <w:pPr>
        <w:pStyle w:val="ListParagraph"/>
        <w:numPr>
          <w:ilvl w:val="0"/>
          <w:numId w:val="6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statute under which the corporation could have been validly incorporated</w:t>
      </w:r>
    </w:p>
    <w:p w:rsidR="00A86150" w:rsidRDefault="00F714D4">
      <w:pPr>
        <w:pStyle w:val="ListParagraph"/>
        <w:numPr>
          <w:ilvl w:val="0"/>
          <w:numId w:val="6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promoters who make a bona fide attempt to comply with the corporation statute</w:t>
      </w:r>
    </w:p>
    <w:p w:rsidR="00A86150" w:rsidRDefault="00F714D4">
      <w:pPr>
        <w:pStyle w:val="ListParagraph"/>
        <w:numPr>
          <w:ilvl w:val="0"/>
          <w:numId w:val="6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use or exercise of corporate powers</w:t>
      </w:r>
    </w:p>
    <w:p w:rsidR="00A86150" w:rsidRDefault="00F714D4">
      <w:pPr>
        <w:pStyle w:val="ListParagraph"/>
        <w:numPr>
          <w:ilvl w:val="0"/>
          <w:numId w:val="6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each of the above</w:t>
      </w:r>
    </w:p>
    <w:p w:rsidR="00A86150" w:rsidRDefault="00F714D4">
      <w:pPr>
        <w:pStyle w:val="para"/>
        <w:numPr>
          <w:ilvl w:val="0"/>
          <w:numId w:val="6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Even when incorporators miss important steps, it is possible to create</w:t>
      </w:r>
    </w:p>
    <w:p w:rsidR="00A86150" w:rsidRDefault="00F714D4">
      <w:pPr>
        <w:pStyle w:val="ListParagraph"/>
        <w:numPr>
          <w:ilvl w:val="0"/>
          <w:numId w:val="6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corporation by estoppel</w:t>
      </w:r>
    </w:p>
    <w:p w:rsidR="00A86150" w:rsidRDefault="00F714D4">
      <w:pPr>
        <w:pStyle w:val="ListParagraph"/>
        <w:numPr>
          <w:ilvl w:val="0"/>
          <w:numId w:val="6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de jure corporation</w:t>
      </w:r>
    </w:p>
    <w:p w:rsidR="00A86150" w:rsidRDefault="00F714D4">
      <w:pPr>
        <w:pStyle w:val="ListParagraph"/>
        <w:numPr>
          <w:ilvl w:val="0"/>
          <w:numId w:val="6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S corporation</w:t>
      </w:r>
    </w:p>
    <w:p w:rsidR="00A86150" w:rsidRDefault="00F714D4">
      <w:pPr>
        <w:pStyle w:val="ListParagraph"/>
        <w:numPr>
          <w:ilvl w:val="0"/>
          <w:numId w:val="6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A86150">
      <w:pPr>
        <w:pStyle w:val="Heading3"/>
        <w:spacing w:before="0" w:beforeAutospacing="0" w:after="150" w:afterAutospacing="0" w:line="264" w:lineRule="atLeast"/>
        <w:jc w:val="center"/>
        <w:textAlignment w:val="baseline"/>
        <w:rPr>
          <w:rFonts w:ascii="Calibri" w:hAnsi="Calibri" w:cs="Calibri"/>
          <w:caps/>
          <w:color w:val="FFFFFF"/>
          <w:spacing w:val="30"/>
          <w:sz w:val="25"/>
          <w:szCs w:val="25"/>
        </w:rPr>
      </w:pP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26</w:t>
      </w:r>
    </w:p>
    <w:p w:rsidR="00A86150" w:rsidRDefault="0081777E">
      <w:pPr>
        <w:pStyle w:val="Heading1"/>
        <w:shd w:val="clear" w:color="auto" w:fill="FFFFFF"/>
        <w:spacing w:before="0" w:line="240" w:lineRule="atLeast"/>
        <w:jc w:val="center"/>
        <w:textAlignment w:val="baseline"/>
      </w:pPr>
      <w:r>
        <w:pict>
          <v:rect id="_x0000_i1132"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Legal Aspects of Corporate Finance</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general sources of corporate funds</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basics of corporate bonds and other debt leveraging</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What the various types of stocks are</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Initial public offerings and consideration for stock</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What dividends are</w:t>
      </w:r>
    </w:p>
    <w:p w:rsidR="00A86150" w:rsidRDefault="00F714D4">
      <w:pPr>
        <w:numPr>
          <w:ilvl w:val="0"/>
          <w:numId w:val="637"/>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Some of the modern trends in corporate finance</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corporation requires money for many reasons. In this chapter, we look at the methods available to a corporation for raising funds, focusing on how firms generate large amounts of funds and finance large projects, such as building a new factory.</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major method of finance is the sale of stock. A corporation sells shares of stock, often in an initial public offering. In exchange for consideration—usually cash—the purchaser acquires stock in the corporation. This stock may give the owner a share in earnings, the right to transfer the stock, and, depending on the size of the corporation and the number of shares, power to exercise control. Other methods of corporate finance include bank financing and bonds. We also discuss some more modern financing methods, such as private equity and venture capital.</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26.1</w:t>
      </w:r>
      <w:r>
        <w:rPr>
          <w:rStyle w:val="apple-converted-space"/>
          <w:rFonts w:ascii="Calibri" w:hAnsi="Calibri" w:cs="Calibri"/>
          <w:color w:val="333333"/>
        </w:rPr>
        <w:t> </w:t>
      </w:r>
      <w:r>
        <w:rPr>
          <w:rFonts w:ascii="Calibri" w:hAnsi="Calibri" w:cs="Calibri"/>
          <w:color w:val="333333"/>
        </w:rPr>
        <w:t>General Sources of Corporate Funds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638"/>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Discuss the main sources for raising corporate funds.</w:t>
      </w:r>
    </w:p>
    <w:p w:rsidR="00A86150" w:rsidRDefault="00F714D4">
      <w:pPr>
        <w:numPr>
          <w:ilvl w:val="0"/>
          <w:numId w:val="638"/>
        </w:numPr>
        <w:shd w:val="clear" w:color="auto" w:fill="EAE9DC"/>
        <w:tabs>
          <w:tab w:val="clear" w:pos="720"/>
          <w:tab w:val="num" w:pos="16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Examine the reinvestment of earnings to finance growth.</w:t>
      </w:r>
    </w:p>
    <w:p w:rsidR="00A86150" w:rsidRDefault="00F714D4">
      <w:pPr>
        <w:numPr>
          <w:ilvl w:val="0"/>
          <w:numId w:val="638"/>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Review debt and equity as methods of raising funds.</w:t>
      </w:r>
    </w:p>
    <w:p w:rsidR="00A86150" w:rsidRDefault="00F714D4">
      <w:pPr>
        <w:numPr>
          <w:ilvl w:val="0"/>
          <w:numId w:val="638"/>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Consider private equity and venture capital, and compare their utility to other forms of financing.</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Sources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finance growth, any ongoing business must have a source of funds. Apart from bank and trade debt, the principal sources are plowback, debt securities, equity securities, and private equity.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Plowback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significant source of new funds that corporations spend on capital projects is earnings. Rather than paying out earnings to shareholders, the corporation plows those earnings back into the business.</w:t>
      </w:r>
      <w:r>
        <w:rPr>
          <w:rStyle w:val="apple-converted-space"/>
          <w:rFonts w:ascii="Georgia" w:hAnsi="Georgia" w:cs="Calibri"/>
          <w:color w:val="333333"/>
          <w:sz w:val="20"/>
          <w:szCs w:val="20"/>
        </w:rPr>
        <w:t> </w:t>
      </w:r>
      <w:r>
        <w:rPr>
          <w:rStyle w:val="marginterm"/>
          <w:rFonts w:ascii="Georgia" w:hAnsi="Georgia" w:cs="Calibri"/>
          <w:color w:val="333333"/>
          <w:sz w:val="20"/>
          <w:szCs w:val="20"/>
        </w:rPr>
        <w:t>Plowback</w:t>
      </w:r>
      <w:r>
        <w:rPr>
          <w:rStyle w:val="apple-converted-space"/>
          <w:rFonts w:ascii="Georgia" w:hAnsi="Georgia" w:cs="Calibri"/>
          <w:color w:val="333333"/>
          <w:sz w:val="20"/>
          <w:szCs w:val="20"/>
        </w:rPr>
        <w:t> </w:t>
      </w:r>
      <w:r>
        <w:rPr>
          <w:rFonts w:ascii="Georgia" w:hAnsi="Georgia" w:cs="Calibri"/>
          <w:color w:val="333333"/>
          <w:sz w:val="20"/>
          <w:szCs w:val="20"/>
        </w:rPr>
        <w:t>is simply reinvesting earnings in the corporation. It is an attractive source of capital because it is subject to managerial control. No approval by governmental agencies is necessary for its expenditure, as it is when a company seeks to sell securities, or stocks and bonds. Furthermore, stocks and bonds have costs associated with them, such as the interest payments on bonds (discussed in</w:t>
      </w:r>
      <w:r>
        <w:rPr>
          <w:rStyle w:val="apple-converted-space"/>
          <w:rFonts w:ascii="Georgia" w:hAnsi="Georgia" w:cs="Calibri"/>
          <w:color w:val="333333"/>
          <w:sz w:val="20"/>
          <w:szCs w:val="20"/>
        </w:rPr>
        <w:t> </w:t>
      </w:r>
      <w:r>
        <w:rPr>
          <w:rFonts w:ascii="Georgia" w:hAnsi="Georgia" w:cs="Calibri"/>
          <w:color w:val="2689C6"/>
          <w:sz w:val="20"/>
          <w:szCs w:val="20"/>
        </w:rPr>
        <w:t>Section 26.1.3 "Debt Securities"</w:t>
      </w:r>
      <w:r>
        <w:rPr>
          <w:rFonts w:ascii="Georgia" w:hAnsi="Georgia" w:cs="Calibri"/>
          <w:color w:val="333333"/>
          <w:sz w:val="20"/>
          <w:szCs w:val="20"/>
        </w:rPr>
        <w:t>), while retaining profits avoids these costs.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Debt Securities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source of funds is borrowing through debt securities. A corporation may take out a debt security such as a loan, commonly evidenced by a note and providing security to the lender. This is covered in</w:t>
      </w:r>
      <w:r>
        <w:rPr>
          <w:rStyle w:val="apple-converted-space"/>
          <w:rFonts w:ascii="Georgia" w:hAnsi="Georgia" w:cs="Calibri"/>
          <w:color w:val="333333"/>
          <w:sz w:val="20"/>
          <w:szCs w:val="20"/>
        </w:rPr>
        <w:t> </w:t>
      </w:r>
      <w:r>
        <w:rPr>
          <w:rFonts w:ascii="Georgia" w:hAnsi="Georgia" w:cs="Calibri"/>
          <w:color w:val="2689C6"/>
          <w:sz w:val="20"/>
          <w:szCs w:val="20"/>
        </w:rPr>
        <w:t>Chapter 33 "Secured Transactions and Suretyship"</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Chapter 34 "Mortgages and Nonconsensual Liens"</w:t>
      </w:r>
      <w:r>
        <w:rPr>
          <w:rFonts w:ascii="Georgia" w:hAnsi="Georgia" w:cs="Calibri"/>
          <w:color w:val="333333"/>
          <w:sz w:val="20"/>
          <w:szCs w:val="20"/>
        </w:rPr>
        <w:t>. A common type of corporate debt security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bond</w:t>
      </w:r>
      <w:r>
        <w:rPr>
          <w:rFonts w:ascii="Georgia" w:hAnsi="Georgia" w:cs="Calibri"/>
          <w:color w:val="333333"/>
          <w:sz w:val="20"/>
          <w:szCs w:val="20"/>
        </w:rPr>
        <w:t>, which is a promise to repay the face value of the bond at maturity and make periodic interest payments called the coupon rate. For example, a bond may have a face value of $1,000 (the amount to be repaid at maturity) and a coupon rate of 7 percent paid annually; the corporation pays $70 interest on such a bond each year. Bondholders have priority over stockholders because a bond is a debt, and in the event of bankruptcy, creditors have priority over equity holders.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Equity Securities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source of new capital funds is equity securities—namely,</w:t>
      </w:r>
      <w:r>
        <w:rPr>
          <w:rStyle w:val="apple-converted-space"/>
          <w:rFonts w:ascii="Georgia" w:hAnsi="Georgia" w:cs="Calibri"/>
          <w:color w:val="333333"/>
          <w:sz w:val="20"/>
          <w:szCs w:val="20"/>
        </w:rPr>
        <w:t> </w:t>
      </w:r>
      <w:r>
        <w:rPr>
          <w:rStyle w:val="marginterm"/>
          <w:rFonts w:ascii="Georgia" w:hAnsi="Georgia" w:cs="Calibri"/>
          <w:color w:val="333333"/>
          <w:sz w:val="20"/>
          <w:szCs w:val="20"/>
        </w:rPr>
        <w:t>stock</w:t>
      </w:r>
      <w:r>
        <w:rPr>
          <w:rFonts w:ascii="Georgia" w:hAnsi="Georgia" w:cs="Calibri"/>
          <w:color w:val="333333"/>
          <w:sz w:val="20"/>
          <w:szCs w:val="20"/>
        </w:rPr>
        <w:t>.</w:t>
      </w:r>
      <w:r>
        <w:rPr>
          <w:rStyle w:val="marginterm"/>
          <w:rFonts w:ascii="Georgia" w:hAnsi="Georgia" w:cs="Calibri"/>
          <w:color w:val="333333"/>
          <w:sz w:val="20"/>
          <w:szCs w:val="20"/>
        </w:rPr>
        <w:t>Equity</w:t>
      </w:r>
      <w:r>
        <w:rPr>
          <w:rStyle w:val="apple-converted-space"/>
          <w:rFonts w:ascii="Georgia" w:hAnsi="Georgia" w:cs="Calibri"/>
          <w:color w:val="333333"/>
          <w:sz w:val="20"/>
          <w:szCs w:val="20"/>
        </w:rPr>
        <w:t> </w:t>
      </w:r>
      <w:r>
        <w:rPr>
          <w:rFonts w:ascii="Georgia" w:hAnsi="Georgia" w:cs="Calibri"/>
          <w:color w:val="333333"/>
          <w:sz w:val="20"/>
          <w:szCs w:val="20"/>
        </w:rPr>
        <w:t>is an ownership interest in property or a business. Stock is the smallest source of new capital but is of critical importance to the corporation in launching the business and its initial operations. Stock gives the investor a bundle of legal rights—ownership, a share in earnings, transferability and, to some extent, the power to exercise control through voting. The usual way to acquire stock is by paying cash or its equivalent as consideration. Both stock and consideration are discussed in more detail in</w:t>
      </w:r>
      <w:r>
        <w:rPr>
          <w:rStyle w:val="apple-converted-space"/>
          <w:rFonts w:ascii="Georgia" w:hAnsi="Georgia" w:cs="Calibri"/>
          <w:color w:val="333333"/>
          <w:sz w:val="20"/>
          <w:szCs w:val="20"/>
        </w:rPr>
        <w:t> </w:t>
      </w:r>
      <w:r>
        <w:rPr>
          <w:rFonts w:ascii="Georgia" w:hAnsi="Georgia" w:cs="Calibri"/>
          <w:color w:val="2689C6"/>
          <w:sz w:val="20"/>
          <w:szCs w:val="20"/>
        </w:rPr>
        <w:t>Section 26.3.2 "Par Value and No-Par Stock"</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Section 26.4 "Initial Public Offerings and Consideration for Stock"</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Forms of Finance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stock, debt securities, and reinvested profits are the most common types of finance for major corporations (particularly publicly traded corporations), smaller corporations or start-ups cannot or do not want to avail themselves of these financing options. Instead, they seek to raise funds through</w:t>
      </w:r>
      <w:r>
        <w:rPr>
          <w:rStyle w:val="marginterm"/>
          <w:rFonts w:ascii="Georgia" w:hAnsi="Georgia" w:cs="Calibri"/>
          <w:color w:val="333333"/>
          <w:sz w:val="20"/>
          <w:szCs w:val="20"/>
        </w:rPr>
        <w:t>private equity</w:t>
      </w:r>
      <w:r>
        <w:rPr>
          <w:rFonts w:ascii="Georgia" w:hAnsi="Georgia" w:cs="Calibri"/>
          <w:color w:val="333333"/>
          <w:sz w:val="20"/>
          <w:szCs w:val="20"/>
        </w:rPr>
        <w:t>, which involves private investors providing funds to a company in exchange for an interest in the company. A private equity firm is a group of investors who pool their money together for investment purposes, usually to invest in other companies. Looking to private equity firms is an option for start-ups—companies newly formed or in the process of being formed—that cannot raise funds through the bond market or that wish to avoid debt or a public stock sale. Start-ups need money to begin operations, expand, or conduct further research and development. A private equity firm might provide</w:t>
      </w:r>
      <w:r>
        <w:rPr>
          <w:rStyle w:val="marginterm"/>
          <w:rFonts w:ascii="Georgia" w:hAnsi="Georgia" w:cs="Calibri"/>
          <w:color w:val="333333"/>
          <w:sz w:val="20"/>
          <w:szCs w:val="20"/>
        </w:rPr>
        <w:t>venture capital</w:t>
      </w:r>
      <w:r>
        <w:rPr>
          <w:rStyle w:val="apple-converted-space"/>
          <w:rFonts w:ascii="Georgia" w:hAnsi="Georgia" w:cs="Calibri"/>
          <w:color w:val="333333"/>
          <w:sz w:val="20"/>
          <w:szCs w:val="20"/>
        </w:rPr>
        <w:t> </w:t>
      </w:r>
      <w:r>
        <w:rPr>
          <w:rFonts w:ascii="Georgia" w:hAnsi="Georgia" w:cs="Calibri"/>
          <w:color w:val="333333"/>
          <w:sz w:val="20"/>
          <w:szCs w:val="20"/>
        </w:rPr>
        <w:t>financing for these start-ups. Generally, private equity firms that provide a lot of venture capital must be extremely savvy about the start-up plans of new businesses and must ask the start-up entrepreneurs numerous challenging and pertinent questions. Such private equity firms expect a higher rate of return on their investment than would be available from established companies. Today, venture capital is often used to finance entrepreneurial start-ups in biotechnology and clean technology.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 private equity firm will buy all the publicly traded shares of a company—a process commonly termed “going private.” Private equity may also be involved in providing financing to established firms.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source of private equity is angel investors, affluent individuals who operate like venture capitalists, providing capital for a business to get started in exchange for repayment with interest or an ownership interest. The main difference between an angel investor and a venture capitalist is the source of funds: an angel investor invests his or her own money, while venture capitalists use pooled funds.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Private equity firms may also use a</w:t>
      </w:r>
      <w:r>
        <w:rPr>
          <w:rStyle w:val="apple-converted-space"/>
          <w:rFonts w:ascii="Georgia" w:hAnsi="Georgia" w:cs="Calibri"/>
          <w:color w:val="333333"/>
          <w:sz w:val="20"/>
          <w:szCs w:val="20"/>
        </w:rPr>
        <w:t> </w:t>
      </w:r>
      <w:r>
        <w:rPr>
          <w:rStyle w:val="marginterm"/>
          <w:rFonts w:ascii="Georgia" w:hAnsi="Georgia" w:cs="Calibri"/>
          <w:color w:val="333333"/>
          <w:sz w:val="20"/>
          <w:szCs w:val="20"/>
        </w:rPr>
        <w:t>leveraged buyout (LBO)</w:t>
      </w:r>
      <w:r>
        <w:rPr>
          <w:rStyle w:val="apple-converted-space"/>
          <w:rFonts w:ascii="Georgia" w:hAnsi="Georgia" w:cs="Calibri"/>
          <w:color w:val="333333"/>
          <w:sz w:val="20"/>
          <w:szCs w:val="20"/>
        </w:rPr>
        <w:t> </w:t>
      </w:r>
      <w:r>
        <w:rPr>
          <w:rFonts w:ascii="Georgia" w:hAnsi="Georgia" w:cs="Calibri"/>
          <w:color w:val="333333"/>
          <w:sz w:val="20"/>
          <w:szCs w:val="20"/>
        </w:rPr>
        <w:t>to finance the acquisition of another firm. Discussed further in</w:t>
      </w:r>
      <w:r>
        <w:rPr>
          <w:rStyle w:val="apple-converted-space"/>
          <w:rFonts w:ascii="Georgia" w:hAnsi="Georgia" w:cs="Calibri"/>
          <w:color w:val="333333"/>
          <w:sz w:val="20"/>
          <w:szCs w:val="20"/>
        </w:rPr>
        <w:t> </w:t>
      </w:r>
      <w:r>
        <w:rPr>
          <w:rFonts w:ascii="Georgia" w:hAnsi="Georgia" w:cs="Calibri"/>
          <w:color w:val="2689C6"/>
          <w:sz w:val="20"/>
          <w:szCs w:val="20"/>
        </w:rPr>
        <w:t>Chapter 29 "Corporate Expansion, State and Federal Regulation of Foreign Corporations, and Corporate Dissolution"</w:t>
      </w:r>
      <w:r>
        <w:rPr>
          <w:rStyle w:val="apple-converted-space"/>
          <w:rFonts w:ascii="Georgia" w:hAnsi="Georgia" w:cs="Calibri"/>
          <w:color w:val="333333"/>
          <w:sz w:val="20"/>
          <w:szCs w:val="20"/>
        </w:rPr>
        <w:t> </w:t>
      </w:r>
      <w:r>
        <w:rPr>
          <w:rFonts w:ascii="Georgia" w:hAnsi="Georgia" w:cs="Calibri"/>
          <w:color w:val="333333"/>
          <w:sz w:val="20"/>
          <w:szCs w:val="20"/>
        </w:rPr>
        <w:t>on Corporate Expansion, in the realm of private equity, an LBO is a financing option using debt to acquire another firm. In an LBO, private equity investors use the assets of the target corporation as collateral for a loan to purchase that target corporation. Such investors may pursue an LBO as a debt acquisition option since they do not need to use much—or even any—of their own money in order to finance the acquisition.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major drawback to private equity, whether through a firm or through venture capital, is the risk versus return trade-off. Private equity investors may demand a significant interest in the firm, or a high return, to compensate them for the riskiness of their investment. They may demand a say in how the firm is operated or a seat on the board of directors.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There are four main sources of corporate finance. The first is plowback, or reinvesting profits in the corporation. The second is borrowing, commonly through a bond issue. A corporation sells a bond, agreeing to periodic interest payments and repayment of the face value of the bond at maturity. The third source is equity, usually stock, whereby a corporation sells an ownership interest in the corporation. The fourth source is private equity and venture capital.</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39"/>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main sources of corporate finance?</w:t>
      </w:r>
    </w:p>
    <w:p w:rsidR="00A86150" w:rsidRDefault="00F714D4">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of the legal rights associated with stock ownership?</w:t>
      </w:r>
    </w:p>
    <w:p w:rsidR="00A86150" w:rsidRDefault="00F714D4">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private equity. What are some similarities and differences between private equity and venture capital?</w:t>
      </w: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26.2</w:t>
      </w:r>
      <w:r>
        <w:rPr>
          <w:rStyle w:val="apple-converted-space"/>
          <w:rFonts w:ascii="Calibri" w:hAnsi="Calibri" w:cs="Calibri"/>
          <w:color w:val="333333"/>
        </w:rPr>
        <w:t> </w:t>
      </w:r>
      <w:r>
        <w:rPr>
          <w:rFonts w:ascii="Calibri" w:hAnsi="Calibri" w:cs="Calibri"/>
          <w:color w:val="333333"/>
        </w:rPr>
        <w:t>Bonds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640"/>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Discuss the basics of corporate bonds.</w:t>
      </w:r>
    </w:p>
    <w:p w:rsidR="00A86150" w:rsidRDefault="00F714D4">
      <w:pPr>
        <w:numPr>
          <w:ilvl w:val="0"/>
          <w:numId w:val="640"/>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rPr>
      </w:pPr>
      <w:r>
        <w:rPr>
          <w:rFonts w:ascii="Calibri" w:hAnsi="Calibri" w:cs="Calibri"/>
          <w:color w:val="333333"/>
          <w:sz w:val="20"/>
          <w:szCs w:val="20"/>
        </w:rPr>
        <w:t>Review the advantages and disadvantages to the corporation of issuing bonds.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Basics of Corporate Bonds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often raise money through debt. This can be done through loans or bank financing but is often accomplished through the sale of bonds. Large corporations, in particular, use the bond market. Private equity is not ideal for established firms because of the high cost to them, both monetarily and in terms of the potential loss of control.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financing, many corporations sell corporate bonds to investors. A bond is like an IOU. When a corporation sells a bond, it owes the bond purchaser periodic interest payments as well as a lump sum at the end of the life of the bond (the maturity date). A typical bond is issued with a face value, also called the par value, of $1,000 or some multiple of $1,000.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face value</w:t>
      </w:r>
      <w:r>
        <w:rPr>
          <w:rStyle w:val="apple-converted-space"/>
          <w:rFonts w:ascii="Georgia" w:hAnsi="Georgia" w:cs="Calibri"/>
          <w:color w:val="333333"/>
          <w:sz w:val="20"/>
          <w:szCs w:val="20"/>
        </w:rPr>
        <w:t> </w:t>
      </w:r>
      <w:r>
        <w:rPr>
          <w:rFonts w:ascii="Georgia" w:hAnsi="Georgia" w:cs="Calibri"/>
          <w:color w:val="333333"/>
          <w:sz w:val="20"/>
          <w:szCs w:val="20"/>
        </w:rPr>
        <w:t>is the amount that the corporation must pay the purchaser at the end of the life of the bond. Interest payments, also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coupon payments</w:t>
      </w:r>
      <w:r>
        <w:rPr>
          <w:rFonts w:ascii="Georgia" w:hAnsi="Georgia" w:cs="Calibri"/>
          <w:color w:val="333333"/>
          <w:sz w:val="20"/>
          <w:szCs w:val="20"/>
        </w:rPr>
        <w:t>, are usually made on a biannual basis but could be of nearly any duration. There are even zero coupon bonds, which pay only the face value at maturity.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Advantages and Disadvantages of Bonds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advantage of issuing bonds is that the corporation does not give away ownership interests. When a corporation sells stock, it changes the ownership interest in the firm, but bonds do not alter the ownership structure. Bonds provide flexibility for a corporation: it can issue bonds of varying durations, value, payment terms, convertibility, and so on. Bonds also expand the number of investors available to the corporation. From an investor standpoint, bonds are generally less risky than stock. Most corporate bonds are given ratings—a measurement of the risk associated with holding a particular bond. Therefore, risk-averse investors who would not purchase a corporation’s stock could seek lower-risk returns in highly rated corporate bonds. Investors are also drawn to bonds because the bond market is much larger than the stock market and bonds are highly liquid and less risky than many other types of investments.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advantage to the corporation is the ability to make bonds “callable”—the corporation can force the investor to sell bonds back to the corporation before the maturity date. Often, there is an additional cost to the corporation (a call premium) that must be paid to the bondholder, but the call provision provides another level of flexibility for the corporation. Bonds may also be convertible; the corporation can include a provision that permits bondholders to convert their bonds into equity shares in the firm. This would permit the corporation to decrease the cost of the bonds, because bondholders would ordinarily accept lower coupon payments in exchange for the option to convert the bonds into equity. Perhaps the most important advantage to issuing bonds is from a taxation standpoint: the interest payments made to the bondholders may be deductible from the corporation’s taxes.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key disadvantage of bonds is that they are debt. The corporation must make its bond interest payments. If a corporation cannot make its interest payments, the bondholders can force it into bankruptcy. In bankruptcy, the bondholders have a liquidation preference over investors with ownership—that is, the shareholders. Additionally, being highly leveraged can be risky: a corporation could load itself up with too much debt and not be able to make its interest payments or face-value payments. Another major consideration is the “cost” of debt. When interest rates are high, corporations must offer higher interest rates to attract investors.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Corporations often raise capital and finance operations through debt. Bank loans are one source of debt, but large corporations often turn to bonds for financing. Bonds are an IOU, whereby the corporation sells a bond to an investor; agrees to make periodic interest payments, such as 5 percent of the face value of the bond annually; and at the maturity date, pays the face value of the bond to the investor. There are several advantages to the corporation in using bonds as a financial instrument: the corporation does not give up ownership in the firm, it attracts more investors, it increases its flexibility, and it can deduct the interest payments from corporate taxes. Bonds do have some disadvantages: they are debt and can hurt a highly leveraged company, the corporation must pay the interest and principal when they are due, and the bondholders have a preference over shareholders upon liquidation.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bond.</w:t>
      </w:r>
    </w:p>
    <w:p w:rsidR="00A86150" w:rsidRDefault="00F714D4">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advantages to the corporation in issuing bonds?</w:t>
      </w:r>
    </w:p>
    <w:p w:rsidR="00A86150" w:rsidRDefault="00F714D4">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disadvantages to the corporation in using bonds?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26.3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Types of Stock</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features of corporate stock.</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Be familiar with the basic terminology of corporate stock.</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preferred shares and the rights of preferred shareholders.</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Compare common stock with preferred stock.</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treasury stock, and explain its function.</w:t>
      </w:r>
    </w:p>
    <w:p w:rsidR="00A86150" w:rsidRDefault="00F714D4">
      <w:pPr>
        <w:numPr>
          <w:ilvl w:val="0"/>
          <w:numId w:val="64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Analyze whether debt or equity is a better financing option.</w:t>
      </w:r>
    </w:p>
    <w:p w:rsidR="00A86150" w:rsidRDefault="00A86150">
      <w:pPr>
        <w:pStyle w:val="para"/>
        <w:shd w:val="clear" w:color="auto" w:fill="FFFFFF"/>
        <w:spacing w:before="0" w:beforeAutospacing="0" w:after="0" w:afterAutospacing="0" w:line="439" w:lineRule="atLeast"/>
        <w:textAlignment w:val="baseline"/>
        <w:rPr>
          <w:rStyle w:val="marginterm"/>
          <w:rFonts w:ascii="Georgia" w:hAnsi="Georgia"/>
        </w:rPr>
      </w:pPr>
    </w:p>
    <w:p w:rsidR="00A86150" w:rsidRDefault="00F714D4">
      <w:pPr>
        <w:pStyle w:val="para"/>
        <w:shd w:val="clear" w:color="auto" w:fill="FFFFFF"/>
        <w:spacing w:before="0" w:beforeAutospacing="0" w:after="240" w:afterAutospacing="0" w:line="439" w:lineRule="atLeast"/>
        <w:textAlignment w:val="baseline"/>
      </w:pPr>
      <w:r>
        <w:rPr>
          <w:rStyle w:val="marginterm"/>
          <w:rFonts w:ascii="Georgia" w:hAnsi="Georgia" w:cs="Calibri"/>
          <w:color w:val="333333"/>
          <w:sz w:val="20"/>
          <w:szCs w:val="20"/>
          <w:lang w:val="en"/>
        </w:rPr>
        <w:t>Stocks</w:t>
      </w:r>
      <w:r>
        <w:rPr>
          <w:rFonts w:ascii="Georgia" w:hAnsi="Georgia" w:cs="Calibri"/>
          <w:color w:val="333333"/>
          <w:sz w:val="20"/>
          <w:szCs w:val="20"/>
          <w:lang w:val="en"/>
        </w:rPr>
        <w:t>,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shares</w:t>
      </w:r>
      <w:r>
        <w:rPr>
          <w:rFonts w:ascii="Georgia" w:hAnsi="Georgia" w:cs="Calibri"/>
          <w:color w:val="333333"/>
          <w:sz w:val="20"/>
          <w:szCs w:val="20"/>
          <w:lang w:val="en"/>
        </w:rPr>
        <w:t>, represent an ownership interest in a corporation. Traditionally, stock was the original capital paid into a business by its founders. This stock was then divided into shares, or fractional ownership of the stock. In modern usage, the two terms are used interchangeably, as we will do here. Shares in closely held corporations are often identical: each share of stock in BCT Bookstore, Inc. carries with it the same right to vote, to receive dividends, and to receive a distribution of the net assets of the company upon liquidation. Many large corporations do not present so simple a picture. Large corporations may have many different types of stock: different classes of common stock, preferred stock, stock with par value and no-par stock, voting and nonvoting stock, outstanding stock, and treasury stock. To find out which types of stock a company has issued, look at the shareholders’ (or stockholders’) equity section of the company’s balance sheet.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Authorized, Issued, and Outstanding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Stocks have different designations depending on who holds them. The articles of incorporation spell out how many shares of stock the corporation may issue: these are its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authorized shares</w:t>
      </w:r>
      <w:r>
        <w:rPr>
          <w:rFonts w:ascii="Georgia" w:hAnsi="Georgia" w:cs="Calibri"/>
          <w:color w:val="333333"/>
          <w:sz w:val="20"/>
          <w:szCs w:val="20"/>
          <w:lang w:val="en"/>
        </w:rPr>
        <w:t>. The corporation is not obliged to issue all authorized shares, but it may not issue more than the total without amending the articles of incorporation. The total of stock sold to investors is the issued stock of the corporation; the issued stock in the hands of all shareholders is called outstanding stock.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Par Value and No-Par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Par value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face value of stock. Par value, though, is not the market value; it is a value placed on the stock by the corporation but has little to do with the buying and selling value of that stock on the open market.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a value is specified on a stock certificate, it is said to be par value. Par value is established in the articles of incorporation and is the floor price of the stock; the corporation may not accept less than par value for the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Companies in most states can also issue no-par shares. No-par stock may be sold for whatever price is set by the board of directors or by the market—unless the shareholders themselves are empowered to establish the price. But many states permit (and some states require) no-par stock to have a stated value. Corporations issue no-par stock to reduce their exposure to liability: if the par value is greater than the market value, the corporation may be liable for that difference.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universal practice, issuance of par value common stock is now limited. However, preferred stock usually has a par value, which is useful in determining dividend and liquidation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term</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stated capital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describes the sum of the par value of the issued par value stock and the consideration received (or stated value) for the no-par stock. The excess of net assets of a corporation over stated capital is its </w:t>
      </w:r>
      <w:r>
        <w:rPr>
          <w:rStyle w:val="marginterm"/>
          <w:rFonts w:ascii="Georgia" w:hAnsi="Georgia" w:cs="Calibri"/>
          <w:color w:val="333333"/>
          <w:sz w:val="20"/>
          <w:szCs w:val="20"/>
          <w:lang w:val="en"/>
        </w:rPr>
        <w:t>surplus</w:t>
      </w:r>
      <w:r>
        <w:rPr>
          <w:rFonts w:ascii="Georgia" w:hAnsi="Georgia" w:cs="Calibri"/>
          <w:color w:val="333333"/>
          <w:sz w:val="20"/>
          <w:szCs w:val="20"/>
          <w:lang w:val="en"/>
        </w:rPr>
        <w:t>. Surplus is divided into earned surplus (essentially the company’s retained earnings) and capital surplus (all surpluses other than earned surplus). We will return to these concepts in our discussion of dividends.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Preferred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term</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preferred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has no set legal meaning, but shareholders of </w:t>
      </w:r>
      <w:r>
        <w:rPr>
          <w:rStyle w:val="marginterm"/>
          <w:rFonts w:ascii="Georgia" w:hAnsi="Georgia" w:cs="Calibri"/>
          <w:color w:val="333333"/>
          <w:sz w:val="20"/>
          <w:szCs w:val="20"/>
          <w:lang w:val="en"/>
        </w:rPr>
        <w:t>preferred stock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often have different rights than shareholders of common stock. Holders of preferred stock must look to the articles of incorporation to find out what their rights are. Preferred stock has elements of both stock (equity) and bonds (debt). Thus corporations issue preferred stock to attract more conservative investors: common stock is riskier than preferred stock, so corporations can attract more investors if they have both preferred and common stock.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Preference to Dividends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dividend is a payment made to stockholders from corporate profits. Assume that one class of preferred stock is entitled to a 7 percent dividend. The percentage applies to the par value; if par value is $100, each share of preferred is entitled to a dividend of $7 per year. Assuming the articles of incorporation say so, this 7 percent preferred stock has preference over other classes of shares for dividend payments.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Liquidation Preference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additional right of preferred shareholders is the right to share in the distribution of assets in the event of liquidation, after having received assets under a liquidation preference—that is, a preference, according to a predetermined formula, to receive the assets of the company on liquidation ahead of other classes of shareholders.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Convertible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With one exception, the articles of incorporation may grant the right to convert any class of stock into any other at the holder’s option according to a fixed ratio. Alternatively, the corporation may force a conversion of a shareholder’s convertible stock. Thus if permitted, a preferred shareholder may convert his or her preferred shares into common stock, or vice versa. The exception bars conversion of stock into a class with an asset liquidation preference, although some states permit even that type of so-called upstream conversion to a senior security. Convertible preferred shares can be used as a poison pill (a corporate strategy to avoid a hostile takeover): when an outsider seeks to gain control, convertible shareholders may elect to convert their preferred shares into common stock, thus increasing the number of common shares and increasing the number of shares the outsider must purchase in order to gain control.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Redeemable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articles of incorporation may provide for the redemption of shares, unless in doing so the corporation would become insolvent. Redemption may be either at an established price and time or by election of the corporation or the shareholder. Redeemed stock is called cancelled stock. Unless the articles of incorporation prohibit it, the shares are considered authorized but unissued and can be reissued as the need arises. If the articles of incorporation specifically make the cancellation permanent, then the total number of authorized shares is reduced, and new shares cannot be reissued without amending the articles of incorporation. In this case, the redeemed shares cannot be reissued and must be marked as cancelled stock.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Voting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Ordinarily, the articles of incorporation provide that holders of preferred shares do not have a voting right. Or they may provide for contingent voting rights, entitling preferred shareholders to vote on the happening of a particular event—for example, the nonpayment of a certain number of dividends. The articles may allow class voting for directors, to ensure that the class of preferred stockholders has some representation on the board.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Common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Common stock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different from preferred stock. Common stock represents an ownership interest in a corporation. Unless otherwise provided in the articles of incorporation, common stockholders have the following rights:</w:t>
      </w:r>
    </w:p>
    <w:p w:rsidR="00A86150" w:rsidRDefault="00F714D4">
      <w:pPr>
        <w:pStyle w:val="ListParagraph"/>
        <w:numPr>
          <w:ilvl w:val="0"/>
          <w:numId w:val="64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Voting rights. This is a key difference: preferred shareholders usually do not have the right to vote. Common shareholders express their ownership interest in the corporation by voting. Votes are cast at meetings, typically the annual meetings, and the shareholders can vote for directors and on other important corporate decisions (e.g., there has been a recent push to allow shareholders to vote on executive compensation).</w:t>
      </w:r>
    </w:p>
    <w:p w:rsidR="00A86150" w:rsidRDefault="00F714D4">
      <w:pPr>
        <w:pStyle w:val="ListParagraph"/>
        <w:numPr>
          <w:ilvl w:val="0"/>
          <w:numId w:val="64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right to ratable participation in earnings (i.e., in proportion to the total shares) and/or the right to ratable participation in the distribution of net assets on liquidation. Bondholders and other creditors have seniority upon liquidation, but if they have been satisfied, or the corporation has no debt, the common shareholders may ratably recover from what is left over in liquidation.</w:t>
      </w:r>
    </w:p>
    <w:p w:rsidR="00A86150" w:rsidRDefault="00F714D4">
      <w:pPr>
        <w:pStyle w:val="ListParagraph"/>
        <w:numPr>
          <w:ilvl w:val="0"/>
          <w:numId w:val="64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shares may give holders preemptive rights to purchase additional shares. This right is often invoked in two instances. First, if a corporation is going to issue more shares, a shareholder may invoke this right so that his or her total percentage ownership is not diluted. Second, the right to purchase additional shares can be invoked to prevent a hostile takeover (a poison pill,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26.3.3 "Preferred Stock"</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may issue different classes of shares (including both common and preferred stock). This permits a corporation to provide different rights to shareholders. For example, one class of common stock may give holders more votes than another class of common stock. Stock is a riskier investment for its purchasers compared with bonds and preferred stock. In exchange for this increased risk and junior treatment, common stockholders have the rights noted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Treasury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Treasury shares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are those that were originally issued and then reacquired by the company (such as in a buyback, discussed next) or, alternatively, never sold to the public in the first place and simply retained by the corporation. Thus treasury shares are shares held or owned by the corporation. They are considered to be issued shares but not outstanding shares.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Buyback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often reacquire their shares, for a variety of reasons, in a process sometimes called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buyback</w:t>
      </w:r>
      <w:r>
        <w:rPr>
          <w:rFonts w:ascii="Georgia" w:hAnsi="Georgia" w:cs="Calibri"/>
          <w:color w:val="333333"/>
          <w:sz w:val="20"/>
          <w:szCs w:val="20"/>
          <w:lang w:val="en"/>
        </w:rPr>
        <w:t>. If the stock price has dropped so far that the shares are worth considerably less than book value, the corporation might wish to buy its shares to prevent another company from taking it over. The company might decide that investing in itself is a better strategic decision than making other potential expenditures or investments. And although it is essentially an accounting trick, buybacks improve a company’s per-share earnings because profits need to be divided into fewer outstanding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Buybacks can also be used to go private. Private equity may play a role in going-private transactions, as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26.1.5 "Other Forms of Finance"</w:t>
      </w:r>
      <w:r>
        <w:rPr>
          <w:rFonts w:ascii="Georgia" w:hAnsi="Georgia" w:cs="Calibri"/>
          <w:color w:val="333333"/>
          <w:sz w:val="20"/>
          <w:szCs w:val="20"/>
          <w:lang w:val="en"/>
        </w:rPr>
        <w:t>. The corporation may not have sufficient equity to buy out all its public shareholders and thus will partner with private equity to finance the stock buyback to go private. For example, in early 2011, Playboy Enterprises, Inc., publisher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Playboy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magazine, went private. Hugh Hefner, the founder of Playboy, teamed up with private equity firm Rizvi Traverse Management to buy back the public shares. Hefner said that the transaction “will give us the resources and flexibility to return Playboy to its unique position and to further expand our business around the world.”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may go private to consolidate control, because of a belief that the shares are undervalued, to increase flexibility, or because of a tender offer or hostile takeover. Alternatively, an outside investor may think that a corporation is not being managed properly and may use a tender offer to buy all the public shares.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Stocks and Bonds and Bears, Oh My!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that BCT Bookstore, Inc. has become a large, well-established corporation after a round of private equity and bank loans (since repaid) but needs to raise capital. What is the best method? There is no one right answer. Much of the decision will depend on the financial and accounting standing of the corporation: if BCT already has a lot of debt, it might be better to issue stock rather than bring on more debt. Alternatively, BCT could wish to remain a privately held corporation, and thus a stock sale would not be considered, as it would dilute the ownership. The economy in general could impact the decision: a bear market could push BCT more toward using debt, while a bull market could push BCT more toward an initial public offering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26.4.1 "Sale of stock"</w:t>
      </w:r>
      <w:r>
        <w:rPr>
          <w:rFonts w:ascii="Georgia" w:hAnsi="Georgia" w:cs="Calibri"/>
          <w:color w:val="333333"/>
          <w:sz w:val="20"/>
          <w:szCs w:val="20"/>
          <w:lang w:val="en"/>
        </w:rPr>
        <w:t>) or stock sale. Interest rates could be low, increasing the bang-for-the-buck factor of debt. Additionally, public stock sales can be risky for the corporation: the corporation could undervalue its stock in the initial sale, selling the stock for less than what the marketplace thinks it is worth, missing out on additional funds because of this undervaluation. Debt may also be beneficial because of the tax treatment of interest payments—the corporation can deduct the interest payments from corporate profits. Thus there are many factors a corporation must consider when deciding whether to finance through debt or equity.</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Stock, or shares (equity), express an ownership interest in a corporation. Shares have different designations, depending on who holds the shares. The two main types of stock are preferred stock and common stock, each with rights that often differ from the rights of the other. Preferred stock has elements of both debt and equity. Holders of preferred shares have a dividend preference and have a right to share in the distribution of assets in liquidation. Holders of common stock have a different set of rights, namely, the right to vote on important corporate decisions such as the election of directors. A corporation may purchase some of its shares from its shareholders in a process called a buyback. Stock in the hands of the corporation is called treasury stock. There are a variety of factors that a corporation must consider in determining whether to raise capital through bonds or through stock issuance.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4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key rights of holders of preferred shares?</w:t>
      </w:r>
    </w:p>
    <w:p w:rsidR="00A86150" w:rsidRDefault="00F714D4">
      <w:pPr>
        <w:numPr>
          <w:ilvl w:val="0"/>
          <w:numId w:val="64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major difference between preferred stock and common stock?</w:t>
      </w:r>
    </w:p>
    <w:p w:rsidR="00A86150" w:rsidRDefault="00F714D4">
      <w:pPr>
        <w:numPr>
          <w:ilvl w:val="0"/>
          <w:numId w:val="64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would a corporation buy back its own shares?</w:t>
      </w:r>
    </w:p>
    <w:p w:rsidR="00A86150" w:rsidRDefault="00F714D4">
      <w:pPr>
        <w:numPr>
          <w:ilvl w:val="0"/>
          <w:numId w:val="64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factors a corporation must consider in deciding whether to issue stock or bonds?</w:t>
      </w:r>
    </w:p>
    <w:p w:rsidR="00A86150" w:rsidRDefault="0081777E">
      <w:pPr>
        <w:spacing w:after="0"/>
        <w:jc w:val="center"/>
        <w:divId w:val="1672024958"/>
      </w:pPr>
      <w:r>
        <w:pict>
          <v:rect id="_x0000_i1133"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Dawn C. Chmielewski and Robert Channick, “Hugh Hefner Reaches Deal to Take Playboy Private,”</w:t>
      </w:r>
      <w:r>
        <w:rPr>
          <w:rStyle w:val="apple-converted-space"/>
          <w:rFonts w:ascii="Calibri" w:hAnsi="Calibri" w:cs="Calibri"/>
          <w:color w:val="333333"/>
          <w:sz w:val="20"/>
          <w:szCs w:val="20"/>
        </w:rPr>
        <w:t> </w:t>
      </w:r>
      <w:r>
        <w:rPr>
          <w:rStyle w:val="Emphasis"/>
          <w:rFonts w:ascii="Calibri" w:hAnsi="Calibri" w:cs="Calibri"/>
          <w:color w:val="333333"/>
          <w:sz w:val="20"/>
          <w:szCs w:val="20"/>
        </w:rPr>
        <w:t>Los Angeles Times</w:t>
      </w:r>
      <w:r>
        <w:rPr>
          <w:rFonts w:ascii="Calibri" w:hAnsi="Calibri" w:cs="Calibri"/>
          <w:color w:val="333333"/>
          <w:sz w:val="20"/>
          <w:szCs w:val="20"/>
        </w:rPr>
        <w:t>, January 11, 2011.</w:t>
      </w:r>
      <w:hyperlink r:id="rId74" w:tgtFrame="_blank" w:history="1">
        <w:r>
          <w:rPr>
            <w:rStyle w:val="Hyperlink"/>
            <w:rFonts w:ascii="Calibri" w:hAnsi="Calibri" w:cs="Calibri"/>
            <w:color w:val="2689C6"/>
            <w:sz w:val="20"/>
            <w:szCs w:val="20"/>
          </w:rPr>
          <w:t>http://articles.latimes.com/2011/jan/11/business/la-fi-ct-playboy-hefner-20110111</w:t>
        </w:r>
      </w:hyperlink>
      <w:r>
        <w:rPr>
          <w:rFonts w:ascii="Calibri"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26.4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Initial Public Offerings and Consideration for Stock</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45"/>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an initial public offering is and under what circumstances one is usually done.</w:t>
      </w:r>
    </w:p>
    <w:p w:rsidR="00A86150" w:rsidRDefault="00F714D4">
      <w:pPr>
        <w:numPr>
          <w:ilvl w:val="0"/>
          <w:numId w:val="645"/>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Examine the various requirements of selling stock.</w:t>
      </w:r>
    </w:p>
    <w:p w:rsidR="00A86150" w:rsidRDefault="00F714D4">
      <w:pPr>
        <w:numPr>
          <w:ilvl w:val="0"/>
          <w:numId w:val="645"/>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what adequate and valid consideration is in exchange for stock.</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Sale of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Rather than using debt to finance operations, a corporation may instead sell stock. This is most often accomplished through an </w:t>
      </w:r>
      <w:r>
        <w:rPr>
          <w:rStyle w:val="marginterm"/>
          <w:rFonts w:ascii="Georgia" w:hAnsi="Georgia" w:cs="Calibri"/>
          <w:color w:val="333333"/>
          <w:sz w:val="20"/>
          <w:szCs w:val="20"/>
          <w:lang w:val="en"/>
        </w:rPr>
        <w:t>initial public offering (IPO)</w:t>
      </w:r>
      <w:r>
        <w:rPr>
          <w:rFonts w:ascii="Georgia" w:hAnsi="Georgia" w:cs="Calibri"/>
          <w:color w:val="333333"/>
          <w:sz w:val="20"/>
          <w:szCs w:val="20"/>
          <w:lang w:val="en"/>
        </w:rPr>
        <w:t>, or the first time a corporation offers stock for sale to the public. The sale of securities, such as stock, is governed by the Securities Act of 1933. In particular, Section 5 of the 1933 act governs the specifics of the sale of securities. To return to BCT Bookstore, Inc., suppose the company wishes to sell stock on the New York Stock Exchange (NYSE) for the first time. That would be an IPO. The company would partner with securities lawyers and investment banks to accomplish the sale. The banks underwrite the sale of the securities: in exchange for a fee, the bank will buy the shares from BCT and then sell them. The company and its team prepare a registration statement, which contains required information about the IPO and is submitted to the Securities and Exchange Commission (SEC). The SEC reviews the registration statement and makes the decision whether to permit or prohibit BCT’s IPO. Once the SEC approves the IPO, BCT’s investment banks purchase the shares in the primary market and then resell them to investors on the secondary market on the NYSE. (For a further discussion of these two markets,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28 "Securities Regulation"</w:t>
      </w:r>
      <w:r>
        <w:rPr>
          <w:rFonts w:ascii="Georgia" w:hAnsi="Georgia" w:cs="Calibri"/>
          <w:color w:val="333333"/>
          <w:sz w:val="20"/>
          <w:szCs w:val="20"/>
          <w:lang w:val="en"/>
        </w:rPr>
        <w:t>). Stock sales are not limited to an IPO—publicly traded corporations may sell stock several times after going public. The requirements of the 1933 act remain but are loosened for well-known corporations (well-known seasoned issuers).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IPO or stock sale has several advantages. A corporation may have too much debt and would prefer to raise funds through a sale of stock rather than increasing its debt. The total costs of selling stock are often lower than financing through debt: the IPO may be expensive, but debt costs can vastly exceed the IPO cost because of the interest payments on the debt. Also, IPOs are a popular method of increasing a firm’s exposure, bringing the corporation many more investors and increasing its public image. Issuing stock is also beneficial for the corporation because the corporation can use shares as compensation; for example, employment compensation may be in the form of stock, such as in an employee stock ownership plan. Investors also seek common stock, whether in an IPO or in the secondary market. While common stock is a riskier investment than a bond, stock ownership can have tremendous upside—after all, the sky is the limit on the price of a stock. On the other hand, there is the downside: the price of the stock can plummet, causing the shareholder significant monetary loss.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Certainly, an IPO has some disadvantages. Ownership is diluted: BCT had very few owners before its IPO but may have millions of owners after the IPO. As mentioned, an IPO can be expensive. An IPO can also be undervalued: the corporation and its investment banks may undervalue the IPO stock price, causing the corporation to lose out on the difference between its determined price and the market price. Being a public corporation also places the corporation under the purview of the SEC and requires ongoing disclosures. Timing can be problematic: the registration review process can take several weeks. The stock markets can change drastically over that waiting period. Furthermore, the offering could have insufficient purchasers to raise sufficient funds; that is, the public might not have enough interest in purchasing the company’s stock to bring in sufficient funds to the corporation. Finally, a firm that goes public releases information that is available to the public, which could be useful to competitors (trade secrets, innovations, new technology, etc.).</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mentioned, one of the main disadvantages of going public is the SEC review and disclosure requirements. The Securities Exchange Act of 1934 governs most secondary market transactions. The 1934 act places certain requirements on corporations that have sold securities. Both the 1933 and 1934 acts require corporations to disseminate information to the public and/or its investors. These requirements were strengthened after the collapse of Enron in 2001. The SEC realized that its disclosure requirements were not strong enough, as demonstrated by the accounting tricks and downfall of Enron and its accountant, Arthur Andersen.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 result of Enron’s accounting scandal, as well as problems with other corporations, Congress tightened the noose by passing the Sarbanes-Oxley Act of 2002.</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act increased the disclosure of financial information, increased transparency, and required the dissemination of information about what a corporation was doing. For example, Section 302 of Sarbanes-Oxley requires that a corporation’s chief executive officer and chief financial officer certify annual and quarterly reports and state that the report does not contain any material falsehoods and that the financial data accurately reflect the corporation’s condition.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Nature of the Consideration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Consideration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property or services exchanged for stock. While cash is commonly used to purchase stock, a stock purchaser may pay with something other than cash, such as property, whether tangible or intangible, or services or labor performed for the corporation. In most states, promissory notes and contracts for future services are not lawful forms of consideration. The case</w:t>
      </w:r>
      <w:r>
        <w:rPr>
          <w:rStyle w:val="Emphasis"/>
          <w:rFonts w:ascii="Georgia" w:hAnsi="Georgia" w:cs="Calibri"/>
          <w:color w:val="333333"/>
          <w:sz w:val="20"/>
          <w:szCs w:val="20"/>
          <w:lang w:val="en"/>
        </w:rPr>
        <w:t>United Steel Industries, Inc. v. Manhart</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26.7.1 "Consideration in Exchange for Stock"</w:t>
      </w:r>
      <w:r>
        <w:rPr>
          <w:rFonts w:ascii="Georgia" w:hAnsi="Georgia" w:cs="Calibri"/>
          <w:color w:val="333333"/>
          <w:sz w:val="20"/>
          <w:szCs w:val="20"/>
          <w:lang w:val="en"/>
        </w:rPr>
        <w:t>), illustrates the problems that can arise when services or promises of future delivery are intended as payment for stock.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Evaluating the Consideration: Watered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United Steel Industries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26.7.1 "Consideration in Exchange for Stock"</w:t>
      </w:r>
      <w:r>
        <w:rPr>
          <w:rFonts w:ascii="Georgia" w:hAnsi="Georgia" w:cs="Calibri"/>
          <w:color w:val="333333"/>
          <w:sz w:val="20"/>
          <w:szCs w:val="20"/>
          <w:lang w:val="en"/>
        </w:rPr>
        <w:t>), assume that Griffitts’s legal services had been thought by the corporation to be worth $6,000 but in fact were worth $1,000, and that he had received stock with par value of $6,000 (i.e., 6,000 shares of $1 par value stock) in exchange for his services. Would Griffitts be liable for the $5,000 difference between the actual value of his services and the stock’s par value? This is the problem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watered stock</w:t>
      </w:r>
      <w:r>
        <w:rPr>
          <w:rFonts w:ascii="Georgia" w:hAnsi="Georgia" w:cs="Calibri"/>
          <w:color w:val="333333"/>
          <w:sz w:val="20"/>
          <w:szCs w:val="20"/>
          <w:lang w:val="en"/>
        </w:rPr>
        <w:t>: the inflated consideration is in fact less than par value. The term itself comes from the ancient fraud of farmers and ranchers who increased the weight of their cattle (also known as stock) by forcing them to ingest excess water.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majority of states follow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good-faith rule</w:t>
      </w:r>
      <w:r>
        <w:rPr>
          <w:rFonts w:ascii="Georgia" w:hAnsi="Georgia" w:cs="Calibri"/>
          <w:color w:val="333333"/>
          <w:sz w:val="20"/>
          <w:szCs w:val="20"/>
          <w:lang w:val="en"/>
        </w:rPr>
        <w:t>. As noted near the end of the</w:t>
      </w:r>
      <w:r>
        <w:rPr>
          <w:rStyle w:val="Emphasis"/>
          <w:rFonts w:ascii="Georgia" w:hAnsi="Georgia" w:cs="Calibri"/>
          <w:color w:val="333333"/>
          <w:sz w:val="20"/>
          <w:szCs w:val="20"/>
          <w:lang w:val="en"/>
        </w:rPr>
        <w:t>United Steel Industries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in the absence of fraud, “the judgment of the board of directors ‘as to the value of consideration received for shares’ is conclusive.” In other words, if the directors or shareholders conclude in good faith that the consideration does fairly reflect par value, then the stock is not watered and the stock buyer cannot be assessed for the difference. This is in line with the business judgment rule,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27 "Corporate Powers and Management"</w:t>
      </w:r>
      <w:r>
        <w:rPr>
          <w:rFonts w:ascii="Georgia" w:hAnsi="Georgia" w:cs="Calibri"/>
          <w:color w:val="333333"/>
          <w:sz w:val="20"/>
          <w:szCs w:val="20"/>
          <w:lang w:val="en"/>
        </w:rPr>
        <w:t>. If the directors concluded in good faith that the consideration provided by Griffitts’s services accurately reflected the value of the shares, they would not be liable. The minority approach is the true value rule: the consideration must in fact equal par value by an objective standard at the time the shares are issued, regardless of the board’s good-faith judgment.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shareholder may commence a derivative lawsuit (a suit by a shareholder, on behalf of the corporation, often filed against the corporation;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27 "Corporate Powers and Management"</w:t>
      </w:r>
      <w:r>
        <w:rPr>
          <w:rFonts w:ascii="Georgia" w:hAnsi="Georgia" w:cs="Calibri"/>
          <w:color w:val="333333"/>
          <w:sz w:val="20"/>
          <w:szCs w:val="20"/>
          <w:lang w:val="en"/>
        </w:rPr>
        <w:t>). In a watered stock lawsuit, the derivative suit is filed against a shareholder who has failed to pay full consideration under either rule to recover the difference between the value received by the corporation and the par value.</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Corporations may raise funds through the sale of stock. This can be accomplished through an initial public offering (IPO)—the first time a corporation sells stock—or through stock sales after an IPO. The SEC is the regulatory body that oversees the sale of stock. A sale of stock has several benefits for the corporation, such as avoiding the use of debt, which can be much more expensive than selling stock. Stock sales also increase the firm’s exposure and attract investors who prefer more risk than bonds. On the other hand, stock sales have some disadvantages, namely, the dilution of ownership of the corporation. Also, the corporation may undervalue its shares, thus missing out on additional capital because of the undervaluation. Being a publicly traded company places the corporation under the extensive requirements of the SEC and the 1933 and 1934 securities acts, such as shareholder meetings and annual financial reports. The Sarbanes-Oxley Act adds yet more requirements that a corporation may wish to avoid.</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Consideration is property or services exchanged for stock. Most investors will exchange money for stock. Certain forms of consideration are not permitted. Finally, a corporation may be liable if it sells watered stock, where consideration received by the corporation is less than the stock par value.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4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process of conducting an IPO.</w:t>
      </w:r>
    </w:p>
    <w:p w:rsidR="00A86150" w:rsidRDefault="00F714D4">
      <w:pPr>
        <w:numPr>
          <w:ilvl w:val="0"/>
          <w:numId w:val="64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advantages of selling stock?</w:t>
      </w:r>
    </w:p>
    <w:p w:rsidR="00A86150" w:rsidRDefault="00F714D4">
      <w:pPr>
        <w:numPr>
          <w:ilvl w:val="0"/>
          <w:numId w:val="64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disadvantages of selling stock?</w:t>
      </w:r>
    </w:p>
    <w:p w:rsidR="00A86150" w:rsidRDefault="00F714D4">
      <w:pPr>
        <w:numPr>
          <w:ilvl w:val="0"/>
          <w:numId w:val="64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consideration? What are some types of consideration that may not be acceptable?</w:t>
      </w:r>
    </w:p>
    <w:p w:rsidR="00A86150" w:rsidRDefault="0081777E">
      <w:pPr>
        <w:spacing w:after="0"/>
        <w:jc w:val="center"/>
        <w:divId w:val="859121205"/>
      </w:pPr>
      <w:r>
        <w:pict>
          <v:rect id="_x0000_i1134"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For a full discussion of Enron, see Bethany McLean and Peter Elkind,</w:t>
      </w:r>
      <w:r>
        <w:rPr>
          <w:rStyle w:val="apple-converted-space"/>
          <w:rFonts w:ascii="Calibri" w:hAnsi="Calibri" w:cs="Calibri"/>
          <w:color w:val="333333"/>
          <w:sz w:val="20"/>
          <w:szCs w:val="20"/>
        </w:rPr>
        <w:t> </w:t>
      </w:r>
      <w:r>
        <w:rPr>
          <w:rStyle w:val="Emphasis"/>
          <w:rFonts w:ascii="Calibri" w:hAnsi="Calibri" w:cs="Calibri"/>
          <w:color w:val="333333"/>
          <w:sz w:val="20"/>
          <w:szCs w:val="20"/>
        </w:rPr>
        <w:t>Enron: The Smartest Guys in the Room</w:t>
      </w:r>
      <w:r>
        <w:rPr>
          <w:rStyle w:val="apple-converted-space"/>
          <w:rFonts w:ascii="Calibri" w:hAnsi="Calibri" w:cs="Calibri"/>
          <w:color w:val="333333"/>
          <w:sz w:val="20"/>
          <w:szCs w:val="20"/>
        </w:rPr>
        <w:t> </w:t>
      </w:r>
      <w:r>
        <w:rPr>
          <w:rFonts w:ascii="Calibri" w:hAnsi="Calibri" w:cs="Calibri"/>
          <w:color w:val="333333"/>
          <w:sz w:val="20"/>
          <w:szCs w:val="20"/>
        </w:rPr>
        <w:t>(New York: Portfolio, 2004).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Sarbanes-Oxley Act can be viewed at University of Cincinnati, “The Sarbanes-Oxley Act of 2002,”</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Securities Lawyer’s Deskbook</w:t>
      </w:r>
      <w:r>
        <w:rPr>
          <w:rFonts w:ascii="Calibri" w:hAnsi="Calibri" w:cs="Calibri"/>
          <w:color w:val="333333"/>
          <w:sz w:val="20"/>
          <w:szCs w:val="20"/>
        </w:rPr>
        <w:t>,</w:t>
      </w:r>
      <w:r>
        <w:rPr>
          <w:rStyle w:val="apple-converted-space"/>
          <w:rFonts w:ascii="Calibri" w:hAnsi="Calibri" w:cs="Calibri"/>
          <w:color w:val="333333"/>
          <w:sz w:val="20"/>
          <w:szCs w:val="20"/>
        </w:rPr>
        <w:t> </w:t>
      </w:r>
      <w:hyperlink r:id="rId75" w:tgtFrame="_blank" w:history="1">
        <w:r>
          <w:rPr>
            <w:rStyle w:val="Hyperlink"/>
            <w:rFonts w:ascii="Calibri" w:hAnsi="Calibri" w:cs="Calibri"/>
            <w:color w:val="2689C6"/>
            <w:sz w:val="20"/>
            <w:szCs w:val="20"/>
          </w:rPr>
          <w:t>http://taft.law.uc.edu/CCL/SOact/toc.html</w:t>
        </w:r>
      </w:hyperlink>
      <w:r>
        <w:rPr>
          <w:rFonts w:ascii="Calibri"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26.5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Dividends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47"/>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several types of dividends.</w:t>
      </w:r>
    </w:p>
    <w:p w:rsidR="00A86150" w:rsidRDefault="00F714D4">
      <w:pPr>
        <w:numPr>
          <w:ilvl w:val="0"/>
          <w:numId w:val="647"/>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Review legal limitations on distributing dividends.</w:t>
      </w:r>
    </w:p>
    <w:p w:rsidR="00A86150" w:rsidRDefault="00F714D4">
      <w:pPr>
        <w:numPr>
          <w:ilvl w:val="0"/>
          <w:numId w:val="647"/>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Define the duties of directors when paying dividends.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Types of Dividends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dividend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share of profits, a dividing up of the company’s earnings. The law does not require a corporation to give out a specific type of dividend.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Cash Dividend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a company’s finances are such that it can declare a dividend to stockholders, a cash dividend always is permissible. It is a payment (by check, ordinarily) to the stockholders of a certain amount of money per share. Under current law, qualified dividends are taxed as a long-term capital gain (usually 15 percent, but the figure can be as low as zero percent under current law). These rules are set to expire in 2013, when dividends will be taxed as ordinary income (i.e., at the recipient’s ordinary income tax rate).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Stock Dividend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Next to cash, the most frequent type of dividend is stock itself. Normally, the corporation declares a small percentage dividend (between 1 and 10 percent), so that a holder of one hundred shares would receive four new shares on a 4 percent dividend share. Although each shareholder winds up with more stock, he realizes no personal net gain at that moment, as he would with a cash dividend, because each stockholder has the same relative proportion of shares and has not sold or otherwise transferred the shares or dividend. The total outstanding stock represents no greater amount of assets than before. The corporation may issue share dividends either from treasury stock or from authorized but unissued shares.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Property Dividend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Rarely, corporations pay dividends in property rather than in cash. Armand Hammer, the legendary financier and CEO of Occidental Petroleum Corporation, recounts how during World War II he founded a liquor business by buying shares of the American Distilling Company. American Distilling was giving out one barrel of whiskey per share as a dividend. Whiskey was in short supply during the war, so Hammer bought five thousand shares and took five thousand barrels of whiskey as a dividend.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Stock Split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stock dividend should be distinguished from a stock split. In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stock split</w:t>
      </w:r>
      <w:r>
        <w:rPr>
          <w:rFonts w:ascii="Georgia" w:hAnsi="Georgia" w:cs="Calibri"/>
          <w:color w:val="333333"/>
          <w:sz w:val="20"/>
          <w:szCs w:val="20"/>
          <w:lang w:val="en"/>
        </w:rPr>
        <w:t>, one share is divided into more shares—for example, a two-for-one split means that for every one share the stockholder owned before the split, he now has two shares. In a reverse stock split, shares are absorbed into one. In a one-for-two reverse split, the stockholder will get one share in place of the two he held before the split.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stock split has no effect on the assets of the company, nor is the interest of any shareholder diluted. No transfer from surplus into stated capital is necessary. The only necessary accounting change is the adjustment of par value and stated value. Because par value is being changed, many states require not only the board of directors but also the shareholders to approve a stock split.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Why split? The chief reason is to reduce the current market price of the stock in order to make it affordable to a much wider class of investors. For example, in 1978, IBM, whose stock was then selling for around $284, split four for one, reducing the price to about $70 a share. That was the lowest IBM’s stock had been since 1932. Stock need not sell at stratospheric prices to be split, however; for example, American Telnet Corporation, whose stock had been selling at $0.4375 a share, declared a five-for-one split in 1980. Apparently the company felt that the stock would be more affordable at $0.0875 a share. At the opposite end of the spectrum are Class A shares of Warren Buffett’s Berkshire Hathaway, which routinely trade for more than $100,000 a share. Buffett has rebuffed efforts to split the Class A shares, but in 2010, shareholders approved a fifty-for-one split of Class B shares.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Legal Limitations on Dividends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imposes certain limitations on cash or property dividends a corporation may disburse. Dividends may not be paid if (1) the business is insolvent (i.e., unable to pay its debts as they become due), (2) paying dividends would make it insolvent, or (3) payment would violate a restriction in the articles of incorporation. Most states also restrict the funds available for distribution to those available in earned surplus. Under this rule, a corporation that ran a deficit in the current year could still declare a dividend as long as the total earned surplus offset the deficit.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few states—significantly, Delaware is one of them—permit dividends to be paid out of the net of current earnings and those of the immediately preceding year, both years taken as a single period, even if the balance sheet shows a negative earned surplus. Such dividends are known as nimble dividends.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Weinberg v. Baltimore Brick Co.</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Distribution from Capital Surplus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Assets in the form of cash or property may be distributed from capital surplus if the articles of incorporation so provide or if shareholders approve the distribution. Such distributions must be identified to the shareholders as coming from capital surplus.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Record Date, Payment Date, Rights of Stockholders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securities exchange rules, the board of directors cannot simply declare a dividend payable on the date of the board meeting and instruct the treasurer to hand out cash. The board must fix two dates: a record date and a payment date. By the first, the board declares a dividend for shareholders of record as of a certain future date—perhaps ten days hence. Actual payment of the dividend is postponed until the payment date, which could be a month after the record date.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board’s action creates a debtor-creditor relationship between the corporation and its shareholders. The company may not revoke a cash dividend unless the shareholders consent. It may revoke a share dividend as long as the shares have not been issued.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Discretion of Directors to Pay Dividends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When Directors Are Too Stingy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every state, dividends are normally payable only at the discretion of the directors. Courts will order distribution only if they are expressly mandatory or if it can be shown that the directors abused their discretion by acting fraudulently or in a manner that was manifestly unreasonable.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Dodge v. Ford Motor Co.</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26.7.2 "Payment of Dividends"</w:t>
      </w:r>
      <w:r>
        <w:rPr>
          <w:rFonts w:ascii="Georgia" w:hAnsi="Georgia" w:cs="Calibri"/>
          <w:color w:val="333333"/>
          <w:sz w:val="20"/>
          <w:szCs w:val="20"/>
          <w:lang w:val="en"/>
        </w:rPr>
        <w:t>), involves Henry Ford’s refusal in 1916 to pay dividends in order to reinvest profits; it is often celebrated in business annals because of Ford’s testimony at trial, although, as it turned out, the courts held his refusal to be an act of miserliness and an abuse of discretion. Despite this ruling, many corporations today do not pay dividends. Corporations may decide to reinvest profits in the corporation rather than pay a dividend to its shareholders, or to just sit on the cash. For example, Apple Computer, Inc., maker of many popular computers and consumer electronics, saw its share price skyrocket in the late 2000s. Apple also became one of the most valuable corporations in the world. Despite an immense cash reserve, Apple has refused to pay a dividend, choosing instead to reinvest in the business, stating that they require a large cash reserve as a security blanket for acquisitions or to develop new products. Thus despite the ruling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Dodge v. Ford Motor Co</w:t>
      </w:r>
      <w:r>
        <w:rPr>
          <w:rFonts w:ascii="Georgia" w:hAnsi="Georgia" w:cs="Calibri"/>
          <w:color w:val="333333"/>
          <w:sz w:val="20"/>
          <w:szCs w:val="20"/>
          <w:lang w:val="en"/>
        </w:rPr>
        <w:t>., courts will usually not intercede in a corporation’s decision not to pay dividends, following the business judgment rule and the duties of directors. (For further discussion of the duties of directors,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27 "Corporate Powers and Management"</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When Directors Are Too Generous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Directors who vote to declare and distribute dividends in excess of those allowed by law or by provisions in the articles of incorporation personally may become jointly and severally liable to the corporation (but liability may be reduced or eliminated under the business judgment rule). Shareholders who receive a dividend knowing it is unlawful must repay any directors held liable for voting the illegal dividend. The directors are said to be entitled to contribution from such shareholders. Even when directors have not been sued, some courts have held that shareholders must repay dividends received when the corporation is insolvent or when they know that the dividends are illegal.</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dividend is a payment made from the corporation to its shareholders. A corporation may pay dividends through a variety of methods, although money and additional shares are the most common. Corporations may increase or decrease the total number of shares through either a stock split or a reverse stock split. A corporation may decide to pay dividends but is not required to do so and cannot issue dividends if the corporation is insolvent. Directors may be liable to the corporation for dividend payments that violate the articles of incorporation or are illegal.</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4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 dividend, and what are the main types of dividends?</w:t>
      </w:r>
    </w:p>
    <w:p w:rsidR="00A86150" w:rsidRDefault="00F714D4">
      <w:pPr>
        <w:numPr>
          <w:ilvl w:val="0"/>
          <w:numId w:val="64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Is a corporation required to pay dividends? Under what circumstances is a corporation barred from paying dividends?</w:t>
      </w:r>
    </w:p>
    <w:p w:rsidR="00A86150" w:rsidRDefault="00F714D4">
      <w:pPr>
        <w:numPr>
          <w:ilvl w:val="0"/>
          <w:numId w:val="64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You have ten shares of BCT, valued at $10 each. The company engages in a two-for-one stock split. How many shares do you now have? What is the value of each share, and what is the total value of all of your BCT shares?</w:t>
      </w:r>
    </w:p>
    <w:p w:rsidR="00A86150" w:rsidRDefault="0081777E">
      <w:pPr>
        <w:spacing w:after="0"/>
        <w:jc w:val="center"/>
        <w:divId w:val="992760810"/>
      </w:pPr>
      <w:r>
        <w:pict>
          <v:rect id="_x0000_i1135"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Style w:val="apple-converted-space"/>
          <w:rFonts w:ascii="Calibri" w:hAnsi="Calibri" w:cs="Calibri"/>
          <w:color w:val="333333"/>
          <w:sz w:val="20"/>
          <w:szCs w:val="20"/>
        </w:rPr>
        <w:t> </w:t>
      </w:r>
      <w:r>
        <w:rPr>
          <w:rFonts w:ascii="Calibri" w:hAnsi="Calibri" w:cs="Calibri"/>
          <w:color w:val="333333"/>
          <w:sz w:val="20"/>
          <w:szCs w:val="20"/>
        </w:rPr>
        <w:t>covers many stock splits and reverse splits in its finance section, available at</w:t>
      </w:r>
      <w:r>
        <w:rPr>
          <w:rStyle w:val="apple-converted-space"/>
          <w:rFonts w:ascii="Calibri" w:hAnsi="Calibri" w:cs="Calibri"/>
          <w:color w:val="333333"/>
          <w:sz w:val="20"/>
          <w:szCs w:val="20"/>
        </w:rPr>
        <w:t> </w:t>
      </w:r>
      <w:hyperlink r:id="rId76" w:tgtFrame="_blank" w:history="1">
        <w:r>
          <w:rPr>
            <w:rStyle w:val="Hyperlink"/>
            <w:rFonts w:ascii="Calibri" w:hAnsi="Calibri" w:cs="Calibri"/>
            <w:color w:val="2689C6"/>
            <w:sz w:val="20"/>
            <w:szCs w:val="20"/>
          </w:rPr>
          <w:t>http://www.businessweek.com/finance</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Weinberg v. Baltimore Brick Co.</w:t>
      </w:r>
      <w:r>
        <w:rPr>
          <w:rFonts w:ascii="Calibri" w:hAnsi="Calibri" w:cs="Calibri"/>
          <w:color w:val="333333"/>
          <w:sz w:val="20"/>
          <w:szCs w:val="20"/>
        </w:rPr>
        <w:t>, 35 Del. Ch. 225; 114 A.2d 812 (Del. 1955).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26.6</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The Winds of Change</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49"/>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modern changes to corporate finance terminology and specific requirements imposed by states.</w:t>
      </w:r>
    </w:p>
    <w:p w:rsidR="00A86150" w:rsidRDefault="00F714D4">
      <w:pPr>
        <w:numPr>
          <w:ilvl w:val="0"/>
          <w:numId w:val="649"/>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Compare the application of the Uniform Commercial Code to corporate finance with the applicability of the 1933 and 1934 federal securities acts.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Changes in the Revised Model Business Corporation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Perhaps the most dramatic innovations incorporated into the Revised Model Business Corporation Act (RMBCA) are the financial provisions. The revisions recommend eliminating concepts such as par value stock, no-par stock, stated capital, capital surplus, earned surplus, and treasury shares. It was felt that these concepts—notably par value and stated capital—no longer serve their original purpose of protecting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key definition under the revisions is that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distributions</w:t>
      </w:r>
      <w:r>
        <w:rPr>
          <w:rFonts w:ascii="Georgia" w:hAnsi="Georgia" w:cs="Calibri"/>
          <w:color w:val="333333"/>
          <w:sz w:val="20"/>
          <w:szCs w:val="20"/>
          <w:lang w:val="en"/>
        </w:rPr>
        <w:t>—that is, any transfer of money or property to the shareholders. In order to make distributions, a corporation must meet the traditional insolvency test and balance sheet tests. Under the balance sheet test, corporate assets must be greater than or equal to liabilities and liquidation preferences on senior equity. The RMBCA also provides that promissory notes and contracts for future services may be used in payment for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is important to note that the RMBCA is advisory. Not every state has abandoned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par value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the other financial terms. For example, Delaware is quite liberal with its requirements: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Every corporation may issue 1 or more classes of stock or 1 or more series of stock within any class thereof, any or all of which classes may be of stock with par value or stock without par value and which classes or series may have such voting powers, full or limited, or no voting powers, and such designations, preferences and relative, participating, optional or other special rights, and qualifications, limitations or restrictions thereof, as shall be stated and expressed in the certificate of incorporation or of any amendment thereto, or in the resolution or resolutions providing for the issue of such stock adopted by the board of directors pursuant to authority expressly vested in it by the provisions of its certificate of incorporation.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Therefore, although the modern trend is to move away from</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par value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as well as some other previously discussed terms—</w:t>
      </w:r>
      <w:r>
        <w:rPr>
          <w:rStyle w:val="Emphasis"/>
          <w:rFonts w:ascii="Georgia" w:hAnsi="Georgia" w:cs="Calibri"/>
          <w:color w:val="333333"/>
          <w:sz w:val="20"/>
          <w:szCs w:val="20"/>
          <w:lang w:val="en"/>
        </w:rPr>
        <w:t>and despite the RMBCA’s abandonment of these concepts</w:t>
      </w:r>
      <w:r>
        <w:rPr>
          <w:rFonts w:ascii="Georgia" w:hAnsi="Georgia" w:cs="Calibri"/>
          <w:color w:val="333333"/>
          <w:sz w:val="20"/>
          <w:szCs w:val="20"/>
          <w:lang w:val="en"/>
        </w:rPr>
        <w:t>—they still, in large measure, persist.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Introduction to Article 8 of the Uniform Commercial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Partial ownership of a corporation would be an awkward investment if there were no ready means of transfer. The availability of paper certificates as tangible evidence of the ownership of equity securities solves the problem of what to transfer, but since a corporation must maintain records of its owners, a set of rules is necessary to spell out how transfers are to be made. That set of rules is Article 8 of the Uniform Commercial Code (UCC). Article 8 governs certificated securities, uncertificated securities, registration requirements, transfer, purchase, and other specifics of securities. Article 8 can be viewed at</w:t>
      </w:r>
      <w:hyperlink r:id="rId77" w:tgtFrame="_blank" w:history="1">
        <w:r>
          <w:rPr>
            <w:rStyle w:val="Hyperlink"/>
            <w:rFonts w:ascii="Georgia" w:hAnsi="Georgia" w:cs="Calibri"/>
            <w:color w:val="2689C6"/>
            <w:sz w:val="20"/>
            <w:szCs w:val="20"/>
            <w:lang w:val="en"/>
          </w:rPr>
          <w:t>http://www.law.cornell.edu/ucc/8/overview.html</w:t>
        </w:r>
      </w:hyperlink>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UCC and the 1933 and 1934 Securities Acts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Securities Act of 1933 requires the registration of securities that are sold or offered to be sold using interstate commerce. The Securities Exchange Act of 1934 governs the secondary trading of securities, such as stock market sales. The UCC also governs securities, through Articles 8 and 9. The key difference is that the 1933 and 1934 acts are federal law, while the UCC operates at the state level. The UCC was established to standardize state laws governing sales and commercial transactions. There are some substantial differences, however, between the two acts and the UCC. Without going into exhaustive detail, it is important to note a few of them. For one, the definition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security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the UCC is different from the definition in the 1933 and 1934 acts. Thus a security may be governed by the securities acts but not by the UCC. The definition of a private placement of securities also differs between the UCC and the securities acts. Other differences exist.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UCC, as well as state-specific laws, and the federal securities laws should all be considered in financial transactions.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 RMBCA advises doing away with financial concepts such as stock par value. Despite this suggestion, these concepts persist. Corporate finance is regulated through a variety of mechanisms, most notably Articles 8 and 9 of the Uniform Commercial Code and the 1933 and 1934 securities acts.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5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suggested changes are made by the RMBCA?</w:t>
      </w:r>
    </w:p>
    <w:p w:rsidR="00A86150" w:rsidRDefault="00F714D4">
      <w:pPr>
        <w:numPr>
          <w:ilvl w:val="0"/>
          <w:numId w:val="65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does UCC Article 8 govern?</w:t>
      </w:r>
    </w:p>
    <w:p w:rsidR="00A86150" w:rsidRDefault="0081777E">
      <w:pPr>
        <w:spacing w:after="0"/>
        <w:jc w:val="center"/>
        <w:divId w:val="1640526740"/>
      </w:pPr>
      <w:r>
        <w:pict>
          <v:rect id="_x0000_i1136"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Del. Code Ann. tit. 8, § 151 (2011).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See Lynn Soukup, “Securities Law and the UCC: When Godzilla Meets Bambi,”</w:t>
      </w:r>
      <w:r>
        <w:rPr>
          <w:rStyle w:val="apple-converted-space"/>
          <w:rFonts w:ascii="Calibri" w:hAnsi="Calibri" w:cs="Calibri"/>
          <w:color w:val="333333"/>
          <w:sz w:val="20"/>
          <w:szCs w:val="20"/>
        </w:rPr>
        <w:t> </w:t>
      </w:r>
      <w:r>
        <w:rPr>
          <w:rStyle w:val="Emphasis"/>
          <w:rFonts w:ascii="Calibri" w:hAnsi="Calibri" w:cs="Calibri"/>
          <w:color w:val="333333"/>
          <w:sz w:val="20"/>
          <w:szCs w:val="20"/>
        </w:rPr>
        <w:t>Uniform Commercial Code Law Journal</w:t>
      </w:r>
      <w:r>
        <w:rPr>
          <w:rStyle w:val="apple-converted-space"/>
          <w:rFonts w:ascii="Calibri" w:hAnsi="Calibri" w:cs="Calibri"/>
          <w:color w:val="333333"/>
          <w:sz w:val="20"/>
          <w:szCs w:val="20"/>
        </w:rPr>
        <w:t> </w:t>
      </w:r>
      <w:r>
        <w:rPr>
          <w:rFonts w:ascii="Calibri" w:hAnsi="Calibri" w:cs="Calibri"/>
          <w:color w:val="333333"/>
          <w:sz w:val="20"/>
          <w:szCs w:val="20"/>
        </w:rPr>
        <w:t>38, no. 1 (Summer 2005): 3–28.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26.7</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Consideration in Exchange for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United Steel Industries, Inc. v. Manhart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405 S.W.2d 231 (Tex. 1966)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MCDONALD, CHIEF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by defendants, United Steel Industries, Inc., J. R. Hurt and W. B. Griffitts, from a judgment declaring void and cancelling 5000 shares of stock in United Steel Industries, Inc. issued to Hurt, and 4000 shares of stock in such corporation issued to Griffitts.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Manhart filed this suit individually and as major stockholders against defendants United Steel Industries, Inc., Hurt, and Griffitts, alleging the corporation had issued Hurt 5000 shares of its stock in consideration of Hurt agreeing to perform CPA and bookkeeping services for the corporation for one year in the future; and had issued Griffitts 4000 shares of its stock in consideration for the promised conveyance of a 5 acre tract of land to the Corporation, which land was never conveyed to the Corporation. Plaintiffs assert the 9000 shares of stock were issued in violation of Article 2.16 Business Corporation Act, and prayed that such stock be declared void and cancelled.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 was before the Court without a jury which, after hearing, entered judgment declaring the 5000 shares of stock issued to Hurt, and the 4000 shares issued to Griffitts, issued without valid consideration, void, and decreeing such stock cancelled.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(on ample evidence) that the incorporators of the Corporation made an agreement with Hurt to issue him 5000 shares in consideration of Hurt’s agreement to perform bookkeeping and accounting services for the Corporation for the first year of its operation. The Corporation minutes reflect the 5000 shares issued to Hurt “in consideration of labor done, services in the incorporation and organization of the Corporation.” The trial court found (on ample evidence) that such minutes do not reflect the true consideration agreed upon, and that Hurt performed no services for the Corporation prior to February 1, 1965. The Articles of Incorporation were filed on January 28, 1965, and the 5000 shares were issued to Hurt on May 29, 1965. There is evidence that Hurt performed some services for the Corporation between January and May 29, 1965; but Hurt himself testified the “5000 (shares) were issued to me for services rendered or to be rendered for the first year in keeping the books.…”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situation is thus one where the stock was issued to Hurt both for services already performed and for services to be rendered in the future.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concluded the promise of future services was not a valid consideration for the issuance of stock under Article 2.16 Business Corporation Act; that the issuance was void; and that since there was no apportionment of the value of future services from the value of services already rendered, the entire 5000 shares were illegally issued and void.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12, Section 6, Texas Constitution, provides: “No corporation shall issue stock…except for money paid, labor done, or property actually received.…” And Article 2.16 Texas Business Corporation Act provides: “Payment for Shares.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The consideration paid for the issuance of shares shall consist of money paid, labor done, or property actually received. Shares may not be issued until the full amount of the consideration, fixed as provided by law, has been paid.…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Neither promissory notes nor the promise of future services shall constitute payment or part payment for shares of a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 In the absence of fraud in the transaction, the judgment of the board of directors…as to the value of the consideration received for shares shall be conclusive.”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Circuit in Champion v. CIR, 303 Fed. 2d 887 construing the foregoing constitutional provision and Article 2.16 of the Business Corporation Act, held: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it is provided that stock can be issued for labor done, as in Texas…the requirement is not met where the consideration for the stock is work or services to be performed in the future.…The situation is not changed by reason of the provision that the stock was to be given…for services rendered as well as to be rendered, since there was no allocation or apportionment of stock between services performed and services to be performed.”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5000 shares were issued before the future services were rendered. Such stock was illegally issued and void.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Griffitts was issued 10,000 shares partly in consideration for legal services to the Corporation and partly in exchange for the 5 acres of land. The stock was valued at $1 per share and the land had an agreed value of $4000. The trial court found (upon ample evidence) that the 4000 shares of stock issued to Griffitts was in consideration of his promise to convey the land to the Corporation; that Griffitts never conveyed the land; and the issuance of the stock was illegal and void.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board of directors “as to the value of consideration received for shares” is conclusive, but such does not authorize the board to issue shares contrary to the Constitution, for services to be performed in the future (as in the case of Hurt), or for property not received (as in the case of Griffitts).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correct. Defendants’ points and contentions are overruled.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wrong with the consideration in the transaction between United Steel and Hurt?</w:t>
      </w:r>
    </w:p>
    <w:p w:rsidR="00A86150" w:rsidRDefault="00F714D4">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Hurt had completed one year of bookkeeping prior to receiving his shares?</w:t>
      </w:r>
    </w:p>
    <w:p w:rsidR="00A86150" w:rsidRDefault="00F714D4">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wrong with the consideration Griffitts provided for the 4,000 shares he received?</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Payment of Dividends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Dodge v. Ford Motor Co.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204 Mich. 459, 170 N.W. 668 (Mich. 1919)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[Action by plaintiffs John F. Dodge and Horace E. Dodge against defendant Ford Motor Company and its directors. The lower court ordered the directors to declare a dividend in the amount of $19,275,385.96. The court also enjoined proposed expansion of the company. The defendants appealed.]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for plaintiffs must rest upon the claim, and the proof in support of it, that the proposed expansion of the business of the corporation, involving the further use of profits as capital, ought to be enjoined because it is inimical to the best interests of the company and its shareholders, and upon the further claim that in any event the withholding of the special dividend asked for by plaintiffs is arbitrary action of the directors requiring judicial interference.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which will govern courts in deciding these questions is not in dispute. It is, of course, differently phrased by judges and by authors, and, as the phrasing in a particular instance may seem to lean for or against the exercise of the right of judicial interference with the actions of corporate directors, the context, or the facts before the court, must be considered.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 Morawetz on Corporations (2d Ed.), § 447, it is stated: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Profits earned by a corporation may be divided among its shareholders; but it is not a violation of the charter if they are allowed to accumulate and remain invested in the company’s business. The managing agents of a corporation are impliedly invested with a discretionary power with regard to the time and manner of distributing its profits. They may apply profits in payment of floating or funded debts, or in development of the company’s business; and so long as they do not abuse their discretionary powers, or violate the company’s charter, the courts cannot interfere.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it is clear that the agents of a corporation, and even the majority, cannot arbitrarily withhold profits earned by the company, or apply them to any use which is not authorized by the company’s charter.…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Henry Ford is the dominant force in the business of the Ford Motor Company. No plan of operations could be adopted unless he consented, and no board of directors can be elected whom he does not favor. One of the directors of the company has no stock. One share was assigned to him to qualify him for the position, but it is not claimed that he owns it. A business, one of the largest in the world, and one of the most profitable, has been built up. It employs many men, at good pay.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“My ambition,” said Mr. Ford, “is to employ still more men, to spread the benefits of this industrial system to the greatest possible number, to help them build up their lives and their homes. To do this we are putting the greatest share of our profits back in the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regard to dividends, the company paid sixty per cent on its capitalization of two million dollars, or $1,200,000, leaving $58,000,000 to reinvest for the growth of the company. This is Mr. Ford’s policy at present, and it is understood that the other stockholders cheerfully accede to this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 had made up his mind in the summer of 1916 that no dividends other than the regular dividends should be paid, “for the present.”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“Q. For how long? Had you fixed in your mind any time in the future, when you were going to pay—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“Q. That was indefinite in the future?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That was indefinite, yes, sir.”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and especially the testimony of Mr. Ford, convinces that he has to some extent the attitude towards shareholders of one who has dispensed and distributed to them large gains and that they should be content to take what he chooses to give. His testimony creates the impression, also, that he thinks the Ford Motor Company has made too much money, has had too large profits, and that although large profits might be still earned, a sharing of them with the public, by reducing the price of the output of the company, ought to be undertaken. We have no doubt that certain sentiments, philanthropic and altruistic, creditable to Mr. Ford, had large influence in determining the policy to be pursued by the Ford Motor Company—the policy which has been herein referred to.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difference between an incidental humanitarian expenditure of corporate funds for the benefit of the employees, like the building of a hospital for their use and the employment of agencies for the betterment of their condition, and a general purpose and plan to benefit mankind at the expense of others, is obvious. There should be no confusion (of which there is evidence) of the duties which Mr. Ford conceives that he and the stockholders owe to the general public and the duties which in law he and his codirectors owe to protesting, minority stockholders. A business corporation is organized and carried on primarily for the profit of the stockholders. The powers of the directors are to be employed for that end. The discretion of directors is to be exercised in the choice of means to attain that end and does not extend to a change in the end itself, to the reduction of profits or to the nondistribution of profits among stockholders in order to devote them to other purposes.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are not, however, persuaded that we should interfere with the proposed expansion of the business of the Ford Motor Company. In view of the fact that the selling price of products may be increased at any time, the ultimate results of the larger business cannot be certainly estimated. The judges are not business experts. It is recognized that plans must often be made for a long future, for expected competition, for a continuing as well as an immediately profitable venture. The experience of the Ford Motor Company is evidence of capable management of its affairs. It may be noticed, incidentally, that it took from the public the money required for the execution of its plan and that the very considerable salaries paid to Mr. Ford and to certain executive officers and employees were not diminished. We are not satisfied that the alleged motives of the directors, in so far as they are reflected in the conduct of the business, menace the interests of shareholders. It is enough to say, perhaps, that the court of equity is at all times open to complaining shareholders having a just grievance.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affirmed the lower court’s order that the company declare a dividend and reversed the lower court’s decision that halted company expansion].</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basis does the court use to order the payment of dividends?</w:t>
      </w:r>
    </w:p>
    <w:p w:rsidR="00A86150" w:rsidRDefault="00F714D4">
      <w:pPr>
        <w:numPr>
          <w:ilvl w:val="0"/>
          <w:numId w:val="6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the court have a positive view of Mr. Ford?</w:t>
      </w:r>
    </w:p>
    <w:p w:rsidR="00A86150" w:rsidRDefault="00F714D4">
      <w:pPr>
        <w:numPr>
          <w:ilvl w:val="0"/>
          <w:numId w:val="6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you reconcile 1 Morawetz on Corporations (2d Ed.), § 447 (“Profits earned by a corporation may be divided among its shareholders; but it is not a violation of the charter if they are allowed to accumulate and remain invested in the company’s business”) with the court’s decision?</w:t>
      </w:r>
    </w:p>
    <w:p w:rsidR="00A86150" w:rsidRDefault="00F714D4">
      <w:pPr>
        <w:numPr>
          <w:ilvl w:val="0"/>
          <w:numId w:val="6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business judgment rule have changed the outcome of this case? Note: The business judgment rule, generally summarized, is that the directors are presumed to act in the best interest of the corporation and its shareholders and to fulfill their fiduciary duties of good faith, loyalty, and due care. The burden is on the plaintiff to prove that a transaction was so one sided that no business person of ordinary judgment would conclude that the transaction was proper and/or fair.</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26.8</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finance through a variety of mechanisms. One method is to reinvest profits in the corporation. Another method is to use private equity. Private equity involves financing from private investors, whether individuals (angel investors) or a private equity firm. Venture capital is often used as a fundraising mechanism by businesses that are just starting operations.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method is to finance through debt, such as a loan or a bond. A corporation sells a bond and agrees to make interest payments over the life of the bond and to pay the face value of the bond at the bond’s maturity.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final important method of raising capital is by the sale of stock. The articles of incorporation govern the total number of shares of stock that the corporation may issue, although it need not issue the maximum. Stock in the hands of shareholders is said to be authorized, issued, and outstanding. Stock may have a par value, which is usually the floor price of the stock. No-par shares may be sold for any price set by the directors.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Preferred stock (1) may have a dividend preference, (2) takes preference upon liquidation, and (3) may be convertible. Common stock normally has the right to (1) ratable participation in earnings, (2) ratable participation in the distribution of net assets on liquidation, and (3) ratable vote.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good-faith judgment of the directors concerning the fair value of the consideration received for stock is determinative. A minority of states adhere to a true value rule that holds to an objective standard.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that sells shares for the first time engages in an initial public offering (IPO). The Securities Act of 1933 governs most IPOs and initial stock sales. A corporation that has previously issued stock may do so many times afterward, depending on the corporation’s needs. The Securities Exchange Act of 1934 governs most secondary market stock sales. The Sarbanes-Oxley Act of 2002 adds another layer of regulation to the financial transactions discussed in this chapter.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dividend is a share of a corporation’s profits. Dividends may be distributed as cash, property, or stock. The law imposes certain limitations on the amount that the corporation may disburse; most states restrict the cash or property available for distribution to earned surplus. However, a few states, including Delaware, permit dividends to be paid out of the net of current earnings and those of the immediately preceding year, both years taken as a single period; these are known as nimble dividends. The directors have discretion, within broad limits, to set the level of dividends; however, they will be jointly and severally liable if they approve dividends higher than allowed by law or under the articles of incorporation.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several options available, corporations face many factors to consider in deciding how to raise funds. Each option is not available to every corporation. Additionally, each option has advantages and disadvantages. A corporation must carefully weigh the pros and cons of each before making a decision to proceed on a particular financing path.</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Ralph and Alice have decided to incorporate their sewer cleaning business under the name R &amp; A, Inc. Their plans call for the authorization and issuance of 5,000 shares of par value stock. Ralph argues that par value must be set at the estimated market value of the stock, while Alice feels that par value is the equivalent of book value—that is, assets divided by the number of shares. Who is correct? Why?</w:t>
      </w:r>
    </w:p>
    <w:p w:rsidR="00A86150" w:rsidRDefault="00F714D4">
      <w:pPr>
        <w:numPr>
          <w:ilvl w:val="0"/>
          <w:numId w:val="6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Ralph feels that R &amp; A should have an IPO of 1 million shares of common stock, to be sold on the New York Stock Exchange (NYSE). What are the pros and cons of conducting an IPO?</w:t>
      </w:r>
    </w:p>
    <w:p w:rsidR="00A86150" w:rsidRDefault="00F714D4">
      <w:pPr>
        <w:numPr>
          <w:ilvl w:val="0"/>
          <w:numId w:val="6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Ralph and Alice decide to issue preferred stock. What does this entail from R &amp; A’s standpoint? From the standpoint of a preferred stock purchaser?</w:t>
      </w:r>
    </w:p>
    <w:p w:rsidR="00A86150" w:rsidRDefault="00F714D4">
      <w:pPr>
        <w:numPr>
          <w:ilvl w:val="0"/>
          <w:numId w:val="653"/>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changes her mind and wants to sell bonds in R &amp; A. What are the pros and cons of selling bonds?</w:t>
      </w:r>
    </w:p>
    <w:p w:rsidR="00A86150" w:rsidRDefault="00F714D4">
      <w:pPr>
        <w:numPr>
          <w:ilvl w:val="0"/>
          <w:numId w:val="6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Ralph and Alice go on to consider options other than financing through an IPO or through the sale of bonds. They want to raise $5 million to get their business up and running, to purchase a building, and to acquire machines to clean sewers. What are some other options Ralph and Alice should consider? What would you suggest they do? Would your suggestion be different if Ralph and Alice wanted to raise $500 million? $50,000?</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6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Corporate funds that come from earnings are called</w:t>
      </w:r>
    </w:p>
    <w:p w:rsidR="00A86150" w:rsidRDefault="00F714D4">
      <w:pPr>
        <w:pStyle w:val="ListParagraph"/>
        <w:numPr>
          <w:ilvl w:val="0"/>
          <w:numId w:val="6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equity securities</w:t>
      </w:r>
    </w:p>
    <w:p w:rsidR="00A86150" w:rsidRDefault="00F714D4">
      <w:pPr>
        <w:pStyle w:val="ListParagraph"/>
        <w:numPr>
          <w:ilvl w:val="0"/>
          <w:numId w:val="6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depletion</w:t>
      </w:r>
    </w:p>
    <w:p w:rsidR="00A86150" w:rsidRDefault="00F714D4">
      <w:pPr>
        <w:pStyle w:val="ListParagraph"/>
        <w:numPr>
          <w:ilvl w:val="0"/>
          <w:numId w:val="6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debt securities</w:t>
      </w:r>
    </w:p>
    <w:p w:rsidR="00A86150" w:rsidRDefault="00F714D4">
      <w:pPr>
        <w:pStyle w:val="ListParagraph"/>
        <w:numPr>
          <w:ilvl w:val="0"/>
          <w:numId w:val="6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plowback</w:t>
      </w:r>
    </w:p>
    <w:p w:rsidR="00A86150" w:rsidRDefault="00F714D4">
      <w:pPr>
        <w:pStyle w:val="para"/>
        <w:numPr>
          <w:ilvl w:val="0"/>
          <w:numId w:val="6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value is specified on a stock certificate, it is said to be</w:t>
      </w:r>
    </w:p>
    <w:p w:rsidR="00A86150" w:rsidRDefault="00F714D4">
      <w:pPr>
        <w:pStyle w:val="ListParagraph"/>
        <w:numPr>
          <w:ilvl w:val="0"/>
          <w:numId w:val="6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par value</w:t>
      </w:r>
    </w:p>
    <w:p w:rsidR="00A86150" w:rsidRDefault="00F714D4">
      <w:pPr>
        <w:pStyle w:val="ListParagraph"/>
        <w:numPr>
          <w:ilvl w:val="0"/>
          <w:numId w:val="6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no-par</w:t>
      </w:r>
    </w:p>
    <w:p w:rsidR="00A86150" w:rsidRDefault="00F714D4">
      <w:pPr>
        <w:pStyle w:val="ListParagraph"/>
        <w:numPr>
          <w:ilvl w:val="0"/>
          <w:numId w:val="6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authorized share</w:t>
      </w:r>
    </w:p>
    <w:p w:rsidR="00A86150" w:rsidRDefault="00F714D4">
      <w:pPr>
        <w:pStyle w:val="ListParagraph"/>
        <w:numPr>
          <w:ilvl w:val="0"/>
          <w:numId w:val="6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65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Common stockholders normally</w:t>
      </w:r>
    </w:p>
    <w:p w:rsidR="00A86150" w:rsidRDefault="00F714D4">
      <w:pPr>
        <w:pStyle w:val="ListParagraph"/>
        <w:numPr>
          <w:ilvl w:val="0"/>
          <w:numId w:val="6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have the right to vote ratably</w:t>
      </w:r>
    </w:p>
    <w:p w:rsidR="00A86150" w:rsidRDefault="00F714D4">
      <w:pPr>
        <w:pStyle w:val="ListParagraph"/>
        <w:numPr>
          <w:ilvl w:val="0"/>
          <w:numId w:val="6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do not have the right to vote ratably</w:t>
      </w:r>
    </w:p>
    <w:p w:rsidR="00A86150" w:rsidRDefault="00F714D4">
      <w:pPr>
        <w:pStyle w:val="ListParagraph"/>
        <w:numPr>
          <w:ilvl w:val="0"/>
          <w:numId w:val="6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never have preemptive rights</w:t>
      </w:r>
    </w:p>
    <w:p w:rsidR="00A86150" w:rsidRDefault="00F714D4">
      <w:pPr>
        <w:pStyle w:val="ListParagraph"/>
        <w:numPr>
          <w:ilvl w:val="0"/>
          <w:numId w:val="6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hold all of the company’s treasury shares</w:t>
      </w:r>
    </w:p>
    <w:p w:rsidR="00A86150" w:rsidRDefault="00F714D4">
      <w:pPr>
        <w:pStyle w:val="para"/>
        <w:numPr>
          <w:ilvl w:val="0"/>
          <w:numId w:val="66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Preferred stock may be</w:t>
      </w:r>
    </w:p>
    <w:p w:rsidR="00A86150" w:rsidRDefault="00F714D4">
      <w:pPr>
        <w:pStyle w:val="ListParagraph"/>
        <w:numPr>
          <w:ilvl w:val="0"/>
          <w:numId w:val="6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entitled to cumulative dividends</w:t>
      </w:r>
    </w:p>
    <w:p w:rsidR="00A86150" w:rsidRDefault="00F714D4">
      <w:pPr>
        <w:pStyle w:val="ListParagraph"/>
        <w:numPr>
          <w:ilvl w:val="0"/>
          <w:numId w:val="6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convertible</w:t>
      </w:r>
    </w:p>
    <w:p w:rsidR="00A86150" w:rsidRDefault="00F714D4">
      <w:pPr>
        <w:pStyle w:val="ListParagraph"/>
        <w:numPr>
          <w:ilvl w:val="0"/>
          <w:numId w:val="6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redeemable</w:t>
      </w:r>
    </w:p>
    <w:p w:rsidR="00A86150" w:rsidRDefault="00F714D4">
      <w:pPr>
        <w:pStyle w:val="ListParagraph"/>
        <w:numPr>
          <w:ilvl w:val="0"/>
          <w:numId w:val="6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para"/>
        <w:numPr>
          <w:ilvl w:val="0"/>
          <w:numId w:val="6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corporation issues stock to the public for the first time, the corporation engages in</w:t>
      </w:r>
    </w:p>
    <w:p w:rsidR="00A86150" w:rsidRDefault="00F714D4">
      <w:pPr>
        <w:pStyle w:val="ListParagraph"/>
        <w:numPr>
          <w:ilvl w:val="0"/>
          <w:numId w:val="6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distribution</w:t>
      </w:r>
    </w:p>
    <w:p w:rsidR="00A86150" w:rsidRDefault="00F714D4">
      <w:pPr>
        <w:pStyle w:val="ListParagraph"/>
        <w:numPr>
          <w:ilvl w:val="0"/>
          <w:numId w:val="6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initial public offering</w:t>
      </w:r>
    </w:p>
    <w:p w:rsidR="00A86150" w:rsidRDefault="00F714D4">
      <w:pPr>
        <w:pStyle w:val="ListParagraph"/>
        <w:numPr>
          <w:ilvl w:val="0"/>
          <w:numId w:val="6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underwriting</w:t>
      </w:r>
    </w:p>
    <w:p w:rsidR="00A86150" w:rsidRDefault="00F714D4">
      <w:pPr>
        <w:pStyle w:val="ListParagraph"/>
        <w:numPr>
          <w:ilvl w:val="0"/>
          <w:numId w:val="6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stock split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27</w:t>
      </w:r>
    </w:p>
    <w:p w:rsidR="00A86150" w:rsidRDefault="0081777E">
      <w:pPr>
        <w:pStyle w:val="Heading1"/>
        <w:shd w:val="clear" w:color="auto" w:fill="FFFFFF"/>
        <w:spacing w:before="0" w:line="240" w:lineRule="atLeast"/>
        <w:jc w:val="center"/>
        <w:textAlignment w:val="baseline"/>
      </w:pPr>
      <w:r>
        <w:pict>
          <v:rect id="_x0000_i1137"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Corporate Powers and Management</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665"/>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powers of a corporation to act</w:t>
      </w:r>
    </w:p>
    <w:p w:rsidR="00A86150" w:rsidRDefault="00F714D4">
      <w:pPr>
        <w:numPr>
          <w:ilvl w:val="0"/>
          <w:numId w:val="665"/>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rights of shareholders</w:t>
      </w:r>
    </w:p>
    <w:p w:rsidR="00A86150" w:rsidRDefault="00F714D4">
      <w:pPr>
        <w:numPr>
          <w:ilvl w:val="0"/>
          <w:numId w:val="665"/>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duties, powers, and liability of officers and directors</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Power within a corporation is present in many areas. The corporation itself has powers, although with limitations. There is a division of power between shareholders, directors, and officers. Given this division of power, certain duties are owed amongst the parties. We focus this chapter upon these powers and upon the duties owed by shareholders, directors, and officers. In</w:t>
      </w:r>
      <w:r>
        <w:rPr>
          <w:rStyle w:val="apple-converted-space"/>
          <w:rFonts w:ascii="Georgia" w:hAnsi="Georgia"/>
          <w:color w:val="333333"/>
          <w:sz w:val="21"/>
          <w:szCs w:val="21"/>
        </w:rPr>
        <w:t> </w:t>
      </w:r>
      <w:r>
        <w:rPr>
          <w:rFonts w:ascii="Georgia" w:hAnsi="Georgia"/>
          <w:color w:val="333333"/>
          <w:sz w:val="21"/>
          <w:szCs w:val="21"/>
        </w:rPr>
        <w:t>, we will continue discussion of officers’ and directors’ liability within the context of securities regulation and insider trading.</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27.1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Powers of a Corporation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66"/>
        </w:numPr>
        <w:shd w:val="clear" w:color="auto" w:fill="EAE9DC"/>
        <w:tabs>
          <w:tab w:val="clear" w:pos="720"/>
          <w:tab w:val="num" w:pos="19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two types of corporate power.</w:t>
      </w:r>
    </w:p>
    <w:p w:rsidR="00A86150" w:rsidRDefault="00F714D4">
      <w:pPr>
        <w:numPr>
          <w:ilvl w:val="0"/>
          <w:numId w:val="666"/>
        </w:numPr>
        <w:shd w:val="clear" w:color="auto" w:fill="EAE9DC"/>
        <w:tabs>
          <w:tab w:val="clear" w:pos="720"/>
          <w:tab w:val="num" w:pos="16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Consider the ramifications when a corporation acts outside its prescribed powers.</w:t>
      </w:r>
    </w:p>
    <w:p w:rsidR="00A86150" w:rsidRDefault="00F714D4">
      <w:pPr>
        <w:numPr>
          <w:ilvl w:val="0"/>
          <w:numId w:val="666"/>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Review legal issues surrounding corporate actions.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Two Types of Corporate Powers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corporation generally has three parties sharing power and control: directors, officers, and shareholders. Directors are the managers of the corporation, and officers control the day-to-day decisions and work more closely with the employees. The shareholders are the owners of the corporation, but they have little decision-making authority. The corporation itself has powers; while a corporation is not the same as a person (e.g., a corporation cannot be put in prison), it is allowed to conduct certain activities and has been granted certain rights.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Express Powers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corporation may exercise all powers expressly given it by statute and by its articles of incorporation. Section 3.02 of the Revised Model Business Corporation Act (RMBCA) sets out a number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express powers</w:t>
      </w:r>
      <w:r>
        <w:rPr>
          <w:rFonts w:ascii="Georgia" w:hAnsi="Georgia" w:cs="Calibri"/>
          <w:color w:val="333333"/>
          <w:sz w:val="20"/>
          <w:szCs w:val="20"/>
          <w:lang w:val="en"/>
        </w:rPr>
        <w:t>, including the following: to sue and be sued in the corporate name; to purchase, use, and sell land and dispose of assets to the same extent a natural person can; to make contracts, borrow money, issue notes and bonds, lend money, invest funds, make donations to the public welfare, and establish pension plans; and to join in partnerships, joint ventures, trusts, or other enterprises. The powers set out in this section need not be included in the articles of incorporation.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Implied Powers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Corporate powers beyond those explicitly established are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implied powers</w:t>
      </w:r>
      <w:r>
        <w:rPr>
          <w:rFonts w:ascii="Georgia" w:hAnsi="Georgia" w:cs="Calibri"/>
          <w:color w:val="333333"/>
          <w:sz w:val="20"/>
          <w:szCs w:val="20"/>
          <w:lang w:val="en"/>
        </w:rPr>
        <w:t>. For example, suppose BCT Bookstore, Inc.’s statement of purpose reads simply, “to operate a bookstore.” The company may lawfully conduct all acts that are necessary or appropriate to running a bookstore—hiring employees, advertising special sales, leasing trucks, and so forth. Could Ted, its vice president and general manager, authorize the expenditure of funds to pay for a Sunday afternoon lecture on the perils of nuclear war or the adventures of a professional football player? Yes—if the lectures are relevant to current books on sale or serve to bring people into the store, they comply with the corporation’s purpose.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Ultra Vires Doctrine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places limitations upon what acts a corporation may undertake. Corporations cannot do anything they wish, but rather, must act within the prescribed rules as laid out in statute, case law, their articles of incorporation, and their bylaws. Sometimes, though, a corporation will step outside its permitted power (literally “beyond the powers).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 xml:space="preserve">ultra vires doctrine </w:t>
      </w:r>
      <w:r>
        <w:rPr>
          <w:rFonts w:ascii="Georgia" w:hAnsi="Georgia" w:cs="Calibri"/>
          <w:color w:val="333333"/>
          <w:sz w:val="20"/>
          <w:szCs w:val="20"/>
          <w:lang w:val="en"/>
        </w:rPr>
        <w:t>holds that certain legal consequences attach to an attempt by a corporation to carry out acts that are outside its lawful powers. Ultra vires (literally “beyond the powers”) is not limited to illegal acts, although it encompasses actions barred by statute as well as by the corporate charter. Under the traditional approach, either the corporation or the other party could assert ultra vires as a defense when refusing to abide by a wholly executory contract. The ultra vires doctrine loses much of its significance when corporate powers are broadly stated in a corporation’s articles. Furthermore, RMBCA Section 3.04 states that “the validity of corporate action may not be challenged on the ground that the corporation lacks or lacked power to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Nonetheless, ultra vires acts are still challenged in courts today. For example, particularly in the area of environmental law, plaintiffs are challenging corporate environmental actions as ultra vires. Delaware corporation law states that the attorney general shall revoke the charter of a corporation for illegal acts. Additionally, the Court of Chancery of Delaware has jurisdiction to forfeit or revoke a corporate charter for abuse of corporate powers.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 Adam Sulkowski’s “Ultra Vires Statutes: Alive, Kicking, and a Means of Circumventing the Scalia Standing Gauntlet.”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essence, ultra vires retains force in three circumstances:</w:t>
      </w:r>
    </w:p>
    <w:p w:rsidR="00A86150" w:rsidRDefault="00F714D4">
      <w:pPr>
        <w:pStyle w:val="ListParagraph"/>
        <w:numPr>
          <w:ilvl w:val="0"/>
          <w:numId w:val="66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Shareholders may bring suits against the corporation to enjoin it from acting beyond its powers.</w:t>
      </w:r>
    </w:p>
    <w:p w:rsidR="00A86150" w:rsidRDefault="00F714D4">
      <w:pPr>
        <w:pStyle w:val="ListParagraph"/>
        <w:numPr>
          <w:ilvl w:val="0"/>
          <w:numId w:val="66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corporation itself, through receivers, trustees, or shareholders, may sue incumbent or former officers or directors for causing the corporation to act ultra vires.</w:t>
      </w:r>
    </w:p>
    <w:p w:rsidR="00A86150" w:rsidRDefault="00F714D4">
      <w:pPr>
        <w:pStyle w:val="ListParagraph"/>
        <w:numPr>
          <w:ilvl w:val="0"/>
          <w:numId w:val="66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state attorney general may assert the doctrine in a proceeding to dissolve the corporation or to enjoin it from transacting unauthorized business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27.1 "Attacks on Ultra Vires Acts"</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18"/>
          <w:szCs w:val="18"/>
          <w:lang w:val="en"/>
        </w:rPr>
      </w:pPr>
      <w:r>
        <w:rPr>
          <w:rStyle w:val="title-prefix"/>
          <w:rFonts w:ascii="Georgia" w:hAnsi="Georgia" w:cs="Calibri"/>
          <w:i/>
          <w:iCs/>
          <w:color w:val="000000"/>
          <w:sz w:val="18"/>
          <w:szCs w:val="18"/>
          <w:lang w:val="en"/>
        </w:rPr>
        <w:t>Figure 27.1</w:t>
      </w:r>
      <w:r>
        <w:rPr>
          <w:rStyle w:val="apple-converted-space"/>
          <w:rFonts w:ascii="Georgia" w:hAnsi="Georgia" w:cs="Calibri"/>
          <w:i/>
          <w:iCs/>
          <w:color w:val="BB9966"/>
          <w:sz w:val="18"/>
          <w:szCs w:val="18"/>
          <w:lang w:val="en"/>
        </w:rPr>
        <w:t> </w:t>
      </w:r>
      <w:r>
        <w:rPr>
          <w:rFonts w:ascii="Georgia" w:hAnsi="Georgia" w:cs="Calibri"/>
          <w:i/>
          <w:iCs/>
          <w:color w:val="BB9966"/>
          <w:sz w:val="18"/>
          <w:szCs w:val="18"/>
          <w:lang w:val="en"/>
        </w:rPr>
        <w:t>Attacks on Ultra Vires Acts</w:t>
      </w:r>
    </w:p>
    <w:p w:rsidR="00A86150" w:rsidRDefault="00F714D4">
      <w:pPr>
        <w:shd w:val="clear" w:color="auto" w:fill="FFFFFF"/>
        <w:spacing w:after="240" w:line="270" w:lineRule="atLeast"/>
        <w:textAlignment w:val="baseline"/>
        <w:rPr>
          <w:rFonts w:ascii="Calibri" w:hAnsi="Calibri" w:cs="Calibri"/>
          <w:color w:val="555555"/>
          <w:sz w:val="23"/>
          <w:szCs w:val="23"/>
          <w:lang w:val="en"/>
        </w:rPr>
      </w:pPr>
      <w:r>
        <w:rPr>
          <w:rFonts w:ascii="Calibri" w:hAnsi="Calibri" w:cs="Calibri"/>
          <w:noProof/>
          <w:color w:val="2689C6"/>
          <w:sz w:val="23"/>
          <w:szCs w:val="23"/>
        </w:rPr>
        <w:drawing>
          <wp:inline distT="0" distB="0" distL="0" distR="0">
            <wp:extent cx="5486400" cy="2733675"/>
            <wp:effectExtent l="0" t="0" r="0" b="9525"/>
            <wp:docPr id="143" name="Picture 34" descr="http://images.flatworldknowledge.com/mayerlawentrep/mayerlawentrep-fig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mayerlawentrep/mayerlawentrep-fig45_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an incorporated luncheon club refuses to admit women as club members or guests. What happens if this action is ultra vires?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Cross v. The Midtown Club, Inc.</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27.5.1 "Ultra Vires Acts"</w:t>
      </w:r>
      <w:r>
        <w:rPr>
          <w:rFonts w:ascii="Georgia" w:hAnsi="Georgia" w:cs="Calibri"/>
          <w:color w:val="333333"/>
          <w:sz w:val="20"/>
          <w:szCs w:val="20"/>
          <w:lang w:val="en"/>
        </w:rPr>
        <w:t>), focuses on this issue. An ultra vires act is not necessarily criminal or tortious. However, every crime and tort is in some sense ultra vires because a corporation never has legal authority to commit crimes or torts. They raise special problems, to which we now turn.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Criminal, Tortious, and Other Illegal Acts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early common law held that a corporation could not commit a crime because it did not have a mind and could not therefore have the requisite intent. An additional dilemma was that society could not literally imprison a corporation. Modern law is not so constricting. Illegal acts of its agents may be imputed to the corporation. Thus if the board of directors specifically authorizes the company to carry out a criminal scheme, or the president instructs his employees to break a regulatory law for the benefit of the company, the corporation itself may be convicted. Of course, it is rare for people in a corporate setting to avow their criminal intentions, so in most cases courts determine the corporation’s liability by deciding whether an employee’s crime was part of a job-related activity. The individuals within the corporation are much more likely to be held legally liable, but the corporation may be as well. For example, in extreme cases, a court could order the dissolution of the corporation; revoke some or all of its ability to operate, such as by revoking a license the corporation may hold; or prevent the corporation from engaging in a critical aspect of its business, such as acting as a trustee or engaging in securities transactions. But these cases are extremely rare.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That a corporation is found guilty of a violation of the law does not excuse company officials who authorized or carried out the illegal act. They, too, can be prosecuted and sent to jail. Legal punishments are being routinely added to the newer regulatory statutes, such as the Occupational Safety and Health Act, and the Toxic Substances Control Act—although prosecution depends mainly on whether and where a particular administration wishes to spend its enforcement dollars. Additionally, state prosecuting attorneys have become more active in filing criminal charges against management when employees are injured or die on the job. For instance, a trial court judge in Chicago sentenced a company president, plant manager, and foreman to twenty-five years in prison after they were convicted of murder following the death of a worker as a result of unsafe working conditions at a plant;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punishments were later overturned, but the three pled guilty several years later and served shorter sentences of varying duration.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More recently, prosecutors have been expanding their prosecutions of corporations and developing methodologies to evaluate whether a corporation has committed a criminal act; for example, US Deputy Attorney General Paul McNulty revised “Principles of Federal Prosecutions of Business Organizations” in 2006 to further guide prosecutors in indicting corporations. The Securities and Exchange Commission, the Department of Justice, other regulatory bodies, and legal professionals have increasingly sought legal penalties against both corporations and its employees. See Exercise 2 at the end of this section to consider the legal ramifications of a corporation and its employees for the drunk-driving death of one of its patrons.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certain cases, the liability of an executive can be vicarious. The Supreme Court affirmed the conviction of a chief executive who had no personal knowledge of a violation by his company of regulations promulgated by the Food and Drug Administration. In this case, an officer was held strictly liable for his corporation’s violation of the regulations, regardless of his knowledge, or lack thereof, of the actions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6 "Criminal Law"</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stands in contrast to the general rule that an individual must know, or should know, of a violation of the law in order to be liable. Strict liability does not require knowledge. Thus a corporation’s top managers can be found criminally responsible even if they did not directly participate in the illegal activity. Employees directly responsible for violation of the law can also be held liable, of course. In short, violations of tort law, criminal law, and regulatory law can result in negative consequences for both the corporation and its employees.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24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corporation has two types of powers: express powers and implied powers. When a corporation is acting outside its permissible power, it is said to be acting ultra vires. A corporation engages in ultra vires acts whenever it engages in illegal activities, such as criminal acts.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6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an ultra vires act?</w:t>
      </w:r>
    </w:p>
    <w:p w:rsidR="00A86150" w:rsidRDefault="00F714D4">
      <w:pPr>
        <w:numPr>
          <w:ilvl w:val="0"/>
          <w:numId w:val="66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group of undergraduate students travel from their university to a club. The club provides dinner and an open bar. One student becomes highly intoxicated and dies as the result of an automobile collision caused by the student. Can the club be held liable for the student’s death? See</w:t>
      </w:r>
      <w:r>
        <w:rPr>
          <w:rStyle w:val="Emphasis"/>
          <w:rFonts w:ascii="Calibri" w:hAnsi="Calibri" w:cs="Calibri"/>
          <w:color w:val="333333"/>
          <w:sz w:val="20"/>
          <w:szCs w:val="20"/>
          <w:lang w:val="en"/>
        </w:rPr>
        <w:t>Commonwealth v. Penn Valley Resorts.</w:t>
      </w:r>
      <w:r>
        <w:rPr>
          <w:rStyle w:val="apple-converted-space"/>
          <w:rFonts w:ascii="Calibri" w:hAnsi="Calibri" w:cs="Calibri"/>
          <w:color w:val="2689C6"/>
          <w:sz w:val="20"/>
          <w:szCs w:val="20"/>
          <w:lang w:val="en"/>
        </w:rPr>
        <w:t> </w:t>
      </w:r>
      <w:r>
        <w:rPr>
          <w:rFonts w:ascii="Calibri" w:hAnsi="Calibri" w:cs="Calibri"/>
          <w:color w:val="2689C6"/>
          <w:sz w:val="20"/>
          <w:szCs w:val="20"/>
          <w:vertAlign w:val="superscript"/>
          <w:lang w:val="en"/>
        </w:rPr>
        <w:t>[5]</w:t>
      </w:r>
    </w:p>
    <w:p w:rsidR="00A86150" w:rsidRDefault="0081777E">
      <w:pPr>
        <w:spacing w:after="0"/>
        <w:jc w:val="center"/>
        <w:divId w:val="1766533915"/>
      </w:pPr>
      <w:r>
        <w:pict>
          <v:rect id="_x0000_i1138"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Del. Code Ann., Title 8, Section 284 (2011).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Adam Sulkowski, “Ultra Vires Statutes: Alive, Kicking, and a Means of Circumventing the Scalia Standing Gauntlet,”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Environmental Law and Litigation</w:t>
      </w:r>
      <w:r>
        <w:rPr>
          <w:rStyle w:val="apple-converted-space"/>
          <w:rFonts w:ascii="Calibri" w:hAnsi="Calibri" w:cs="Calibri"/>
          <w:color w:val="333333"/>
          <w:sz w:val="20"/>
          <w:szCs w:val="20"/>
        </w:rPr>
        <w:t> </w:t>
      </w:r>
      <w:r>
        <w:rPr>
          <w:rFonts w:ascii="Calibri" w:hAnsi="Calibri" w:cs="Calibri"/>
          <w:color w:val="333333"/>
          <w:sz w:val="20"/>
          <w:szCs w:val="20"/>
        </w:rPr>
        <w:t>14, no. 1 (2009): 75.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People v. O’Neil</w:t>
      </w:r>
      <w:r>
        <w:rPr>
          <w:rFonts w:ascii="Calibri" w:hAnsi="Calibri" w:cs="Calibri"/>
          <w:color w:val="333333"/>
          <w:sz w:val="20"/>
          <w:szCs w:val="20"/>
        </w:rPr>
        <w:t>, 550 N.E.2d 1090 (Ill. App. 1990).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Park</w:t>
      </w:r>
      <w:r>
        <w:rPr>
          <w:rFonts w:ascii="Calibri" w:hAnsi="Calibri" w:cs="Calibri"/>
          <w:color w:val="333333"/>
          <w:sz w:val="20"/>
          <w:szCs w:val="20"/>
        </w:rPr>
        <w:t>, 421 U.S. 658 (1975).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Commonwealth v. Penn Valley Resorts</w:t>
      </w:r>
      <w:r>
        <w:rPr>
          <w:rFonts w:ascii="Calibri" w:hAnsi="Calibri" w:cs="Calibri"/>
          <w:color w:val="333333"/>
          <w:sz w:val="20"/>
          <w:szCs w:val="20"/>
        </w:rPr>
        <w:t>, 494 A.2d 1139 (Pa. Super. 1985).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27.2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Rights of Shareholders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69"/>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various parts of the corporate management structure and how they relate to one another.</w:t>
      </w:r>
    </w:p>
    <w:p w:rsidR="00A86150" w:rsidRDefault="00F714D4">
      <w:pPr>
        <w:numPr>
          <w:ilvl w:val="0"/>
          <w:numId w:val="669"/>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processes and practices of typical corporate meetings, including annual meetings.</w:t>
      </w:r>
    </w:p>
    <w:p w:rsidR="00A86150" w:rsidRDefault="00F714D4">
      <w:pPr>
        <w:numPr>
          <w:ilvl w:val="0"/>
          <w:numId w:val="669"/>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standard voting process in most US corporations and what the respective roles of management and shareholders are.</w:t>
      </w:r>
    </w:p>
    <w:p w:rsidR="00A86150" w:rsidRDefault="00F714D4">
      <w:pPr>
        <w:numPr>
          <w:ilvl w:val="0"/>
          <w:numId w:val="669"/>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corporate records can be reviewed by a shareholder and under what circumstances.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General Management Functions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modern publicly held corporation, ownership and control are separated. The shareholders “own” the company through their ownership of its stock, but power to manage is vested in the directors. In a large publicly traded corporation, most of the ownership of the corporation is diluted across its numerous shareholders, many of whom have no involvement with the corporation other than through their stock ownership. On the other hand, the issue of separation and control is generally irrelevant to the closely held corporation, since in many instances the shareholders are the same people who manage and work for the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Shareholders do retain some degree of control. For example, they elect the directors, although only a small fraction of shareholders control the outcome of most elections because of the diffusion of ownership and modern proxy rules; proxy fights are extremely difficult for insurgents to win. Shareholders also may adopt, amend, and repeal the corporation’s bylaws; they may adopt resolutions ratifying or refusing to ratify certain actions of the directors. And they must vote on certain extraordinary matters, such as whether to amend the articles of incorporation, merge, or liquidate.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Meetings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most states, the corporation must hold at least one meeting of shareholders each year. The board of directors or shareholders representing at least 10 percent of the stock may call a special shareholders’ meeting at any time unless a different threshold number is stated in the articles or bylaws. Timely notice is required: not more than sixty days nor less than ten days before the meeting, under Section 7.05 of the Revised Model Business Corporation Act (RMBCA). Shareholders may take actions without a meeting if every shareholder entitled to vote consents in writing to the action to be taken. This option is obviously useful to the closely held corporation but not to the giant publicly held companies.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Right to Vote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Who Has the Right to Vote?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Through its bylaws or by resolution of the board of directors, a corporation can set a “record date.” Only the shareholders listed on the corporate records on that date receive notice of the next shareholders’ meeting and have the right to vote. Every share is entitled to one vote unless the articles of incorporation state otherwise.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one-share, one-vote principle, commonly called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regular voting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statutory voting, is not required, and many US companies have restructured their voting rights in an effort to repel corporate raiders. For instance, a company might decide to issue both voting and nonvoting shares (as we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27 "Corporate Powers and Management"</w:t>
      </w:r>
      <w:r>
        <w:rPr>
          <w:rFonts w:ascii="Georgia" w:hAnsi="Georgia" w:cs="Calibri"/>
          <w:color w:val="333333"/>
          <w:sz w:val="20"/>
          <w:szCs w:val="20"/>
          <w:lang w:val="en"/>
        </w:rPr>
        <w:t>), with the voting shares going to insiders who thereby control the corporation. In response to these new corporate structures, the Securities and Exchange Commission (SEC) adopted a one-share, one-vote rule in 1988 that was designed to protect a shareholder’s right to vote. In 1990, however, a federal appeals court overturned the SEC rule on the grounds that voting rights are governed by state law rather than by federal law.</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Quorum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the articles of incorporation are silent,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shareholder quorum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simple majority of the shares entitled to vote, whether represented in person or by proxy, according to RMBCA Section 7.25. Thus if there are 1 million shares, 500,001 must be represented at the shareholder meeting. A simple majority of those represented shares is sufficient to carry any motion, so 250,001 shares are enough to decide upon a matter other than the election of directors (governed by RMBCA, Section 7.28). The articles of incorporation may decree a different quorum but not less than one-third of the total shares entitled to vote.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Cumulative Voting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Cumulative voting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that a shareholder may distribute his total votes in any manner that he chooses—all for one candidate or several shares for different candidates. With cumulative voting, each shareholder has a total number of votes equal to the number of shares he owns multiplied by the number of directors to be elected. Thus if a shareholder has 1,000 shares and there are five directors to be elected, the shareholder has 5,000 votes, and he may vote those shares in a manner he desires (all for one director, or 2,500 each for two directors, etc.). Some states permit this right unless the articles of incorporation deny it. Other states deny it unless the articles of incorporation permit it. Several states have constitutional provisions requiring cumulative voting for corporate directors.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Cumulative voting is meant to provide minority shareholders with representation on the board. Assume that Bob and Carol each owns 2,000 shares, which they have decided to vote as a block, and Ted owns 6,000 shares. At their annual shareholder meeting, they are to elect five directors. Without cumulative voting, Ted’s slate of directors would win: under statutory voting, each share represents one vote available for each director position. With this method, by placing as many votes as possible for each director, Ted could cast 6,000 votes for each of his desired directors. Thus each of Ted’s directors would receive 6,000 votes, while each of Bob and Carol’s directors would receive only 4,000. Under cumulative voting, however, each shareholder has as many votes as there are directors to be elected. Hence with cumulative voting Bob and Carol could strategically distribute their 20,000 votes (4,000 votes multiplied by five directors) among the candidates to ensure representation on the board. By placing 10,000 votes each on two of their candidates, they would be guaranteed two positions on the board. (The candidates from the two slates are not matched against each other on a one-to-one basis; instead, the five candidates with the highest number of votes are elected.) Various formulas and computer programs are available to determine how votes should be allocated, but the principle underlying the calculations is this: cumulative voting is democratic in that it allows the shareholders who own 40 percent of the stock—Bob and Carol—to elect 40 percent of the board.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RMBCA Section 8.08 provides a safeguard against attempts to remove directors. Ordinarily, a director may be removed by a majority vote of the shareholders. Cumulative voting will not aid a given single director whose ouster is being sought because the majority obviously can win on a straight vote. So Section 8.08 provides, “If cumulative voting is authorized, a director may not be removed if the number of votes sufficient to elect him under cumulative voting is voted against his removal.”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Voting Arrangements to Concentrate Power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Shareholders use three types of arrangements to concentrate their power: proxies, voting agreements, and voting trusts.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Proxies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proxy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representative of the shareholder. A proxy may be a person who stands in for the shareholder or may be a written instrument by which the shareholder casts her votes before the shareholder meeting. Modern proxy voting allows shareholders to vote electronically through the Internet, such as at</w:t>
      </w:r>
      <w:r>
        <w:rPr>
          <w:rStyle w:val="apple-converted-space"/>
          <w:rFonts w:ascii="Georgia" w:hAnsi="Georgia" w:cs="Calibri"/>
          <w:color w:val="333333"/>
          <w:sz w:val="20"/>
          <w:szCs w:val="20"/>
          <w:lang w:val="en"/>
        </w:rPr>
        <w:t> </w:t>
      </w:r>
      <w:hyperlink r:id="rId79" w:tgtFrame="_blank" w:history="1">
        <w:r>
          <w:rPr>
            <w:rStyle w:val="Hyperlink"/>
            <w:rFonts w:ascii="Georgia" w:hAnsi="Georgia" w:cs="Calibri"/>
            <w:color w:val="2689C6"/>
            <w:sz w:val="20"/>
            <w:szCs w:val="20"/>
            <w:lang w:val="en"/>
          </w:rPr>
          <w:t>http://www.proxyvoting.com</w:t>
        </w:r>
      </w:hyperlink>
      <w:r>
        <w:rPr>
          <w:rFonts w:ascii="Georgia" w:hAnsi="Georgia" w:cs="Calibri"/>
          <w:color w:val="333333"/>
          <w:sz w:val="20"/>
          <w:szCs w:val="20"/>
          <w:lang w:val="en"/>
        </w:rPr>
        <w:t>. Proxies are usually solicited by and given to management, either to vote for proposals or people named in the proxy or to vote however the proxy holder wishes. Through the proxy device, management of large companies can maintain control over the election of directors. Proxies must be signed by the shareholder and are valid for eleven months from the time they are received by the corporation unless the proxy explicitly states otherwise. Management may use reasonable corporate funds to solicit proxies if corporate policy issues are involved, but misrepresentations in the solicitation can lead a court to nullify the proxies and to deny reimbursement for the solicitation cost. Only the last proxy given by a particular shareholder can be counted.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Proxy solicitations are regulated by the SEC. For instance, SEC rules require companies subject to the Securities Exchange Act of 1934 to file proxy materials with the SEC at least ten days before proxies are mailed to shareholders. Proxy statements must disclose all material facts, and companies must use a proxy form on which shareholders can indicate whether they approve or disapprove of the proposals.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Dissident groups opposed to management’s position are entitled to solicit their own proxies at their own expense. The company must either furnish the dissidents with a list of all shareholders and addresses or mail the proxies at corporate expense. Since management usually prefers to keep the shareholder list private, dissidents can frequently count on the corporation to foot the mailing bill.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Voting Agreements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Unless they intend to commit fraud on a minority of stockholders, shareholders may agree in advance to vote in specific ways. Such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voting agreement</w:t>
      </w:r>
      <w:r>
        <w:rPr>
          <w:rFonts w:ascii="Georgia" w:hAnsi="Georgia" w:cs="Calibri"/>
          <w:color w:val="333333"/>
          <w:sz w:val="20"/>
          <w:szCs w:val="20"/>
          <w:lang w:val="en"/>
        </w:rPr>
        <w:t>, often called a shareholder agreement, is generally legal. Shareholders may agree in advance, for example, to vote for specific directors; they can even agree to vote for the dissolution of the corporation in the event that a predetermined contingency occurs. A voting agreement is easier to enter into than a voting trust (discussed next) and can be less expensive, since a trustee is not paid to administer a voting agreement. A voting agreement also permits shareholders to retain their shares rather than turning the shares over to a trust, as would be required in a voting trust.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Voting Trusts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ensure that shareholder agreements will be honored, shareholders in most states can create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voting trust</w:t>
      </w:r>
      <w:r>
        <w:rPr>
          <w:rFonts w:ascii="Georgia" w:hAnsi="Georgia" w:cs="Calibri"/>
          <w:color w:val="333333"/>
          <w:sz w:val="20"/>
          <w:szCs w:val="20"/>
          <w:lang w:val="en"/>
        </w:rPr>
        <w:t>. By this device, voting shares are given to voting trustees, who are empowered to vote the shares in accordance with the objectives set out in the trust agreement. Section 7.30 of the RMBCA limits the duration of voting trusts to ten years. The voting trust is normally irrevocable, and the shareholders’ stock certificates are physically transferred to the voting trustees for the duration of the trust. The voting trust agreement must be on file at the corporation, open for inspection by any shareholder.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Inspection of Books and Records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Shareholders are legally entitled to inspect the records of the corporation in which they hold shares. These records include the articles of incorporation, bylaws, and corporate resolutions. As a general rule, shareholders who want certain records (such as minutes of a board of directors’ meeting or accounting records) must also have a “proper purpose,” such as to determine the propriety of the company’s dividend policy or to ascertain the company’s true financial worth. Improper purposes include uncovering trade secrets for sale to a competitor or compiling mailing lists for personal business purposes. A shareholder’s motivation is an important factor in determining whether the purpose is proper, as the courts attempt to balance the rights of both the shareholders and the corporation. For example, a Minnesota court applied Delaware law in finding that a shareholder’s request to view the corporation’s shareholder ledger to identify shareholders and communicate with them about the corporation’s involvement in the Vietnam War was improper. A desire to communicate with the other corporate shareholders was found to be insufficient to compel inspection.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Contrast that finding with a Delaware court’s finding that a shareholder had a proper purpose in requesting a corporation’s shareholder list in order to communicate with them about the economic risks of the firm’s involvement in Angola.</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Preemptive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Assume that BCT Bookstore has outstanding 5,000 shares with par value of ten dollars and that Carol owns 1,000. At the annual meeting, the shareholders decide to issue an additional 1,000 shares at par and to sell them to Alice. Carol vehemently objects because her percentage of ownership will decline. She goes to court seeking an injunction against the sale or an order permitting her to purchase 200 of the shares (she currently has 20 percent of the total). How should the court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answer depends on the statutory provision dealing with</w:t>
      </w:r>
      <w:r>
        <w:rPr>
          <w:rStyle w:val="marginterm"/>
          <w:rFonts w:ascii="Georgia" w:hAnsi="Georgia" w:cs="Calibri"/>
          <w:color w:val="333333"/>
          <w:sz w:val="20"/>
          <w:szCs w:val="20"/>
          <w:lang w:val="en"/>
        </w:rPr>
        <w:t>preemptive rights</w:t>
      </w:r>
      <w:r>
        <w:rPr>
          <w:rFonts w:ascii="Georgia" w:hAnsi="Georgia" w:cs="Calibri"/>
          <w:color w:val="333333"/>
          <w:sz w:val="20"/>
          <w:szCs w:val="20"/>
          <w:lang w:val="en"/>
        </w:rPr>
        <w:t>—that is, the right of a shareholder to be protected from dilution of her percentage of ownership. In some states, shareholders have no preemptive rights unless expressly declared in the articles of incorporation, while other states give shareholders preemptive rights unless the articles of incorporation deny it. Preemptive rights were once strongly favored, but they are increasingly disappearing, especially in large publicly held companies where ownership is already highly diluted.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Derivative Actions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Carol discovers that Ted has been receiving kickbacks from publishers and has been splitting the proceeds with Bob. When at a directors’ meeting, Carol demands that the corporation file suit to recover the sums they pocketed, but Bob and Ted outvote her. Carol has another remedy. She can file a</w:t>
      </w:r>
      <w:r>
        <w:rPr>
          <w:rStyle w:val="marginterm"/>
          <w:rFonts w:ascii="Georgia" w:hAnsi="Georgia" w:cs="Calibri"/>
          <w:color w:val="333333"/>
          <w:sz w:val="20"/>
          <w:szCs w:val="20"/>
          <w:lang w:val="en"/>
        </w:rPr>
        <w:t>derivative action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against them. A derivative lawsuit is one brought on behalf of the corporation by a shareholder when the directors refuse to act. Although the corporation is named as a defendant in the suit, the corporation itself is the so-called real party in interest—the party entitled to recover if the plaintiff wins.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While derivative actions are subject to abuse by plaintiffs’ attorneys seeking settlements that pay their fees, safeguards have been built into the law. At least ninety days before starting a derivative action, for instance, shareholders must demand in writing that the corporation take action. Shareholders may not commence derivative actions unless they were shareholders at the time of the wrongful act. Derivative actions may be dismissed if disinterested directors decide that the proceeding is not in the best interests of the corporation. (A </w:t>
      </w:r>
      <w:r>
        <w:rPr>
          <w:rStyle w:val="marginterm"/>
          <w:rFonts w:ascii="Georgia" w:hAnsi="Georgia" w:cs="Calibri"/>
          <w:color w:val="333333"/>
          <w:sz w:val="20"/>
          <w:szCs w:val="20"/>
          <w:lang w:val="en"/>
        </w:rPr>
        <w:t>disinterested director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director who has no interest in the disputed transaction.) Derivative actions are discussed further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27 "Corporate Powers and Management"</w:t>
      </w:r>
      <w:r>
        <w:rPr>
          <w:rFonts w:ascii="Georgia" w:hAnsi="Georgia" w:cs="Calibri"/>
          <w:color w:val="333333"/>
          <w:sz w:val="20"/>
          <w:szCs w:val="20"/>
          <w:lang w:val="en"/>
        </w:rPr>
        <w: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In large publicly traded corporations, shareholders own the corporation but have limited power to affect decisions. The board of directors and officers exercise much of the power. Shareholders exercise their power at meetings, typically through voting for directors. Statutes, bylaws, and the articles of incorporation determine how voting occurs—such as whether a quorum is sufficient to hold a meeting or whether voting is cumulative. Shareholders need not be present at a meeting—they may use a proxy to cast their votes or set up voting trusts or voting agreements. Shareholders may view corporate documents with proper demand and a proper purpose. Some corporations permit shareholders preemptive rights—the ability to purchase additional shares to ensure that the ownership percentage is not diluted. A shareholder may also file suit on behalf of the corporation—a legal proceeding called a derivative action.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7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cumulative voting. What is the different between cumulative voting and regular voting? Who benefits from cumulative voting?</w:t>
      </w:r>
    </w:p>
    <w:p w:rsidR="00A86150" w:rsidRDefault="00F714D4">
      <w:pPr>
        <w:numPr>
          <w:ilvl w:val="0"/>
          <w:numId w:val="67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shareholder will not be at the annual meeting. May that shareholder vote? If so, how?</w:t>
      </w:r>
    </w:p>
    <w:p w:rsidR="00A86150" w:rsidRDefault="00F714D4">
      <w:pPr>
        <w:numPr>
          <w:ilvl w:val="0"/>
          <w:numId w:val="670"/>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BCT Bookstore is seeking an additional store location. Ted, a director of BCT, knows of the ideal building that would be highly profitable for BCT and finds out that it is for sale. Unbeknownst to BCT, Ted is starting a clothing retailer. He purchases the building for his clothing business, thereby usurping a corporate opportunity for BCT. Sam, a BCT shareholder, finds out about Ted’s business deal. Does Sam have any recourse? See RMBCA Section 8.70.</w:t>
      </w:r>
    </w:p>
    <w:p w:rsidR="00A86150" w:rsidRDefault="0081777E">
      <w:pPr>
        <w:spacing w:after="0"/>
        <w:jc w:val="center"/>
        <w:divId w:val="1745032271"/>
      </w:pPr>
      <w:r>
        <w:pict>
          <v:rect id="_x0000_i1139"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Roundtable v. SEC</w:t>
      </w:r>
      <w:r>
        <w:rPr>
          <w:rFonts w:ascii="Calibri" w:hAnsi="Calibri" w:cs="Calibri"/>
          <w:color w:val="333333"/>
          <w:sz w:val="20"/>
          <w:szCs w:val="20"/>
        </w:rPr>
        <w:t>, 905 F.2d 406 (D.C. Cir. 1990).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Pillsbury v. Honeywell</w:t>
      </w:r>
      <w:r>
        <w:rPr>
          <w:rFonts w:ascii="Calibri" w:hAnsi="Calibri" w:cs="Calibri"/>
          <w:color w:val="333333"/>
          <w:sz w:val="20"/>
          <w:szCs w:val="20"/>
        </w:rPr>
        <w:t>, 291 Minn. 322; 191 N.W.2d 406 (Minn. 1971).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Conservative Caucus Research, Analysis &amp; Education Foundation, Inc. v. Chevron</w:t>
      </w:r>
      <w:r>
        <w:rPr>
          <w:rFonts w:ascii="Calibri" w:hAnsi="Calibri" w:cs="Calibri"/>
          <w:color w:val="333333"/>
          <w:sz w:val="20"/>
          <w:szCs w:val="20"/>
        </w:rPr>
        <w:t>, 525 A.2d 569 (Del. 1987). See Del. Code Ann., Title 8, Section 220 (2011).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27.3 Duties and Powers of Directors and Officers</w:t>
      </w:r>
    </w:p>
    <w:p w:rsidR="00A86150" w:rsidRDefault="00A86150">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A86150" w:rsidRDefault="00F714D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A86150" w:rsidRDefault="00F714D4">
      <w:pPr>
        <w:numPr>
          <w:ilvl w:val="0"/>
          <w:numId w:val="671"/>
        </w:numPr>
        <w:shd w:val="clear" w:color="auto" w:fill="EAE9DC"/>
        <w:tabs>
          <w:tab w:val="clear" w:pos="720"/>
          <w:tab w:val="num" w:pos="13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Examine the responsibility of directors and the delegation of decisions.</w:t>
      </w:r>
    </w:p>
    <w:p w:rsidR="00A86150" w:rsidRDefault="00F714D4">
      <w:pPr>
        <w:numPr>
          <w:ilvl w:val="0"/>
          <w:numId w:val="671"/>
        </w:numPr>
        <w:shd w:val="clear" w:color="auto" w:fill="EAE9DC"/>
        <w:tabs>
          <w:tab w:val="clear" w:pos="720"/>
          <w:tab w:val="num" w:pos="1020"/>
        </w:tabs>
        <w:spacing w:after="0"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 the qualifications, election, and removal of directors.</w:t>
      </w:r>
    </w:p>
    <w:p w:rsidR="00A86150" w:rsidRDefault="00F714D4">
      <w:pPr>
        <w:numPr>
          <w:ilvl w:val="0"/>
          <w:numId w:val="671"/>
        </w:numPr>
        <w:shd w:val="clear" w:color="auto" w:fill="EAE9DC"/>
        <w:tabs>
          <w:tab w:val="clear" w:pos="720"/>
          <w:tab w:val="num" w:pos="1020"/>
        </w:tabs>
        <w:spacing w:line="439" w:lineRule="atLeast"/>
        <w:ind w:left="6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Determine what requirements are placed on directors for meetings and compensation.</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Management Responsibility of the Directors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Directors derive their power to manage the corporation from statutory law. Section 8.01 of the Revised Model Business Corporation Act (RMBCA) states that “all corporate powers shall be exercised by or under the authority of, and the business and affairs of the corporation managed under the direction of, its board of directors.” A director is a fiduciary, a person to whom power is entrusted for another’s benefit, and as such, as the RMBCA puts it, must perform his duties “in good faith, with the care an ordinarily prudent person in a like position would exercise under similar circumstances” (Section 8.30). A director’s main responsibilities include the following: (1) to protect shareholder investments, (2) to select and remove officers, (3) to delegate operating authority to the managers or other groups, and (4) to supervise the company as a whole.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Delegation to Committees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RMBCA Section 8.25, the board of directors, by majority vote, may delegate its powers to various committees. This authority is limited to some degree. For example, only the full board can determine dividends, approve a merger, and amend the bylaws. The delegation of authority to a committee does not, by itself, relieve a director from the duty to exercise due care.</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Delegation to Officers</w:t>
      </w:r>
    </w:p>
    <w:p w:rsidR="00A86150" w:rsidRDefault="00F714D4">
      <w:pPr>
        <w:shd w:val="clear" w:color="auto" w:fill="FFFFFF"/>
        <w:spacing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27.2</w:t>
      </w:r>
      <w:r>
        <w:rPr>
          <w:rFonts w:ascii="Georgia" w:eastAsia="Times New Roman" w:hAnsi="Georgia" w:cs="Calibri"/>
          <w:i/>
          <w:iCs/>
          <w:color w:val="BB9966"/>
          <w:sz w:val="21"/>
          <w:szCs w:val="21"/>
          <w:lang w:val="en"/>
        </w:rPr>
        <w:t> The Corporate Governance Model</w:t>
      </w:r>
    </w:p>
    <w:p w:rsidR="00A86150" w:rsidRDefault="00F714D4">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2247900"/>
            <wp:effectExtent l="0" t="0" r="0" b="0"/>
            <wp:docPr id="146" name="Picture 35" descr="http://images.flatworldknowledge.com/mayerlawentrep/mayerlawentrep-fig4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mayerlawentrep/mayerlawentrep-fig45_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2247900"/>
                    </a:xfrm>
                    <a:prstGeom prst="rect">
                      <a:avLst/>
                    </a:prstGeom>
                    <a:noFill/>
                    <a:ln>
                      <a:noFill/>
                    </a:ln>
                  </pic:spPr>
                </pic:pic>
              </a:graphicData>
            </a:graphic>
          </wp:inline>
        </w:drawing>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directors often delegate to officers the day-to-day authority to execute the policies established by the board and to manage the firm (see </w:t>
      </w:r>
      <w:r>
        <w:rPr>
          <w:rFonts w:ascii="Georgia" w:eastAsia="Times New Roman" w:hAnsi="Georgia" w:cs="Calibri"/>
          <w:color w:val="2689C6"/>
          <w:sz w:val="20"/>
          <w:szCs w:val="20"/>
          <w:lang w:val="en"/>
        </w:rPr>
        <w:t>Figure 27.2 "The Corporate Governance Model"</w:t>
      </w:r>
      <w:r>
        <w:rPr>
          <w:rFonts w:ascii="Georgia" w:eastAsia="Times New Roman" w:hAnsi="Georgia" w:cs="Calibri"/>
          <w:color w:val="333333"/>
          <w:sz w:val="20"/>
          <w:szCs w:val="20"/>
          <w:lang w:val="en"/>
        </w:rPr>
        <w:t>). Normally, the president is the chief executive officer (CEO) to whom all other officers and employees report, but sometimes the CEO is also the chairman of the board.</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Number and Election of Directors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8.03 of the RMBCA provides that there must be one director, but there may be more, the precise number to be fixed in the articles of incorporation or bylaws. The initial members of the board hold office until the first annual meeting, when elections occur. (The initial board members are permitted to succeed themselves.) Directors are often chosen to serve one-year terms and must be elected or reelected by the shareholders annually, unless there are nine or more directors. In that case, if the articles of incorporation so provide, the board may be divided into two or three roughly equal classes and their terms staggered, so that the second class is elected at the second annual meeting and the third at the third annual meeting. A staggered board allows for the continuity of directors or as a defense against a hostile takeover.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Directors’ Qualifications and Characteristics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statutes do not catalog qualifications that directors are expected to possess. In most states, directors need not be residents of the state or shareholders of the corporation unless required by the articles of incorporation or bylaws, which may also set down more precise qualifications if desired.</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the 1970s, directors tended to be a homogeneous lot: white male businessmen or lawyers. Political change—rising consumer, environmental, and public interest consciousness—and embarrassment stemming from disclosures made in the wake of Securities and Exchange Commission (SEC) investigations growing out of Watergate prompted companies to diversify their boardrooms. Today, members of minority groups and women are being appointed in increasing numbers, although their proportion to the total is still small. Outside directors (directors who are not employees, officers, or otherwise associated with the corporation; they are also called nonexecutive directors) are becoming a potent force on corporate boards. The trend to promote the use of outside directors has continued—the Sarbanes-Oxley Act of 2002 places emphasis on the use of outside directors to provide balance to the board and protect the corporation’s investors.</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Removal of Directors and Officers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1978, one week before he was scheduled to unveil the 1979 Mustang to trade journalists in person, Lee Iacocca, president of the Ford Motor Company, was summarily fired by unanimous vote of the board of directors, although his departure was billed as a resignation. Iacocca was reported to have asked company chairman Henry Ford II, “What did I do wrong?” To which Ford was said to have replied, “I just don’t like you.”</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To return to our usual example: BCT Bookstore is set to announce its acquisition of Borders Group, Inc., a large book retailer that is facing bankruptcy. Alice, one of BCT’s directors, was instrumental in the acquisition. One day prior to the announcement of the acquisition, BCT’s board relieved Alice of her directorship, providing no reason for the decision. The story raises this question: May a corporate officer, or director for that matter, be fired without cause?</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Yes. Many state statutes expressly permit the board to fire an officer with or without cause. However, removal does not defeat an officer’s rights under an employment contract. Shareholders may remove directors with or without cause at any meeting called for the purpose. A majority of the shares entitled to vote, not a majority of the shares represented at the meeting, are required for removal.</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Meetings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Directors must meet, but the statutes themselves rarely prescribe how frequently. More often, rules prescribing time and place are set out in the bylaws, which may permit members to participate in any meeting by conference telephone. In practice, the frequency of board meetings varies.</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board or committees of the board may take action without meeting if all members of the board or committee consent in writing. A majority of the members of the board constitutes a quorum, unless the bylaws or articles of incorporation specify a larger number. Likewise, a majority present at the meeting is sufficient to carry any motion unless the articles or bylaws specify a larger number.</w:t>
      </w:r>
    </w:p>
    <w:p w:rsidR="00A86150" w:rsidRDefault="00F714D4">
      <w:pPr>
        <w:shd w:val="clear" w:color="auto" w:fill="FFFFFF"/>
        <w:spacing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Compensation</w:t>
      </w:r>
    </w:p>
    <w:p w:rsidR="00A86150" w:rsidRDefault="00F714D4">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past, directors were supposed to serve without pay, as shareholder representatives. The modern practice is to permit the board to determine its own pay unless otherwise fixed in the articles of incorporation. Directors’ compensation has risen sharply in recent years. The Dodd-Frank Wall Street Reform and Consumer Protection Act of 2010, however, has made significant changes to compensation, allowing shareholders a “say on pay,” or the ability to vote on compensation.</w:t>
      </w:r>
    </w:p>
    <w:p w:rsidR="00A86150" w:rsidRDefault="00F714D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A86150" w:rsidRDefault="00F714D4">
      <w:pPr>
        <w:shd w:val="clear" w:color="auto" w:fill="ECF9EA"/>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directors exercise corporate powers. They must exercise these powers with good faith. Certain decisions may be delegated to a committee or to corporate officers. There must be at least one director, and directors may be elected at once or in staggered terms. No qualifications are required, and directors may be removed without cause. Directors, just like shareholders, must meet regularly and may be paid for their involvement on the board.</w:t>
      </w:r>
    </w:p>
    <w:p w:rsidR="00A86150" w:rsidRDefault="00F714D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A86150" w:rsidRDefault="00F714D4">
      <w:pPr>
        <w:numPr>
          <w:ilvl w:val="0"/>
          <w:numId w:val="672"/>
        </w:numPr>
        <w:shd w:val="clear" w:color="auto" w:fill="E3EFF7"/>
        <w:tabs>
          <w:tab w:val="clear" w:pos="720"/>
          <w:tab w:val="num" w:pos="1020"/>
        </w:tabs>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fiduciary duties required of a director? What measuring comparison is used to evaluate whether a director is meeting these fiduciary duties?</w:t>
      </w:r>
    </w:p>
    <w:p w:rsidR="00A86150" w:rsidRDefault="00F714D4">
      <w:pPr>
        <w:numPr>
          <w:ilvl w:val="0"/>
          <w:numId w:val="672"/>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would a staggered board prevent a hostile takeover?</w:t>
      </w:r>
    </w:p>
    <w:p w:rsidR="00A86150" w:rsidRDefault="008177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140" style="width:468pt;height:1.5pt" o:hralign="center" o:hrstd="t" o:hrnoshade="t" o:hr="t" fillcolor="#555" stroked="f"/>
        </w:pict>
      </w:r>
    </w:p>
    <w:p w:rsidR="00A86150" w:rsidRDefault="00F714D4">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“Friction Triggers Iacocca Ouster,” </w:t>
      </w:r>
      <w:r>
        <w:rPr>
          <w:rFonts w:ascii="Calibri" w:eastAsia="Times New Roman" w:hAnsi="Calibri" w:cs="Calibri"/>
          <w:i/>
          <w:iCs/>
          <w:color w:val="333333"/>
          <w:sz w:val="20"/>
          <w:szCs w:val="20"/>
        </w:rPr>
        <w:t>Michigan Daily</w:t>
      </w:r>
      <w:r>
        <w:rPr>
          <w:rFonts w:ascii="Calibri" w:eastAsia="Times New Roman" w:hAnsi="Calibri" w:cs="Calibri"/>
          <w:color w:val="333333"/>
          <w:sz w:val="20"/>
          <w:szCs w:val="20"/>
        </w:rPr>
        <w:t>, July 15, 1978.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27.4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Liability of Directors and Officers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73"/>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Examine the fiduciary duties owed by directors and officers.</w:t>
      </w:r>
    </w:p>
    <w:p w:rsidR="00A86150" w:rsidRDefault="00F714D4">
      <w:pPr>
        <w:numPr>
          <w:ilvl w:val="0"/>
          <w:numId w:val="673"/>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Consider constituency statutes.</w:t>
      </w:r>
    </w:p>
    <w:p w:rsidR="00A86150" w:rsidRDefault="00F714D4">
      <w:pPr>
        <w:numPr>
          <w:ilvl w:val="0"/>
          <w:numId w:val="673"/>
        </w:numPr>
        <w:shd w:val="clear" w:color="auto" w:fill="EAE9DC"/>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modern trends in corporate compliance and fiduciary duties.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Nature of the Problem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Not so long ago, boards of directors of large companies were quiescent bodies, virtual rubber stamps for their friends among management who put them there. By the late 1970s, with the general increase in the climate of litigiousness, one out of every nine companies on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Fortune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500 list saw its directors or officers hit with claims for violation of their legal responsibilities.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a seminal case, the Delaware Supreme Court found that the directors of TransUnion were grossly negligent in accepting a buyout price of $55 per share without sufficient inquiry or advice on the adequacy of the price, a breach of their duty of care owed to the shareholders. The directors were held liable for $23.5 million for this breach.</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Thus serving as a director or an officer was never free of business risks. Today, the task is fraught with legal risk as well.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main fiduciary duties apply to both directors and officers: one is a duty of loyalty, the other the duty of care. These duties arise from responsibilities placed upon directors and officers because of their positions within the corporation. The requirements under these duties have been refined over time. Courts and legislatures have both narrowed the duties by defining what is or is not a breach of each duty and have also expanded their scope. Courts have further refined the duties, such as laying out tests such as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Caremark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outlined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27.4.3 "Duty of Care"</w:t>
      </w:r>
      <w:r>
        <w:rPr>
          <w:rFonts w:ascii="Georgia" w:hAnsi="Georgia" w:cs="Calibri"/>
          <w:color w:val="333333"/>
          <w:sz w:val="20"/>
          <w:szCs w:val="20"/>
          <w:lang w:val="en"/>
        </w:rPr>
        <w:t>. Additionally, other duties have been developed, such as the duties of good faith and candor.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Duty of Loyalty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 fiduciary of the corporation, the director owes his primary loyalty to the corporation and its stockholders, as do the officers and majority shareholders. This responsibility is called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duty of loyalty</w:t>
      </w:r>
      <w:r>
        <w:rPr>
          <w:rFonts w:ascii="Georgia" w:hAnsi="Georgia" w:cs="Calibri"/>
          <w:color w:val="333333"/>
          <w:sz w:val="20"/>
          <w:szCs w:val="20"/>
          <w:lang w:val="en"/>
        </w:rPr>
        <w:t>. When there is a conflict between a director’s personal interest and the interest of the corporation, he is legally bound to put the corporation’s interest above his own. This duty was mentioned in Exercise 3 of</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27.2 "Rights of Shareholders"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when Ted usurped a corporate opportunity and will be discussed later in this section.</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27.3</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Common Conflict Situations</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3409950"/>
            <wp:effectExtent l="0" t="0" r="0" b="0"/>
            <wp:docPr id="148" name="Picture 36" descr="http://images.flatworldknowledge.com/mayerlawentrep/mayerlawentrep-fig4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mayerlawentrep/mayerlawentrep-fig45_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situations commonly give rise to the director or officer’s duty of loyalty: (1) contracts with the corporation and (2) corporate opportunity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27.3 "Common Conflict Situations"</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Contracts with the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does not bar a director from contracting with the corporation he serves. However, unless the contract or transaction is “fair to the corporation,” Sections 8.61, 8.62, and 8.63 of the Revised Model Business Corporation Act (RMBCA) impose on him a stringent duty of disclosure. In the absence of a fair transaction, a contract between the corporation and one of its directors is voidable. If the transaction is unfair to the corporation, it may still be permitted if the director has made full disclosure of his personal relationship or interest in the contract and if disinterested board members or shareholders approve the transaction.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Corporate Opportunity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Whenever a director or officer learns of an opportunity to engage in a variety of activities or transactions that might be beneficial to the corporation, his first obligation is to present the opportunity to the corporation. The rule encompasses the chance of acquiring another corporation, purchasing property, and licensing or marketing patents or products. This duty of disclosure was placed into legal lexicon by Judge Cardozo in 1928 when he stated that business partners owe more than a general sense of honor among one another; rather, they owe “the punctilio of honor most sensitive.”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Thus when a corporate opportunity arises, business partners must disclose the opportunity, and a failure to disclose is dishonest—a breach of the duty of loyalty.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a particular opportunity is a corporate opportunity can be a delicate question. For example, BCT owns a golf course and a country club. A parcel of land adjacent to their course comes on the market for sale, but BCT takes no action. Two BCT officers purchase the land personally, later informing the BCT board about the purchase and receiving board ratification of their purchase. Then BCT decides to liquidate and enters into an agreement with the two officers to sell both parcels of land. A BCT shareholder brings a derivative suit against the officers, alleging that purchasing the adjacent land stole a corporate opportunity. The shareholder would be successful in his suit. In considering</w:t>
      </w:r>
      <w:r>
        <w:rPr>
          <w:rStyle w:val="Emphasis"/>
          <w:rFonts w:ascii="Georgia" w:hAnsi="Georgia" w:cs="Calibri"/>
          <w:color w:val="333333"/>
          <w:sz w:val="20"/>
          <w:szCs w:val="20"/>
          <w:lang w:val="en"/>
        </w:rPr>
        <w:t>Farber v. Servan Land Co., Inc.</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case just like the one described,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Farber</w:t>
      </w:r>
      <w:r>
        <w:rPr>
          <w:rFonts w:ascii="Georgia" w:hAnsi="Georgia" w:cs="Calibri"/>
          <w:color w:val="333333"/>
          <w:sz w:val="20"/>
          <w:szCs w:val="20"/>
          <w:lang w:val="en"/>
        </w:rPr>
        <w:t>court laid out four factors in considering whether a corporate opportunity has been usurped:</w:t>
      </w:r>
    </w:p>
    <w:p w:rsidR="00A86150" w:rsidRDefault="00F714D4">
      <w:pPr>
        <w:pStyle w:val="ListParagraph"/>
        <w:numPr>
          <w:ilvl w:val="0"/>
          <w:numId w:val="674"/>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there is an actual corporate opportunity that the firm is considering</w:t>
      </w:r>
    </w:p>
    <w:p w:rsidR="00A86150" w:rsidRDefault="00F714D4">
      <w:pPr>
        <w:pStyle w:val="ListParagraph"/>
        <w:numPr>
          <w:ilvl w:val="0"/>
          <w:numId w:val="674"/>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the corporation’s shareholders declined to follow through on the opportunity</w:t>
      </w:r>
    </w:p>
    <w:p w:rsidR="00A86150" w:rsidRDefault="00F714D4">
      <w:pPr>
        <w:pStyle w:val="ListParagraph"/>
        <w:numPr>
          <w:ilvl w:val="0"/>
          <w:numId w:val="674"/>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the board or its shareholders ratified the purchase and, specifically, whether there were a sufficient number of disinterested voters</w:t>
      </w:r>
    </w:p>
    <w:p w:rsidR="00A86150" w:rsidRDefault="00F714D4">
      <w:pPr>
        <w:pStyle w:val="ListParagraph"/>
        <w:numPr>
          <w:ilvl w:val="0"/>
          <w:numId w:val="674"/>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benefit was missed by the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considering these factors,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Farber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court held that the officers had breached a duty of loyalty to the corporation by individually purchasing an asset that would have been deemed a corporate opportunity.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a director serves on more than one board, the problem of corporate opportunity becomes even more complex, because he may be caught in a situation of conflicting loyalties. Moreover, multiple board memberships pose another serious problem.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direct interlock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occurs when one person sits on the boards of two different companies;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indirect interlock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happens when directors of two different companies serve jointly on the board of a third company. The Clayton Act prohibits interlocking directorates between direct competitors. Despite this prohibition, as well as public displeasure, corporate board member overlap is commonplace. According to an analysis by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USA Today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The Corporate Library, eleven of the fifteen largest companies have at least two board members who also sit together on the board of another corporation. Furthermore, CEOs of one corporation often sit on the boards of other corporations. Bank board members may sit on the boards of other corporations, including the bank’s own clients. This web of connections has both pros and cons.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Duty of Care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second major aspect of the director’s responsibility is that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duty of care</w:t>
      </w:r>
      <w:r>
        <w:rPr>
          <w:rFonts w:ascii="Georgia" w:hAnsi="Georgia" w:cs="Calibri"/>
          <w:color w:val="333333"/>
          <w:sz w:val="20"/>
          <w:szCs w:val="20"/>
          <w:lang w:val="en"/>
        </w:rPr>
        <w:t>. Section 8.30 of RMBCA calls on the director to perform his duties “with the care an ordinarily prudent person in a like position would exercise under similar circumstances.” An “ordinarily prudent person” means one who directs his intelligence in a thoughtful way to the task at hand. Put another way, a director must make a reasonable effort to inform himself before making a decision, as discussed in the next paragraph. The director is not held to a higher standard required of a specialist (finance, marketing) unless he is one. A director of a small, closely held corporation will not necessarily be held to the same standard as a director who is given a staff by a large, complex, diversified company. The standard of care is that which an ordinarily prudent person would use who is in “a like position” to the director in question. Moreover, the standard is not a timeless one for all people in the same position. The standard can depend on the circumstances: a fast-moving situation calling for a snap decision will be treated differently later, if there are recriminations because it was the wrong decision, than a situation in which time was not of the essence.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of the care itself? What kind of care would an ordinarily prudent person in any situation be required to give? Unlike the standard of care, which can differ, the care itself has certain requirements. At a minimum, the director must pay attention. He must attend meetings, receive and digest information adequate to inform him about matters requiring board action, and monitor the performance of those to whom he has delegated the task of operating the corporation. Of course, documents can be misleading, reports can be slanted, and information coming from self-interested management can be distorted. To what heights must suspicion be raised? Section 8.30 of the RMBCA forgives directors the necessity of playing detective whenever information, including financial data, is received in an apparently reliable manner from corporate officers or employees or from experts such as attorneys and public accountants. Thus the director does not need to check with another attorney once he has received financial data from one competent attorney.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New Jersey Supreme Court decision considered the requirements of fiduciary duties, particularly the duty of care. Pritchard &amp; Baird was a reissuance corporation owned by Pritchard and having four directors: Pritchard, his wife, and his two sons. Pritchard and his sons routinely took loans from the accounts of the firm’s clients. After Pritchard died, his sons increased their borrowing, eventually sending the business into bankruptcy. During this time, Mrs. Pritchard developed a fondness for alcohol, drinking heavily and paying little attention to her directorship responsibilities. Creditors sued Mrs. Pritchard for breaches of her fiduciary duties, essentially arguing that the bankruptcy would not have occurred had she been acting properly. After both the trial court and appellate court found for the creditors, the New Jersey Supreme Court took up the case. The court held that a director must have a basic understanding of the business of the corporation upon whose board he or she sits. This can be accomplished by attending meetings, reviewing and understanding financial documents, investigating irregularities, and generally being involved in the corporation. The court found that Mrs. Pritchard’s being on the board because she was the spouse was insufficient to excuse her behavior, and that had she been performing her duties, she could have prevented the bankruptcy.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Despite the fiduciary requirements, in reality a director does not spend all his time on corporate affairs, is not omnipotent, and must be permitted to rely on the word of others. Nor can directors be infallible in making decisions. Managers work in a business environment, in which risk is a substantial factor. No decision, no matter how rigorously debated, is guaranteed. Accordingly, courts will not second-guess decisions made on the basis of good-faith judgment and due care. This is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business judgment rule</w:t>
      </w:r>
      <w:r>
        <w:rPr>
          <w:rFonts w:ascii="Georgia" w:hAnsi="Georgia" w:cs="Calibri"/>
          <w:color w:val="333333"/>
          <w:sz w:val="20"/>
          <w:szCs w:val="20"/>
          <w:lang w:val="en"/>
        </w:rPr>
        <w:t>, mentioned in previous chapters. The business judgment rule was coming into prominence as early as 1919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Dodge v. Ford</w:t>
      </w:r>
      <w:r>
        <w:rPr>
          <w:rFonts w:ascii="Georgia" w:hAnsi="Georgia" w:cs="Calibri"/>
          <w:color w:val="333333"/>
          <w:sz w:val="20"/>
          <w:szCs w:val="20"/>
          <w:lang w:val="en"/>
        </w:rPr>
        <w:t>,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26 "Legal Aspects of Corporate Finance"</w:t>
      </w:r>
      <w:r>
        <w:rPr>
          <w:rFonts w:ascii="Georgia" w:hAnsi="Georgia" w:cs="Calibri"/>
          <w:color w:val="333333"/>
          <w:sz w:val="20"/>
          <w:szCs w:val="20"/>
          <w:lang w:val="en"/>
        </w:rPr>
        <w:t>. It has been a pillar of corporate law ever since. As described by the Delaware Supreme Court: “The business judgment rule is an acknowledgment of the managerial prerogatives of Delaware directors.…It is a presumption that in making a business decision the directors of a corporation acted on an informed basis, in good faith and in the honest belief that the action taken was in the best interests of the company.”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business judgment rule, the actions of directors who fulfill their fiduciary duties will not be second-guessed by a court. The general test is whether a director’s decision or transaction was so one sided that no businessperson of ordinary judgment would reach the same decision. The business judgment rule has been refined over time. While the business judgment rule may seem to provide blanket protection for directors (the rule was quite broad as outlined by the court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Dodge v. Ford</w:t>
      </w:r>
      <w:r>
        <w:rPr>
          <w:rFonts w:ascii="Georgia" w:hAnsi="Georgia" w:cs="Calibri"/>
          <w:color w:val="333333"/>
          <w:sz w:val="20"/>
          <w:szCs w:val="20"/>
          <w:lang w:val="en"/>
        </w:rPr>
        <w:t>), this is not the case. The rule does not protect every decision made by directors, and they may face lawsuits, a topic to which we now turn. For further discussions of the business judgment rule,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Cede &amp; Co. v. Technicolor, Inc.</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 re The Walt Disney Co. Derivative Litigation</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Smith v. Van Gorkom.</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a shareholder is not pleased by a director’s decision, that shareholder may file a derivative suit. The derivative suit may be filed by a shareholder on behalf of the corporation against directors or officers of the corporation, alleging breach of their fiduciary obligations. However, a shareholder, as a prerequisite to filing a derivative action, must first demand that the board of directors take action, as the actual party in interest is the corporation, not the shareholder (meaning that if the shareholder is victorious in the lawsuit, it is actually the corporation that “wins”). If the board refuses, is its decision protected by the business judgment rule? The general rule is that the board may refuse to file a derivative suit and will be protected by the business judgment rule. And even when a derivative suit is filed, directors can be protected by the business judgment rule for decisions even the judge considers to have been poorly made.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 re The Walt Disney Co. Derivative Litigation</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27.5.2 "Business Judgment Rule"</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 battle for control of a corporation, directors (especially “inside” directors, who are employees of the corporation, such as officers) often have an inherent self-interest in preserving their positions, which can lead them to block mergers that the shareholders desire and that may be in the firm’s best interest. As a result, Delaware courts have modified the usual business judgment presumption in this situation.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Unocal Corp. v. Mesa Petroleum</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instance, the court held that directors who adopt a defensive mechanism “must show that they had reasonable grounds for believing that a danger to corporate policy and effectiveness existed.…[T]hey satisfy that burden ‘by showing good faith and reasonable investigation.’” The business judgment rule clearly does not protect every decision of the board.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Unocal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court developed a test for the board: the directors may only work to prevent a takeover when they can demonstrate a threat to the policies of the corporation and that any defensive measures taken to prevent the takeover were reasonable and proportional given the depth of the threat.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Unocal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test was modified further by requiring a finding, before a court steps in, that the actions of a board were coercive, a step back toward the business judgment rule.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 widely publicized case, the Delaware Supreme Court held that the board of Time, Inc. met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Unocal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test—that the board reasonably concluded that a tender offer by Paramount constituted a threat and acted reasonably in rejecting Paramount’s offer and in merging with Warner Communications.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specific elements of the fiduciary duties are not spelled out in stone. For example, the Delaware courts have laid out three factors to examine when determining whether a duty of care has been breached: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p>
    <w:p w:rsidR="00A86150" w:rsidRDefault="00F714D4">
      <w:pPr>
        <w:pStyle w:val="ListParagraph"/>
        <w:numPr>
          <w:ilvl w:val="0"/>
          <w:numId w:val="67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directors knew, or should have known, that legal breaches were occurring.</w:t>
      </w:r>
    </w:p>
    <w:p w:rsidR="00A86150" w:rsidRDefault="00F714D4">
      <w:pPr>
        <w:pStyle w:val="ListParagraph"/>
        <w:numPr>
          <w:ilvl w:val="0"/>
          <w:numId w:val="67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directors took no steps to prevent or resolve the situation.</w:t>
      </w:r>
    </w:p>
    <w:p w:rsidR="00A86150" w:rsidRDefault="00F714D4">
      <w:pPr>
        <w:pStyle w:val="ListParagraph"/>
        <w:numPr>
          <w:ilvl w:val="0"/>
          <w:numId w:val="67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failure caused the losses about which the shareholder is complaining in a derivative suit.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Thus the court expanded the duty of oversight (which is included under the umbrella of the duty of care; these duties are often referred to as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 xml:space="preserve">Caremark </w:t>
      </w:r>
      <w:r>
        <w:rPr>
          <w:rFonts w:ascii="Georgia" w:hAnsi="Georgia" w:cs="Calibri"/>
          <w:color w:val="333333"/>
          <w:sz w:val="20"/>
          <w:szCs w:val="20"/>
          <w:lang w:val="en"/>
        </w:rPr>
        <w:t>duties). Furthermore, courts have recognized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duty of good faith</w:t>
      </w:r>
      <w:r>
        <w:rPr>
          <w:rFonts w:ascii="Georgia" w:hAnsi="Georgia" w:cs="Calibri"/>
          <w:color w:val="333333"/>
          <w:sz w:val="20"/>
          <w:szCs w:val="20"/>
          <w:lang w:val="en"/>
        </w:rPr>
        <w:t>—a duty to act honestly and avoid violations of corporate norms and business practices.</w:t>
      </w:r>
      <w:r>
        <w:rPr>
          <w:rFonts w:ascii="Calibri" w:hAnsi="Calibri" w:cs="Calibri"/>
          <w:color w:val="2689C6"/>
          <w:sz w:val="20"/>
          <w:szCs w:val="20"/>
          <w:vertAlign w:val="superscript"/>
          <w:lang w:val="en"/>
        </w:rPr>
        <w:t>[15]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Therefore, the split in ownership and decision making within the corporate structure causes rifts, and courts are working toward balancing the responsibilities of the directors to their shareholders with their ability to run the corporation.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Constituency Statutes and Corporate Social Responsibility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Until the 1980s, the law in all the states imposed on corporate directors the obligation to advance shareholders’ economic interests to ensure the long-term profitability of the corporation. Other groups—employees, local communities and neighbors, customers, suppliers, and creditors—took a back seat to this primary responsibility of directors. Of course, directors could consider the welfare of these other groups if in so doing they promoted the interests of shareholders. But directors were not legally permitted to favor the interests of others over shareholders. The prevailing rule was, and often still is, that maximizing shareholder value is the primary duty of the board. Thus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Revlon, Inc. v. MacAndrews &amp; Forbes Holdings, Inc.</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Delaware Supreme Court held that Revlon’s directors had breached their fiduciary duty to the company’s shareholders in response to a hostile tender offer from Pantry Pride. While the facts of the case are intricate, the general gist is that the Revlon directors thwarted the hostile tender by adopting a variation of a poison pill involving a tender offer for their own shares in exchange for debt, effectively eliminating Pantry Pride’s ability to take over the firm. Pantry Pride upped its offer price, and in response, Revlon began negotiating with a leveraged buyout by a third party, Forstmann Little. Pantry Pride publicly announced it would top any bid made by Forstmann Little. Despite this, the Revlon board negotiated a deal with Forstmann Little. The court noted an exception to the general rule that permitted directors to consider the interests of other groups as long as “there are rationally related benefits accruing to the stockholders.” But when a company is about to be taken over, the object must be to sell it to the highest bidder, Pantry Pride in this case. It is then, said the court, in situations where the corporation is to be sold, that “concern for nonstockholder interests is inappropriate,” thus giving rise to what are commonly called the Revlon duties.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Post-</w:t>
      </w:r>
      <w:r>
        <w:rPr>
          <w:rStyle w:val="Emphasis"/>
          <w:rFonts w:ascii="Georgia" w:hAnsi="Georgia" w:cs="Calibri"/>
          <w:color w:val="333333"/>
          <w:sz w:val="20"/>
          <w:szCs w:val="20"/>
          <w:lang w:val="en"/>
        </w:rPr>
        <w:t>Revlon</w:t>
      </w:r>
      <w:r>
        <w:rPr>
          <w:rFonts w:ascii="Georgia" w:hAnsi="Georgia" w:cs="Calibri"/>
          <w:color w:val="333333"/>
          <w:sz w:val="20"/>
          <w:szCs w:val="20"/>
          <w:lang w:val="en"/>
        </w:rPr>
        <w:t>, in response to a wave of takeovers in the late 1980s, some states have enacted laws to give directors legal authority to take account of interests other than those of shareholders in deciding how to defend against hostile mergers and acquisitions. These laws are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constituency statutes</w:t>
      </w:r>
      <w:r>
        <w:rPr>
          <w:rFonts w:ascii="Georgia" w:hAnsi="Georgia" w:cs="Calibri"/>
          <w:color w:val="333333"/>
          <w:sz w:val="20"/>
          <w:szCs w:val="20"/>
          <w:lang w:val="en"/>
        </w:rPr>
        <w:t>, because they permit directors to take account of the interests of other constituencies of corporations. These do not permit a corporation to avoid its Revlon duties (that when a corporation is up for sale, it must be sold to the highest bidder) but will allow a corporation to consider factors other than shareholder value in determining whether to make charitable donations or reinvest profits. This ability has been further expanding as the concept of corporate social responsibility has grown, as discussed later in this section.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the other constituency statutes are not identically worded, they are all designed to release directors from their formal legal obligation to keep paramount the interests of shareholders. The Pennsylvania and Indiana statutes make this clear; statutes in other states are worded a bit more ambiguously, but the intent of the legislatures in enacting these laws seems clear: directors may give voice to employees worried about the loss of jobs or to communities worried about the possibility that an out-of-state acquiring company may close down a local factory to the detriment of the local economy. So broadly worded are these laws that although the motive for enacting them was to give directors a weapon in fighting hostile tender offers, in some states the principle applies to any decision by a board of directors. So, for example, it is possible that a board might legally decide to give a large charitable grant to a local community—a grant so large that it would materially decrease an annual dividend, contrary to the general rule that at some point the interests of shareholders in dividends clearly outweighs the board’s power to spend corporate profits on “good works.”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Critics have attacked the constituency statutes on two major grounds: first, they substitute a clear principle of conduct for an amorphous one, because they give no guidance on how directors are supposed to weigh the interests of a corporation’s various constituencies. Second, they make it more difficult for shareholders to monitor the performance of a company’s board; measuring decisions against the single goal of profit maximization is far easier than against the subjective goal of “balancing” a host of competing interests. Constituency statutes run contrary to the concept of shareholders as owners, and of the fiduciary duties owed to them, effectively softening shareholder power. Nevertheless, since many states now have constituency statutes, it is only reasonable to expect that the traditional doctrine holding shareholder interests paramount will begin to give way, even as the shareholders challenge new decisions by directors that favor communities, employees, and others with an important stake in the welfare of the corporations with which they deal. For a more complete discussion of constituency statutes, see “Corporate Governance and the Sarbanes-Oxley Act: Corporate Constituency Statutes and Employee Governance.”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Many modern corporations have begun to promote socially responsible behavior. While dumping toxic waste out the back door of the manufacturing facility rather than expending funds to properly dispose of the waste may result in an increase in value, the consequences of dumping the waste can be quite severe, whether from fines from regulatory authorities or from public backlash. Corporate social responsibility results from internal corporate policies that attempt to self-regulate and fulfill legal, ethical, and social obligations. Thus under corporate social responsibility, corporations may make donations to charitable organizations or build environmentally friendly or energy-efficient buildings. Socially irresponsible behavior can be quite disastrous for a corporation. Nike, for example, was hit by consumer backlash due to its use of child labor in other countries, such as India and Malaysia. British Petroleum (BP) faced public anger as well as fines and lawsuits for a massive oil spill in the Gulf of Mexico. This spill had serious consequences for BP’s shareholders—BP stopped paying dividends, its stock price plummeted, and it had to set aside significant amounts of money to compensate injured individuals and businesses.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Many businesses try to fulfill what is commonly called the triple bottom line, which is a focus on profits, people, and the planet. For example, Ben and Jerry’s, the ice cream manufacturer, had followed a triple bottom line practice for many years. Nonetheless, when Ben and Jerry’s found itself the desired acquisition of several other businesses, it feared that a takeover of the firm would remove this focus, since for some firms, there is only one bottom line—profits. Unilever offered $43.60 per share for Ben and Jerry’s. Several Ben and Jerry’s insiders made a counteroffer at $38 per share, arguing that a lower price was justified given the firm’s focus. Ultimately, in a case like this, the Revlon duties come into play: when a corporation is for sale, corporate social responsibility goes out the window and only one bottom line exists—maximum shareholder value. In the case of Ben and Jerry’s, the company was acquired in 2000 for $326 million by Unilever, the Anglo-Dutch corporation that is the world’s largest consumer products company.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Sarbanes-Oxley and Other Modern Trends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Sarbanes-Oxley Act of 2002, enacted following several accounting scandals, strengthens the duties owed by the board and other corporate officers. In particular, Title III contains corporate responsibility provisions, such as requiring senior executives to vouch for the accuracy and completeness of their corporation’s financial disclosures. While the main goal of Sarbanes-Oxley is to decrease the incidents of financial fraud and accounting tricks, its operative goal is to strengthen the fiduciary duties of loyalty and care as well as good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modern trend has been to impose more duties. Delaware has been adding to the list of fiduciary responsibilities other than loyalty and care. As mentioned previously, the Delaware judicial system consistently recognizes a duty of good faith. The courts have further added a duty of candor with shareholders when the corporation is disseminating information to its investors. Particular duties arise in the context of mergers, acquisitions, and tender offers. As mentioned previously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Revlon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the duty owed to shareholders in situations of competing tender offers is that of maximum value. Other duties may arise, such as when directors attempt to retain their positions on the board in the face of a hostile tender offer. Trends in fiduciary responsibilities, as well as other changes in the business legal field, are covered extensively by the American Bar Association at</w:t>
      </w:r>
      <w:r>
        <w:rPr>
          <w:rStyle w:val="apple-converted-space"/>
          <w:rFonts w:ascii="Georgia" w:hAnsi="Georgia" w:cs="Calibri"/>
          <w:color w:val="333333"/>
          <w:sz w:val="20"/>
          <w:szCs w:val="20"/>
          <w:lang w:val="en"/>
        </w:rPr>
        <w:t> </w:t>
      </w:r>
      <w:hyperlink r:id="rId82" w:tgtFrame="_blank" w:history="1">
        <w:r>
          <w:rPr>
            <w:rStyle w:val="Hyperlink"/>
            <w:rFonts w:ascii="Georgia" w:hAnsi="Georgia" w:cs="Calibri"/>
            <w:color w:val="2689C6"/>
            <w:sz w:val="20"/>
            <w:szCs w:val="20"/>
            <w:lang w:val="en"/>
          </w:rPr>
          <w:t>http://www.americanbar.org/groups/business_law.html</w:t>
        </w:r>
      </w:hyperlink>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Liability Prevention and Insurance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Alice, the director of BCT, has been charged with breaching her duty of care. Is she personally liable for a breach of the duty of care? How can a director avoid liability? Of course, she can never avoid defending a lawsuit, for in the wake of any large corporate difficulty—from a thwarted takeover bid to a bankruptcy—some group of shareholders will surely sue. But the director can immunize herself ultimately by carrying out her duties of loyalty and care. In practice, this often means that she should be prepared to document the reasonableness of her reliance on information from all sources considered. Second, if the director dissents from action that she considers mistaken or unlawful, she should ensure that her negative vote is recorded. Silence is construed as assent to any proposition before the board, and assent to a woefully mistaken action can be the basis for staggering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however, are permitted to limit or eliminate the personal liability of its directors. For example, Delaware law permits the articles of incorporation to contain a provision eliminating or limiting the personal liability of directors to the corporation, with some limitations.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Beyond preventive techniques, another measure of protection from director liability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indemnification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(reimbursement). In most states, the corporation may agree under certain circumstances to indemnify directors, officers, and employees for expenses resulting from litigation when they are made party to suits involving the corporation. In third-party actions (those brought by outsiders), the corporation may reimburse the director, officer, or employee for all expenses (including attorneys’ fees), judgments, fines, and settlement amounts. In derivative actions, the corporation’s power to indemnify is more limited. For example, reimbursement for litigation expenses of directors adjudged liable for negligence or misconduct is allowed only if the court approves. In both third-party and derivative actions, the corporation must provide indemnification expenses when the defense is successful.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or not they have the power to indemnify, corporations may purchase liability insurance for directors, officers, and employees (for directors and officers, the insurance is commonly referred to as D&amp;O insurance). But insurance policies do not cover every act. Most exclude “willful negligence” and criminal conduct in which intent is a necessary element of proof. Furthermore, the cost of liability insurance has increased dramatically in recent years, causing some companies to cancel their coverage. This, in turn, jeopardizes the recent movement toward outside directors because many directors might prefer to leave or decline to serve on boards that have inadequate liability coverage. As a result, most states have enacted legislation that allows a corporation, through a charter amendment approved by shareholders, to limit the personal liability of its outside directors for failing to exercise due care. In 1990, Section 2.02 of the RMBCA was amended to provide that the articles of incorporation may include “a provision eliminating or limiting the liability of a director to the corporation or its shareholders for money damages.…” This section includes certain exceptions; for example, the articles may not limit liability for intentional violations of criminal law. Delaware Code Section 102(b)(7), as mentioned previously, was enacted after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Smith v. Van Gorkom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27.4.3 "Duty of Care"</w:t>
      </w:r>
      <w:r>
        <w:rPr>
          <w:rFonts w:ascii="Georgia" w:hAnsi="Georgia" w:cs="Calibri"/>
          <w:color w:val="333333"/>
          <w:sz w:val="20"/>
          <w:szCs w:val="20"/>
          <w:lang w:val="en"/>
        </w:rPr>
        <w:t>) and was prompted by an outcry about the court’s decision. As a result, many corporations now use similar provisions to limit director liability. For example, Delaware and California permit the limitation or abolition of liability for director’s breach of the duty of care except in instances of fraud, bad faith, or willful misconduct.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Directors and officers have two main fiduciary duties: the duty of loyalty and the duty of care. The duty of loyalty is a responsibility to act in the best interest of the corporation, even when that action may conflict with a personal interest. This duty commonly arises in contracts with the corporation and with corporate opportunities. The duty of care requires directors and officers to act with the care of an ordinarily prudent person in like circumstances. The business judgment rule may protect directors and officers, since courts give a presumption to the corporation that its personnel are informed and act in good faith. A shareholder may file a derivative lawsuit on behalf of the corporation against corporate insiders for breaches of these fiduciary obligations or other actions that harm the corporation. While directors and officers have obligations to the corporation and its shareholders, they may weigh other considerations under constituency statutes. In response to recent debacles, state and federal laws, such as Sarbanes-Oxley, have placed further requirements on officers and directors. Director and officer expenses in defending claims of wrongful acts may be covered through indemnification or insurance.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7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two major fiduciary responsibilities that directors and officers owe to the corporation and its shareholders?</w:t>
      </w:r>
    </w:p>
    <w:p w:rsidR="00A86150" w:rsidRDefault="00F714D4">
      <w:pPr>
        <w:numPr>
          <w:ilvl w:val="0"/>
          <w:numId w:val="67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benefits of having interlocking directorates? What are some disadvantages?</w:t>
      </w:r>
    </w:p>
    <w:p w:rsidR="00A86150" w:rsidRDefault="00F714D4">
      <w:pPr>
        <w:numPr>
          <w:ilvl w:val="0"/>
          <w:numId w:val="67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Is there any connection between the business judgment rule and constituency statutes?</w:t>
      </w:r>
    </w:p>
    <w:p w:rsidR="00A86150" w:rsidRDefault="0081777E">
      <w:pPr>
        <w:spacing w:after="0"/>
        <w:jc w:val="center"/>
        <w:divId w:val="1697735049"/>
      </w:pPr>
      <w:r>
        <w:pict>
          <v:rect id="_x0000_i1141"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 &amp; O Claims Incidence Rises,”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Insurance</w:t>
      </w:r>
      <w:r>
        <w:rPr>
          <w:rFonts w:ascii="Calibri" w:hAnsi="Calibri" w:cs="Calibri"/>
          <w:color w:val="333333"/>
          <w:sz w:val="20"/>
          <w:szCs w:val="20"/>
        </w:rPr>
        <w:t>, November 12, 1979, 18.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Smith v. Van Gorkom</w:t>
      </w:r>
      <w:r>
        <w:rPr>
          <w:rFonts w:ascii="Calibri" w:hAnsi="Calibri" w:cs="Calibri"/>
          <w:color w:val="333333"/>
          <w:sz w:val="20"/>
          <w:szCs w:val="20"/>
        </w:rPr>
        <w:t>, 488 A.2d 858 (Del. 1985).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Meinhard v. Salmon</w:t>
      </w:r>
      <w:r>
        <w:rPr>
          <w:rFonts w:ascii="Calibri" w:hAnsi="Calibri" w:cs="Calibri"/>
          <w:color w:val="333333"/>
          <w:sz w:val="20"/>
          <w:szCs w:val="20"/>
        </w:rPr>
        <w:t>, 164 N.W. 545 (N.Y. 1928).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Farber v. Servan Land Co., Inc.</w:t>
      </w:r>
      <w:r>
        <w:rPr>
          <w:rFonts w:ascii="Calibri" w:hAnsi="Calibri" w:cs="Calibri"/>
          <w:color w:val="333333"/>
          <w:sz w:val="20"/>
          <w:szCs w:val="20"/>
        </w:rPr>
        <w:t>, 662 F.2d 371 (5th Cir. 1981).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For a further discussion of board member connectedness, see Matt Krant, “Web of Board Members Ties Together Corporation America,” at</w:t>
      </w:r>
      <w:hyperlink r:id="rId83" w:tgtFrame="_blank" w:history="1">
        <w:r>
          <w:rPr>
            <w:rStyle w:val="Hyperlink"/>
            <w:rFonts w:ascii="Calibri" w:hAnsi="Calibri" w:cs="Calibri"/>
            <w:color w:val="2689C6"/>
            <w:sz w:val="20"/>
            <w:szCs w:val="20"/>
          </w:rPr>
          <w:t>http://www.usatoday.com/money/companies/management/2002-11-24-interlock_x.htm</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Francis v. United Jersey Bank</w:t>
      </w:r>
      <w:r>
        <w:rPr>
          <w:rFonts w:ascii="Calibri" w:hAnsi="Calibri" w:cs="Calibri"/>
          <w:color w:val="333333"/>
          <w:sz w:val="20"/>
          <w:szCs w:val="20"/>
        </w:rPr>
        <w:t>, 87 N.J. 15, 432 A.2d 814 (N.J. 1981).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Aronson v. Lewis</w:t>
      </w:r>
      <w:r>
        <w:rPr>
          <w:rFonts w:ascii="Calibri" w:hAnsi="Calibri" w:cs="Calibri"/>
          <w:color w:val="333333"/>
          <w:sz w:val="20"/>
          <w:szCs w:val="20"/>
        </w:rPr>
        <w:t>, 473 A.2d 805, 812 (Del. 1984).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Cede &amp; Co. v. Technicolor, Inc.</w:t>
      </w:r>
      <w:r>
        <w:rPr>
          <w:rFonts w:ascii="Calibri" w:hAnsi="Calibri" w:cs="Calibri"/>
          <w:color w:val="333333"/>
          <w:sz w:val="20"/>
          <w:szCs w:val="20"/>
        </w:rPr>
        <w:t>, 634 A.2d 345 (Del. 1993).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In re The Walt Disney Co. Derivative Litigation</w:t>
      </w:r>
      <w:r>
        <w:rPr>
          <w:rFonts w:ascii="Calibri" w:hAnsi="Calibri" w:cs="Calibri"/>
          <w:color w:val="333333"/>
          <w:sz w:val="20"/>
          <w:szCs w:val="20"/>
        </w:rPr>
        <w:t>, 906 A.2d 27 (Del. 2006).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Style w:val="Emphasis"/>
          <w:rFonts w:ascii="Calibri" w:hAnsi="Calibri" w:cs="Calibri"/>
          <w:color w:val="333333"/>
          <w:sz w:val="20"/>
          <w:szCs w:val="20"/>
        </w:rPr>
        <w:t>Smith v. Van Gorkom</w:t>
      </w:r>
      <w:r>
        <w:rPr>
          <w:rFonts w:ascii="Calibri" w:hAnsi="Calibri" w:cs="Calibri"/>
          <w:color w:val="333333"/>
          <w:sz w:val="20"/>
          <w:szCs w:val="20"/>
        </w:rPr>
        <w:t>, 488 A.2d 858 (Del. 1985).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Unocal Corp. v. Mesa Petroleum</w:t>
      </w:r>
      <w:r>
        <w:rPr>
          <w:rFonts w:ascii="Calibri" w:hAnsi="Calibri" w:cs="Calibri"/>
          <w:color w:val="333333"/>
          <w:sz w:val="20"/>
          <w:szCs w:val="20"/>
        </w:rPr>
        <w:t>, 493 A.2d 946 (Del. 1985).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Unitrin v. American General Corp.</w:t>
      </w:r>
      <w:r>
        <w:rPr>
          <w:rFonts w:ascii="Calibri" w:hAnsi="Calibri" w:cs="Calibri"/>
          <w:color w:val="333333"/>
          <w:sz w:val="20"/>
          <w:szCs w:val="20"/>
        </w:rPr>
        <w:t>, 651 A.2d 1361 (Del. 1995).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Paramount Communications, Inc. v. Time, Inc.</w:t>
      </w:r>
      <w:r>
        <w:rPr>
          <w:rFonts w:ascii="Calibri" w:hAnsi="Calibri" w:cs="Calibri"/>
          <w:color w:val="333333"/>
          <w:sz w:val="20"/>
          <w:szCs w:val="20"/>
        </w:rPr>
        <w:t>, 571 A.2d 1140 (Del. 1989).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Style w:val="Emphasis"/>
          <w:rFonts w:ascii="Calibri" w:hAnsi="Calibri" w:cs="Calibri"/>
          <w:color w:val="333333"/>
          <w:sz w:val="20"/>
          <w:szCs w:val="20"/>
        </w:rPr>
        <w:t>In re Caremark International Inc. Derivative Litigation</w:t>
      </w:r>
      <w:r>
        <w:rPr>
          <w:rFonts w:ascii="Calibri" w:hAnsi="Calibri" w:cs="Calibri"/>
          <w:color w:val="333333"/>
          <w:sz w:val="20"/>
          <w:szCs w:val="20"/>
        </w:rPr>
        <w:t>, 698 A.2d 959 (Del. Ch. 1996).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For more information, see Melvin Eisenberg, “The Duty of Good Faith in Corporate Law,” 31</w:t>
      </w:r>
      <w:r>
        <w:rPr>
          <w:rStyle w:val="apple-converted-space"/>
          <w:rFonts w:ascii="Calibri" w:hAnsi="Calibri" w:cs="Calibri"/>
          <w:color w:val="333333"/>
          <w:sz w:val="20"/>
          <w:szCs w:val="20"/>
        </w:rPr>
        <w:t> </w:t>
      </w:r>
      <w:r>
        <w:rPr>
          <w:rStyle w:val="Emphasis"/>
          <w:rFonts w:ascii="Calibri" w:hAnsi="Calibri" w:cs="Calibri"/>
          <w:color w:val="333333"/>
          <w:sz w:val="20"/>
          <w:szCs w:val="20"/>
        </w:rPr>
        <w:t>Delaware Journal of Corporate Law</w:t>
      </w:r>
      <w:r>
        <w:rPr>
          <w:rFonts w:ascii="Calibri" w:hAnsi="Calibri" w:cs="Calibri"/>
          <w:color w:val="333333"/>
          <w:sz w:val="20"/>
          <w:szCs w:val="20"/>
        </w:rPr>
        <w:t>, 1 (2005).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Style w:val="Emphasis"/>
          <w:rFonts w:ascii="Calibri" w:hAnsi="Calibri" w:cs="Calibri"/>
          <w:color w:val="333333"/>
          <w:sz w:val="20"/>
          <w:szCs w:val="20"/>
        </w:rPr>
        <w:t>Revlon, Inc. v. MacAndrews &amp; Forbes Holdings, Inc.</w:t>
      </w:r>
      <w:r>
        <w:rPr>
          <w:rFonts w:ascii="Calibri" w:hAnsi="Calibri" w:cs="Calibri"/>
          <w:color w:val="333333"/>
          <w:sz w:val="20"/>
          <w:szCs w:val="20"/>
        </w:rPr>
        <w:t>, 506 A.2d 173 (Del. 1986).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Brett H. McDonnell, “Corporate Governance and the Sarbanes-Oxley Act: Corporate Constituency Statutes and Employee Governance,”</w:t>
      </w:r>
      <w:r>
        <w:rPr>
          <w:rStyle w:val="apple-converted-space"/>
          <w:rFonts w:ascii="Calibri" w:hAnsi="Calibri" w:cs="Calibri"/>
          <w:color w:val="333333"/>
          <w:sz w:val="20"/>
          <w:szCs w:val="20"/>
        </w:rPr>
        <w:t> </w:t>
      </w:r>
      <w:r>
        <w:rPr>
          <w:rStyle w:val="Emphasis"/>
          <w:rFonts w:ascii="Calibri" w:hAnsi="Calibri" w:cs="Calibri"/>
          <w:color w:val="333333"/>
          <w:sz w:val="20"/>
          <w:szCs w:val="20"/>
        </w:rPr>
        <w:t>William Mitchell Law Review</w:t>
      </w:r>
      <w:r>
        <w:rPr>
          <w:rStyle w:val="apple-converted-space"/>
          <w:rFonts w:ascii="Calibri" w:hAnsi="Calibri" w:cs="Calibri"/>
          <w:color w:val="333333"/>
          <w:sz w:val="20"/>
          <w:szCs w:val="20"/>
        </w:rPr>
        <w:t> </w:t>
      </w:r>
      <w:r>
        <w:rPr>
          <w:rFonts w:ascii="Calibri" w:hAnsi="Calibri" w:cs="Calibri"/>
          <w:color w:val="333333"/>
          <w:sz w:val="20"/>
          <w:szCs w:val="20"/>
        </w:rPr>
        <w:t>30 (2004): 1227.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Del. Code Ann., Title 8, Section 102(b)(7) (2011).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27.5</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Ultra Vires Acts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Cross v. The Midtown Club, Inc.</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33 Conn. Supp. 150; 365 A.2d 1227 (Conn. 1976)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STAPLETON,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facts are admitted or undisputed: The plaintiff is a member in good standing of the defendant nonstock Connecticut corporation. Each of the individual defendants is a director of the corporation, and together the individual defendants constitute the entire board of directors. The certificate of incorporation sets forth that the sole purpose of the corporation is “to provide facilities for the serving of luncheon or other meals to members.” Neither the certificate of incorporation nor the bylaws of the corporation contain any qualifications for membership, nor does either contain any restrictions on the luncheon guests members may bring to the club. The plaintiff sought to bring a female to lunch with him, and both he and his guest were refused seating at the luncheon facility. The plaintiff wrote twice to the president of the corporation to protest the action, but he received no reply to either letter. On three different occasions, the plaintiff submitted applications for membership on behalf of a different female, and only on the third of those occasions did the board process the application, which it then rejected. Shortly after both of the above occurrences, the board of directors conducted two separate pollings of its members, one by mail, the other by a special meeting held to vote on four alternative proposals for amending the bylaws of corporation concerning the admission of women members and guests. None of these proposed amendments to the bylaws received the required number of votes for adoption. Following that balloting, the plaintiff again wrote to the president of the corporation and asked that the directors stop interfering with his rights as a member to bring women guests to the luncheon facility and to propose women for membership. The president’s reply was that “the existing bylaws, house rules and customs continue in effect, and therefore [the board] consider[s] the matter closed.”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seeking a declaratory judgment which will inform him of his rights vis-à-vis the corporation and its directors, the plaintiff is also seeking injunctive relief, orders directing the admission of the plaintiff’s candidate to membership and denying indemnity to the directors, money damages, and costs and expenses including reasonable attorney’s fees. It should be noted at the outset that the plaintiff is not making a claim under either the federal or state civil rights or equal accommodations statutes, but that he is solely asserting his membership rights under the certificate of incorporation, the bylaws, and the statutes governing the regulation of this nonstock corporation. As such, this is a case of first impression in Connecticut.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Connecticut has codified the common-law right of a member to proceed against his corporation or its directors in the event of an ultra vires act. In fact, it has been done specifically under the Nonstock Corporation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powers were given to the defendant corporation in its certificate of incorporation, only a purpose, and as a result the only incidental powers which the defendant would have under the common law are those which are necessary to effect its purpose, that being to serve lunch to its members. Since the club was not formed for the purpose of having an exclusively male luncheon club, it cannot be considered necessary to its stated purpose for the club to have the implied power at common law to exclude women members.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Connecticut Nonstock Corporation Act, the corporation could have set forth in its certificate of incorporation that its purpose was to engage in any lawful activity permitted that corporation. That was not done. Its corporate purposes were very narrowly stated to be solely for providing “facilities for the serving of luncheon or other meals to members.” The certificate did not restrict the purpose to the serving of male members. Section 33-428 of the General Statutes provides that the corporate powers of a nonstock corporation are those set forth in the Nonstock Corporation Act, those specifically stated in the certificate of incorporation, neither of which includes the power to exclude women members, and the implied power to “exercise all legal powers necessary or convenient to effect any or all of the purposes stated in its certificate of incorporation.…”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come, thus, to the nub of this controversy and the basic legal question raised by the facts in this case: Is it necessary or convenient to the purpose for which this corporation was organized for it to exclude women members? This court concludes that it is not. While a corporation might be organized for the narrower purpose of providing a luncheon club for men only, this one was not so organized. Its stated purpose is broader and this court cannot find that it is either necessary or convenient to that purpose for its membership to be restricted to men. It should be borne in mind that this club is one of the principal luncheon clubs for business and professional people in Stamford. It is a gathering place where a great many of the civic, business, and professional affairs of the Stamford community are discussed in an atmosphere of social intercourse. Given the scope of the entry of women today into the business and professional life of the community and the changing status of women before the law and in society, it would be anomalous indeed for this court to conclude that it is either necessary or convenient to the stated purpose for which it was organized for this club to exclude women as members or guests.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bylaws recognize the right of a member to bring guests to the club, the exclusion of women guests is nowhere authorized and would not appear to be any more necessary and convenient to the purpose of the club than the exclusion of women members. The bylaws at present contain no restrictions against female members or guests and even if they could be interpreted as authorizing those restrictions, they would be of no validity in light of the requirement of § 33-459 (a) of the General Statutes, that the bylaws must be “reasonable [and] germane to the purposes of the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therefore concludes that the actions and policies of the defendants in excluding women as members and guests solely on the basis of sex is ultra vires and beyond the power of the corporation and its management under its certificate of incorporation and the Nonstock Corporation Act, and in derogation of the rights of the plaintiff as a member thereof. The plaintiff is entitled to a declaratory judgment to that effect and one may enter accordingly.</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basis of the plaintiff’s claim?</w:t>
      </w:r>
    </w:p>
    <w:p w:rsidR="00A86150" w:rsidRDefault="00F714D4">
      <w:pPr>
        <w:numPr>
          <w:ilvl w:val="0"/>
          <w:numId w:val="6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club have had a better defense against the plaintiff’s claim if its purpose was “to provide facilities for the serving of luncheon or other meals to male members”?</w:t>
      </w:r>
    </w:p>
    <w:p w:rsidR="00A86150" w:rsidRDefault="00F714D4">
      <w:pPr>
        <w:numPr>
          <w:ilvl w:val="0"/>
          <w:numId w:val="6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Had the corporation’s purpose read as it does in Question 2, would the plaintiff have had other bases for a claim?</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 Judgment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 The Walt Disney Co. Derivative Litigation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907 A.2d 693 (Del. Ch. 2005)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JACOBS,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Walt Disney Company hired Ovitz as its executive president and as a board member for five years after lengthy compensation negotiations. The negotiations regarding Ovitz’s compensation were conducted predominantly by Eisner and two of the members of the compensation committee (a four-member panel). The terms of Ovitz’s compensation were then presented to the full board. In a meeting lasting around one hour, where a variety of topics were discussed, the board approved Ovitz’s compensation after reviewing only a term sheet rather than the full contract. Ovitz’s time at Disney was tumultuous and short-lived.]…In December 1996, only fourteen months after he commenced employment, Ovitz was terminated without cause, resulting in a severance payout to Ovitz valued at approximately $ 130 million. [Disney shareholders then filed derivative actions on behalf of Disney against Ovitz and the directors of Disney at the time of the events complained of (the “Disney defendants”), claiming that the $130 million severance payout was the product of fiduciary duty and contractual breaches by Ovitz and of breaches of fiduciary duty by the Disney defendants and a waste of assets. The Chancellor found in favor of the defendants. The plaintiff appealed.]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next turn to the claims of error that relate to the Disney defendants. Those claims are subdivisible into two groups: (A) claims arising out of the approval of the OEA [Ovitz employment agreement] and of Ovitz’s election as President; and (B) claims arising out of the NFT [nonfault termination] severance payment to Ovitz upon his termination. We address separately those two categories and the issues that they generate.…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due care] argument is best understood against the backdrop of the presumptions that cloak director action being reviewed under the business judgment standard. Our law presumes that “in making a business decision the directors of a corporation acted on an informed basis, in good faith, and in the honest belief that the action taken was in the best interests of the company.” Those presumptions can be rebutted if the plaintiff shows that the directors breached their fiduciary duty of care or of loyalty or acted in bad faith. If that is shown, the burden then shifts to the director defendants to demonstrate that the challenged act or transaction was entirely fair to the corporation and its shareholders.…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first claim is that the Chancellor erroneously (i) failed to make a “threshold determination” of gross negligence, and (ii) “conflated” the appellants’ burden to rebut the business judgment presumptions, with an analysis of whether the directors’ conduct fell within the 8</w:t>
      </w:r>
      <w:r>
        <w:rPr>
          <w:rStyle w:val="apple-converted-space"/>
          <w:rFonts w:ascii="Georgia" w:hAnsi="Georgia" w:cs="Calibri"/>
          <w:color w:val="333333"/>
          <w:sz w:val="20"/>
          <w:szCs w:val="20"/>
        </w:rPr>
        <w:t> </w:t>
      </w:r>
      <w:r>
        <w:rPr>
          <w:rStyle w:val="Emphasis"/>
          <w:rFonts w:ascii="Georgia" w:hAnsi="Georgia" w:cs="Calibri"/>
          <w:color w:val="333333"/>
          <w:sz w:val="20"/>
          <w:szCs w:val="20"/>
        </w:rPr>
        <w:t>Del. C.</w:t>
      </w:r>
      <w:r>
        <w:rPr>
          <w:rStyle w:val="apple-converted-space"/>
          <w:rFonts w:ascii="Georgia" w:hAnsi="Georgia" w:cs="Calibri"/>
          <w:color w:val="333333"/>
          <w:sz w:val="20"/>
          <w:szCs w:val="20"/>
        </w:rPr>
        <w:t> </w:t>
      </w:r>
      <w:r>
        <w:rPr>
          <w:rFonts w:ascii="Georgia" w:hAnsi="Georgia" w:cs="Calibri"/>
          <w:color w:val="333333"/>
          <w:sz w:val="20"/>
          <w:szCs w:val="20"/>
        </w:rPr>
        <w:t>§ 102(b)(7) provision that precludes exculpation of directors from monetary liability “for acts or omissions not in good faith.” The argument runs as follows:</w:t>
      </w:r>
      <w:r>
        <w:rPr>
          <w:rStyle w:val="apple-converted-space"/>
          <w:rFonts w:ascii="Georgia" w:hAnsi="Georgia" w:cs="Calibri"/>
          <w:color w:val="333333"/>
          <w:sz w:val="20"/>
          <w:szCs w:val="20"/>
        </w:rPr>
        <w:t> </w:t>
      </w:r>
      <w:r>
        <w:rPr>
          <w:rStyle w:val="Emphasis"/>
          <w:rFonts w:ascii="Georgia" w:hAnsi="Georgia" w:cs="Calibri"/>
          <w:color w:val="333333"/>
          <w:sz w:val="20"/>
          <w:szCs w:val="20"/>
        </w:rPr>
        <w:t>Emerald Partners v. Berlin</w:t>
      </w:r>
      <w:r>
        <w:rPr>
          <w:rStyle w:val="apple-converted-space"/>
          <w:rFonts w:ascii="Georgia" w:hAnsi="Georgia" w:cs="Calibri"/>
          <w:color w:val="333333"/>
          <w:sz w:val="20"/>
          <w:szCs w:val="20"/>
        </w:rPr>
        <w:t> </w:t>
      </w:r>
      <w:r>
        <w:rPr>
          <w:rFonts w:ascii="Georgia" w:hAnsi="Georgia" w:cs="Calibri"/>
          <w:color w:val="333333"/>
          <w:sz w:val="20"/>
          <w:szCs w:val="20"/>
        </w:rPr>
        <w:t>required the Chancellor first to determine whether the business judgment rule presumptions were rebutted based upon a showing that the board violated its duty of care,</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Fonts w:ascii="Georgia" w:hAnsi="Georgia" w:cs="Calibri"/>
          <w:color w:val="333333"/>
          <w:sz w:val="20"/>
          <w:szCs w:val="20"/>
        </w:rPr>
        <w:t>, acted with gross negligence. If gross negligence were established, the burden would shift to the directors to establish that the OEA was entirely fair. Only if the directors failed to meet that burden could the trial court then address the directors’ Section 102(b)(7) exculpation defense, including the statutory exception for acts not in good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argument lacks merit. To make the argument the appellants must ignore the distinction between (i) a determination of bad faith for the threshold purpose of rebutting the business judgment rule presumptions, and (ii) a bad faith determination for purposes of evaluating the availability of charter-authorized exculpation from monetary damage liability after liability has been established. Our law clearly permits a judicial assessment of director good faith for that former purpose. Nothing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Emerald Partners</w:t>
      </w:r>
      <w:r>
        <w:rPr>
          <w:rStyle w:val="apple-converted-space"/>
          <w:rFonts w:ascii="Georgia" w:hAnsi="Georgia" w:cs="Calibri"/>
          <w:color w:val="333333"/>
          <w:sz w:val="20"/>
          <w:szCs w:val="20"/>
        </w:rPr>
        <w:t> </w:t>
      </w:r>
      <w:r>
        <w:rPr>
          <w:rFonts w:ascii="Georgia" w:hAnsi="Georgia" w:cs="Calibri"/>
          <w:color w:val="333333"/>
          <w:sz w:val="20"/>
          <w:szCs w:val="20"/>
        </w:rPr>
        <w:t>requires the Court of Chancery to consider only evidence of lack of due care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gross negligence) in determining whether the business judgment rule presumptions have been rebutted.…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argue that the Disney directors breached their duty of care by failing to inform themselves of all material information reasonably available with respect to Ovitz’s employment agreement.…[but the] only properly reviewable action of the entire board was its decision to elect Ovitz as Disney’s President. In that context the sole issue, as the Chancellor properly held, is “whether [the remaining members of the old board] properly exercised their business judgment and acted in accordance with their fiduciary duties when they elected Ovitz to the Company’s presidency.” The Chancellor determined that in electing Ovitz, the directors were informed of all information reasonably available and, thus, were not grossly negligent. We agree.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turns to good faith.] The Court of Chancery held that the business judgment rule presumptions protected the decisions of the compensation committee and the remaining Disney directors, not only because they had acted with due care but also because they had not acted in bad faith. That latter ruling, the appellants claim, was reversible error because the Chancellor formulated and then applied an incorrect definition of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…Their argument runs as follows: under the Chancellor’s 2003 definition of bad faith, the directors must have “</w:t>
      </w:r>
      <w:r>
        <w:rPr>
          <w:rStyle w:val="Emphasis"/>
          <w:rFonts w:ascii="Georgia" w:hAnsi="Georgia" w:cs="Calibri"/>
          <w:color w:val="333333"/>
          <w:sz w:val="20"/>
          <w:szCs w:val="20"/>
        </w:rPr>
        <w:t>consciously and intentionally disregarded their responsibilities</w:t>
      </w:r>
      <w:r>
        <w:rPr>
          <w:rFonts w:ascii="Georgia" w:hAnsi="Georgia" w:cs="Calibri"/>
          <w:color w:val="333333"/>
          <w:sz w:val="20"/>
          <w:szCs w:val="20"/>
        </w:rPr>
        <w:t>, adopting a ‘we don’t care about the risks’ attitude concerning a material corporate decision.” Under the 2003 formulation, appellants say, “directors violate their duty of good faith if they are making material decisions without adequate information and without adequate deliberation[,]” but under the 2005 post-trial definition, bad faith requires proof of a subjective bad motive or intent. This definitional change, it is claimed, was procedurally prejudicial because appellants relied on the 2003 definition in presenting their evidence of bad faith at the trial.…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appellants claim that the Chancellor’s post-trial definition of bad faith is erroneous substantively. They argue that the 2003 formulation was (and is) the correct definition, because it is “logically tied to board decision-making under the duty of care.” The post-trial formulation, on the other hand, “wrongly incorporated substantive elements regarding the rationality of the decisions under review rather than being constrained, as in a due care analysis, to strictly procedural criteria.” We conclude that both arguments must fail.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first argument—that there is a real, significant difference between the Chancellor’s pre-trial and post-trial definitions of bad faith—is plainly wrong. We perceive no substantive difference between the Court of Chancery’s 2003 definition of bad faith—a “conscious and intentional disregard [of] responsibilities, adopting a we don’t care about the risks’ attitude…”—and its 2005 post-trial definition—an “intentional dereliction of duty, a conscious disregard for one’s responsibilities.” Both formulations express the same concept, although in slightly different language.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telling evidence that there is no substantive difference between the two formulations is that the appellants are forced to contrive a difference. Appellants assert that under the 2003 formulation, “directors violate their duty of good faith if they are making material decisions without adequate information and without adequate deliberation.” For that</w:t>
      </w:r>
      <w:r>
        <w:rPr>
          <w:rStyle w:val="apple-converted-space"/>
          <w:rFonts w:ascii="Georgia" w:hAnsi="Georgia" w:cs="Calibri"/>
          <w:color w:val="333333"/>
          <w:sz w:val="20"/>
          <w:szCs w:val="20"/>
        </w:rPr>
        <w:t> </w:t>
      </w:r>
      <w:r>
        <w:rPr>
          <w:rStyle w:val="Emphasis"/>
          <w:rFonts w:ascii="Georgia" w:hAnsi="Georgia" w:cs="Calibri"/>
          <w:color w:val="333333"/>
          <w:sz w:val="20"/>
          <w:szCs w:val="20"/>
        </w:rPr>
        <w:t>ipse dixit</w:t>
      </w:r>
      <w:r>
        <w:rPr>
          <w:rStyle w:val="apple-converted-space"/>
          <w:rFonts w:ascii="Georgia" w:hAnsi="Georgia" w:cs="Calibri"/>
          <w:color w:val="333333"/>
          <w:sz w:val="20"/>
          <w:szCs w:val="20"/>
        </w:rPr>
        <w:t> </w:t>
      </w:r>
      <w:r>
        <w:rPr>
          <w:rFonts w:ascii="Georgia" w:hAnsi="Georgia" w:cs="Calibri"/>
          <w:color w:val="333333"/>
          <w:sz w:val="20"/>
          <w:szCs w:val="20"/>
        </w:rPr>
        <w:t>they cite no legal authority. That comes as no surprise because their verbal effort to collapse the duty to act in good faith into the duty to act with due care, is not unlike putting a rabbit into the proverbial hat and then blaming the trial judge for making the insertion.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precise question is whether the Chancellor’s articulated standard for bad faith corporate fiduciary conduct—intentional dereliction of duty, a conscious disregard for one’s responsibilities—is legally correct. In approaching that question, we note that the Chancellor characterized that definition as “</w:t>
      </w:r>
      <w:r>
        <w:rPr>
          <w:rStyle w:val="Emphasis"/>
          <w:rFonts w:ascii="Georgia" w:hAnsi="Georgia" w:cs="Calibri"/>
          <w:color w:val="333333"/>
          <w:sz w:val="20"/>
          <w:szCs w:val="20"/>
        </w:rPr>
        <w:t>an</w:t>
      </w:r>
      <w:r>
        <w:rPr>
          <w:rFonts w:ascii="Georgia" w:hAnsi="Georgia" w:cs="Calibri"/>
          <w:color w:val="333333"/>
          <w:sz w:val="20"/>
          <w:szCs w:val="20"/>
        </w:rPr>
        <w:t>appropriate (</w:t>
      </w:r>
      <w:r>
        <w:rPr>
          <w:rStyle w:val="Emphasis"/>
          <w:rFonts w:ascii="Georgia" w:hAnsi="Georgia" w:cs="Calibri"/>
          <w:color w:val="333333"/>
          <w:sz w:val="20"/>
          <w:szCs w:val="20"/>
        </w:rPr>
        <w:t>although not the only</w:t>
      </w:r>
      <w:r>
        <w:rPr>
          <w:rFonts w:ascii="Georgia" w:hAnsi="Georgia" w:cs="Calibri"/>
          <w:color w:val="333333"/>
          <w:sz w:val="20"/>
          <w:szCs w:val="20"/>
        </w:rPr>
        <w:t>) standard for determining whether fiduciaries have acted in good faith.” That observation is accurate and helpful, because as a matter of simple logic, at least three different categories of fiduciary behavior are candidates for the “bad faith” pejorative label.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category involves so-called “subjective bad faith,” that is, fiduciary conduct motivated by an actual intent to do harm. That such conduct constitutes classic, quintessential bad faith is a proposition so well accepted in the liturgy of fiduciary law that it borders on axiomatic.…The second category of conduct, which is at the opposite end of the spectrum, involves lack of due care—that is, fiduciary action taken solely by reason of gross negligence and without any malevolent intent. In this case, appellants assert claims of gross negligence to establish breaches not only of director due care but also of the directors’ duty to act in good faith. Although the Chancellor found, and we agree, that the appellants failed to establish gross negligence, to afford guidance we address the issue of whether gross negligence (including a failure to inform one’s self of available material facts), without more, can also constitute bad faith. The answer is clearly no.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…”issues of good faith are (to a certain degree) inseparably and necessarily intertwined with the duties of care and loyalty.…” But, in the pragmatic, conduct-regulating legal realm which calls for more precise conceptual line drawing, the answer is that grossly negligent conduct, without more, does not and cannot constitute a breach of the fiduciary duty to act in good faith. The conduct that is the subject of due care may overlap with the conduct that comes within the rubric of good faith in a psychological sense, but from a legal standpoint those duties are and must remain quite distinct.…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Delaware General Assembly has addressed the distinction between bad faith and a failure to exercise due care (</w:t>
      </w:r>
      <w:r>
        <w:rPr>
          <w:rStyle w:val="Emphasis"/>
          <w:rFonts w:ascii="Georgia" w:hAnsi="Georgia" w:cs="Calibri"/>
          <w:color w:val="333333"/>
          <w:sz w:val="20"/>
          <w:szCs w:val="20"/>
        </w:rPr>
        <w:t>i.e.</w:t>
      </w:r>
      <w:r>
        <w:rPr>
          <w:rFonts w:ascii="Georgia" w:hAnsi="Georgia" w:cs="Calibri"/>
          <w:color w:val="333333"/>
          <w:sz w:val="20"/>
          <w:szCs w:val="20"/>
        </w:rPr>
        <w:t>, gross negligence) in two separate contexts. The first is Section 102(b)(7) of the DGCL, which authorizes Delaware corporations, by a provision in the certificate of incorporation, to exculpate their directors from monetary damage liability for a breach of the duty of care. That exculpatory provision affords significant protection to directors of Delaware corporations. The statute carves out several exceptions, however, including most relevantly, “for acts or omissions not in good faith.…” Thus, a corporation can exculpate its directors from monetary liability for a breach of the duty of care, but not for conduct that is not in good faith. To adopt a definition of bad faith that would cause a violation of the duty of care automatically to become an act or omission “not in good faith,” would eviscerate the protections accorded to directors by the General Assembly’s adoption of Section 102(b)(7).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legislative recognition of the distinction between fiduciary conduct that is grossly negligent and conduct that is not in good faith, is Delaware’s indemnification statute, found at 8</w:t>
      </w:r>
      <w:r>
        <w:rPr>
          <w:rStyle w:val="apple-converted-space"/>
          <w:rFonts w:ascii="Georgia" w:hAnsi="Georgia" w:cs="Calibri"/>
          <w:color w:val="333333"/>
          <w:sz w:val="20"/>
          <w:szCs w:val="20"/>
        </w:rPr>
        <w:t> </w:t>
      </w:r>
      <w:r>
        <w:rPr>
          <w:rStyle w:val="Emphasis"/>
          <w:rFonts w:ascii="Georgia" w:hAnsi="Georgia" w:cs="Calibri"/>
          <w:color w:val="333333"/>
          <w:sz w:val="20"/>
          <w:szCs w:val="20"/>
        </w:rPr>
        <w:t>Del. C.</w:t>
      </w:r>
      <w:r>
        <w:rPr>
          <w:rStyle w:val="apple-converted-space"/>
          <w:rFonts w:ascii="Georgia" w:hAnsi="Georgia" w:cs="Calibri"/>
          <w:color w:val="333333"/>
          <w:sz w:val="20"/>
          <w:szCs w:val="20"/>
        </w:rPr>
        <w:t> </w:t>
      </w:r>
      <w:r>
        <w:rPr>
          <w:rFonts w:ascii="Georgia" w:hAnsi="Georgia" w:cs="Calibri"/>
          <w:color w:val="333333"/>
          <w:sz w:val="20"/>
          <w:szCs w:val="20"/>
        </w:rPr>
        <w:t>§ 145. To oversimplify, subsections (a) and (b) of that statute permit a corporation to indemnify (</w:t>
      </w:r>
      <w:r>
        <w:rPr>
          <w:rStyle w:val="Emphasis"/>
          <w:rFonts w:ascii="Georgia" w:hAnsi="Georgia" w:cs="Calibri"/>
          <w:color w:val="333333"/>
          <w:sz w:val="20"/>
          <w:szCs w:val="20"/>
        </w:rPr>
        <w:t>inter alia</w:t>
      </w:r>
      <w:r>
        <w:rPr>
          <w:rFonts w:ascii="Georgia" w:hAnsi="Georgia" w:cs="Calibri"/>
          <w:color w:val="333333"/>
          <w:sz w:val="20"/>
          <w:szCs w:val="20"/>
        </w:rPr>
        <w:t>) any person who is or was a director, officer, employee or agent of the corporation against expenses…where (among other things): (i) that person is, was, or is threatened to be made a party to that action, suit or proceeding, and (ii) that person “acted in good faith and in a manner the person reasonably believed to be in or not opposed to the best interests of the corporation.…” Thus, under Delaware statutory law a director or officer of a corporation can be indemnified for liability (and litigation expenses) incurred by reason of a violation of the duty of care, but not for a violation of the duty to act in good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145, like Section 102(b)(7), evidences the intent of the Delaware General Assembly to afford significant protections to directors (and, in the case of Section 145, other fiduciaries) of Delaware corporations. To adopt a definition that conflates the duty of care with the duty to act in good faith by making a violation of the former an automatic violation of the latter, would nullify those legislative protections and defeat the General Assembly’s intent. There is no basis in policy, precedent or common sense that would justify dismantling the distinction between gross negligence and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leaves the third category of fiduciary conduct, which falls in between the first two categories of (1) conduct motivated by subjective bad intent and (2) conduct resulting from gross negligence. This third category is what the Chancellor’s definition of bad faith—intentional dereliction of duty, a conscious disregard for one’s responsibilities—is intended to capture. The question is whether such misconduct is properly treated as a non-exculpable, non-indemnifiable violation of the fiduciary duty to act in good faith. In our view it must be, for at least two reasons.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universe of fiduciary misconduct is not limited to either disloyalty in the classic sense (</w:t>
      </w:r>
      <w:r>
        <w:rPr>
          <w:rStyle w:val="Emphasis"/>
          <w:rFonts w:ascii="Georgia" w:hAnsi="Georgia" w:cs="Calibri"/>
          <w:color w:val="333333"/>
          <w:sz w:val="20"/>
          <w:szCs w:val="20"/>
        </w:rPr>
        <w:t>i.e.</w:t>
      </w:r>
      <w:r>
        <w:rPr>
          <w:rFonts w:ascii="Georgia" w:hAnsi="Georgia" w:cs="Calibri"/>
          <w:color w:val="333333"/>
          <w:sz w:val="20"/>
          <w:szCs w:val="20"/>
        </w:rPr>
        <w:t>, preferring the adverse self-interest of the fiduciary or of a related person to the interest of the corporation) or gross negligence. Cases have arisen where corporate directors have no conflicting self-interest in a decision, yet engage in misconduct that is more culpable than simple inattention or failure to be informed of all facts material to the decision. To protect the interests of the corporation and its shareholders, fiduciary conduct of this kind, which does not involve disloyalty (as traditionally defined) but is qualitatively more culpable than gross negligence, should be proscribed. A vehicle is needed to address such violations doctrinally, and that doctrinal vehicle is the duty to act in good faith. The Chancellor implicitly so recognized in his Opinion, where he identified different examples of bad faith as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good faith required of a corporate fiduciary includes not simply the duties of care and loyalty, in the narrow sense that I have discussed them above, but all actions required by a true faithfulness and devotion to the interests of the corporation and its shareholders. A failure to act in good faith may be shown, for instance, where the fiduciary intentionally acts with a purpose other than that of advancing the best interests of the corporation, where the fiduciary acts with the intent to violate applicable positive law, or where the fiduciary intentionally fails to act in the face of a known duty to act, demonstrating a conscious disregard for his duties. There may be other examples of bad faith yet to be proven or alleged, but these three are the most salient.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legislature has also recognized this intermediate category of fiduciary misconduct, which ranks between conduct involving subjective bad faith and gross negligence. Section 102(b)(7)(ii) of the DGCL expressly denies money damage exculpation for “acts or omissions not in good faith or which involve intentional misconduct or a knowing violation of law.” By its very terms that provision distinguishes between “intentional misconduct” and a “knowing violation of law” (both examples of subjective bad faith) on the one hand, and “acts…not in good faith,” on the other. Because the statute exculpates directors only for conduct amounting to gross negligence, the statutory denial of exculpation for “acts…not in good faith” must encompass the intermediate category of misconduct captured by the Chancellor’s definition of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we uphold the Court of Chancery’s definition as a legally appropriate, although not the exclusive, definition of fiduciary bad faith. We need go no further. To engage in an effort to craft (in the Court’s words) “a definitive and categorical definition of the universe of acts that would constitute bad faith” would be unwise and is unnecessary to dispose of the issues presented on this appeal.…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reasons stated above, the judgment of the Court of Chancery is affirmed.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court view the plaintiff’s argument that the Chancellor had developed two different types of bad faith?</w:t>
      </w:r>
    </w:p>
    <w:p w:rsidR="00A86150" w:rsidRDefault="00F714D4">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three types of bad faith that the court discusses?</w:t>
      </w:r>
    </w:p>
    <w:p w:rsidR="00A86150" w:rsidRDefault="00F714D4">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two statutory provisions has the Delaware General Assembly passed that address the distinction between bad faith and a failure to exercise due care (i.e., gross negligence)?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27.6</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may exercise two types of powers: (1) express powers, set forth by statute and in the articles of incorporation, and (2) implied powers, necessary to carry out its stated purpose. The corporation may always amend the articles of incorporation to change its purposes. Nevertheless, shareholders may enjoin their corporation from acting ultra vires, as may the state attorney general. However, an individual stockholder, director, or officer (except in rare instances under certain regulatory statutes) may not be held vicariously liable if he did not participate in the crime or tort.</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ownership and control are separated in the modern publicly held corporation, shareholders generally do not make business decisions. Shareholders who own voting stock do retain the power to elect directors, amend the bylaws, ratify or reject certain corporate actions, and vote on certain extraordinary matters, such as whether to amend the articles of incorporation, merge, or liquidate.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voting for directors, various voting methodologies may be used, such as cumulative voting, which provides safeguards against removal of minority-shareholder-supported directors. Shareholders may use several voting arrangements that concentrate power, including proxies, voting agreements, and voting trusts. Proxies are regulated under rules promulgated by the Securities and Exchange Commission (SEC).</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may deny preemptive rights—the rights of shareholders to prevent dilution of their percentage of ownership—by so stating in the articles of incorporation. Some states say that in the absence of such a provision, shareholders do have preemptive rights; others say that there are no preemptive rights unless the articles specifically include them.</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have the ultimate authority to run the corporation and are fiduciaries of the firm. In large corporations, directors delegate day-to-day management to salaried officers, whom they may fire, in most states, without cause. The full board of directors may, by majority, vote to delegate its authority to committees.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owe the company a duty of loyalty and of care. A contract between a director and the company is voidable unless fair to the corporation or unless all details have been disclosed and the disinterested directors or shareholders have approved. Any director or officer is obligated to inform fellow directors of any corporate opportunity that affects the company and may not act personally on it unless he has received approval. The duty of care is the obligation to act “with the care an ordinarily prudent person in a like position would exercise under similar circumstances.” Other fiduciary duties have also been recognized, and constituency statutes permit the corporation to consider factors other than shareholders in making decisions. Shareholders may file derivative suits alleging breaches of fiduciary responsibilities. The duties have been expanded. For example, when the corporation is being sold, the directors have a duty to maximize shareholder value. Duties of oversight, good faith, and candor have been applied.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may agree, although not in every situation, to indemnify officers, directors, and employees for litigation expenses when they are made party to suits involving the corporation. The corporation may purchase insurance against legal expenses of directors and officers, but the policies do not cover acts of willful negligence and criminal conduct in which intent is a necessary element of proof. Additionally, the business judgment rule may operate to protect the decisions of the board.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to maximize shareholder value, but over time, corporations have been permitted to consider other factors in decision making. Constituency statutes, for example, allow the board to consider factors other than maximizing shareholder value. Corporate social responsibility has increased, as firms consider things such as environmental impact and consumer perception in making decisions.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79"/>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First Corporation, a Massachusetts company, decides to expend $100,000 to publicize its support of a candidate in an upcoming presidential election. A Massachusetts statute forbids corporate expenditures for the purpose of influencing the vote in elections. Chauncey, a shareholder in First Corporation, feels that the company should support a different presidential candidate and files suit to stop the company’s publicizing efforts. What is the result? Why?</w:t>
      </w:r>
    </w:p>
    <w:p w:rsidR="00A86150" w:rsidRDefault="00F714D4">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1 that Chauncey is both an officer and a director of First Corporation. At a duly called meeting of the board, the directors decide to dismiss Chauncey as an officer and a director. If they had no cause for this action, is the dismissal valid? Why?</w:t>
      </w:r>
    </w:p>
    <w:p w:rsidR="00A86150" w:rsidRDefault="00F714D4">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book publisher that specializes in children’s books has decided to publish pornographic literature for adults. Amanda, a shareholder in the company, has been active for years in an antipornography campaign. When she demands access to the publisher’s books and records, the company refuses. She files suit. What arguments should Amanda raise in the litigation? Why?</w:t>
      </w:r>
    </w:p>
    <w:p w:rsidR="00A86150" w:rsidRDefault="00F714D4">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minority shareholder brought suit against the Chicago Cubs, a Delaware corporation, and their directors on the grounds that the directors were negligent in failing to install lights in Wrigley Field. The shareholder specifically alleged that the majority owner, Philip Wrigley, failed to exercise good faith in that he personally believed that baseball was a daytime sport and felt that night games would cause the surrounding neighborhood to deteriorate. The shareholder accused Wrigley and the other directors of not acting in the best financial interests of the corporation. What counterarguments should the directors assert? Who will win? Why?</w:t>
      </w:r>
    </w:p>
    <w:p w:rsidR="00A86150" w:rsidRDefault="00F714D4">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CEO of First Bank, without prior notice to the board, announced a merger proposal during a two-hour meeting of the directors. Under the proposal, the bank was to be sold to an acquirer at $55 per share. (At the time, the stock traded at $38 per share.) After the CEO discussed the proposal for twenty minutes, with no documentation to support the adequacy of the price, the board voted in favor of the proposal. Although senior management strongly opposed the proposal, it was eventually approved by the stockholders, with 70 percent in favor and 7 percent opposed. A group of stockholders later filed a class action, claiming that the directors were personally liable for the amount by which the fair value of the shares exceeded $55—an amount allegedly in excess of $100 million. Are the directors personally liable? Why or why not?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680"/>
        </w:numPr>
        <w:shd w:val="clear" w:color="auto" w:fill="E3EFF7"/>
        <w:tabs>
          <w:tab w:val="clear" w:pos="720"/>
          <w:tab w:val="num" w:pos="1440"/>
        </w:tabs>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Acts that are outside a corporation’s lawful powers are considered</w:t>
      </w:r>
    </w:p>
    <w:p w:rsidR="00A86150" w:rsidRDefault="00F714D4">
      <w:pPr>
        <w:pStyle w:val="ListParagraph"/>
        <w:numPr>
          <w:ilvl w:val="0"/>
          <w:numId w:val="6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ultra vires</w:t>
      </w:r>
    </w:p>
    <w:p w:rsidR="00A86150" w:rsidRDefault="00F714D4">
      <w:pPr>
        <w:pStyle w:val="ListParagraph"/>
        <w:numPr>
          <w:ilvl w:val="0"/>
          <w:numId w:val="6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powers</w:t>
      </w:r>
    </w:p>
    <w:p w:rsidR="00A86150" w:rsidRDefault="00F714D4">
      <w:pPr>
        <w:pStyle w:val="ListParagraph"/>
        <w:numPr>
          <w:ilvl w:val="0"/>
          <w:numId w:val="6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implied powers</w:t>
      </w:r>
    </w:p>
    <w:p w:rsidR="00A86150" w:rsidRDefault="00F714D4">
      <w:pPr>
        <w:pStyle w:val="ListParagraph"/>
        <w:numPr>
          <w:ilvl w:val="0"/>
          <w:numId w:val="6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682"/>
        </w:numPr>
        <w:shd w:val="clear" w:color="auto" w:fill="E3EFF7"/>
        <w:tabs>
          <w:tab w:val="num" w:pos="360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Powers set forth by statute and in the articles of incorporation are called</w:t>
      </w:r>
    </w:p>
    <w:p w:rsidR="00A86150" w:rsidRDefault="00F714D4">
      <w:pPr>
        <w:pStyle w:val="ListParagraph"/>
        <w:numPr>
          <w:ilvl w:val="0"/>
          <w:numId w:val="6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implied powers</w:t>
      </w:r>
    </w:p>
    <w:p w:rsidR="00A86150" w:rsidRDefault="00F714D4">
      <w:pPr>
        <w:pStyle w:val="ListParagraph"/>
        <w:numPr>
          <w:ilvl w:val="0"/>
          <w:numId w:val="6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powers</w:t>
      </w:r>
    </w:p>
    <w:p w:rsidR="00A86150" w:rsidRDefault="00F714D4">
      <w:pPr>
        <w:pStyle w:val="ListParagraph"/>
        <w:numPr>
          <w:ilvl w:val="0"/>
          <w:numId w:val="6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ultra vires</w:t>
      </w:r>
    </w:p>
    <w:p w:rsidR="00A86150" w:rsidRDefault="00F714D4">
      <w:pPr>
        <w:pStyle w:val="ListParagraph"/>
        <w:numPr>
          <w:ilvl w:val="0"/>
          <w:numId w:val="6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incorporation by estoppel</w:t>
      </w:r>
    </w:p>
    <w:p w:rsidR="00A86150" w:rsidRDefault="00F714D4">
      <w:pPr>
        <w:pStyle w:val="para"/>
        <w:numPr>
          <w:ilvl w:val="0"/>
          <w:numId w:val="684"/>
        </w:numPr>
        <w:shd w:val="clear" w:color="auto" w:fill="E3EFF7"/>
        <w:tabs>
          <w:tab w:val="num" w:pos="462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principle that mistakes made by directors on the basis of good-faith judgment can be forgiven</w:t>
      </w:r>
    </w:p>
    <w:p w:rsidR="00A86150" w:rsidRDefault="00F714D4">
      <w:pPr>
        <w:pStyle w:val="ListParagraph"/>
        <w:numPr>
          <w:ilvl w:val="0"/>
          <w:numId w:val="6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called the business judgment rule</w:t>
      </w:r>
    </w:p>
    <w:p w:rsidR="00A86150" w:rsidRDefault="00F714D4">
      <w:pPr>
        <w:pStyle w:val="ListParagraph"/>
        <w:numPr>
          <w:ilvl w:val="0"/>
          <w:numId w:val="6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depends on whether the director has exercised due care</w:t>
      </w:r>
    </w:p>
    <w:p w:rsidR="00A86150" w:rsidRDefault="00F714D4">
      <w:pPr>
        <w:pStyle w:val="ListParagraph"/>
        <w:numPr>
          <w:ilvl w:val="0"/>
          <w:numId w:val="6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involves both of the above</w:t>
      </w:r>
    </w:p>
    <w:p w:rsidR="00A86150" w:rsidRDefault="00F714D4">
      <w:pPr>
        <w:pStyle w:val="ListParagraph"/>
        <w:numPr>
          <w:ilvl w:val="0"/>
          <w:numId w:val="6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involves neither of the above</w:t>
      </w:r>
    </w:p>
    <w:p w:rsidR="00A86150" w:rsidRDefault="00F714D4">
      <w:pPr>
        <w:pStyle w:val="para"/>
        <w:numPr>
          <w:ilvl w:val="0"/>
          <w:numId w:val="686"/>
        </w:numPr>
        <w:shd w:val="clear" w:color="auto" w:fill="E3EFF7"/>
        <w:tabs>
          <w:tab w:val="num" w:pos="432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director of a corporation owes</w:t>
      </w:r>
    </w:p>
    <w:p w:rsidR="00A86150" w:rsidRDefault="00F714D4">
      <w:pPr>
        <w:pStyle w:val="ListParagraph"/>
        <w:numPr>
          <w:ilvl w:val="0"/>
          <w:numId w:val="6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duty of loyalty</w:t>
      </w:r>
    </w:p>
    <w:p w:rsidR="00A86150" w:rsidRDefault="00F714D4">
      <w:pPr>
        <w:pStyle w:val="ListParagraph"/>
        <w:numPr>
          <w:ilvl w:val="0"/>
          <w:numId w:val="6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duty of care</w:t>
      </w:r>
    </w:p>
    <w:p w:rsidR="00A86150" w:rsidRDefault="00F714D4">
      <w:pPr>
        <w:pStyle w:val="ListParagraph"/>
        <w:numPr>
          <w:ilvl w:val="0"/>
          <w:numId w:val="6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a duty of loyalty and a duty of care</w:t>
      </w:r>
    </w:p>
    <w:p w:rsidR="00A86150" w:rsidRDefault="00F714D4">
      <w:pPr>
        <w:pStyle w:val="ListParagraph"/>
        <w:numPr>
          <w:ilvl w:val="0"/>
          <w:numId w:val="6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688"/>
        </w:numPr>
        <w:shd w:val="clear" w:color="auto" w:fill="E3EFF7"/>
        <w:tabs>
          <w:tab w:val="num" w:pos="432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may purchase indemnification insurance</w:t>
      </w:r>
    </w:p>
    <w:p w:rsidR="00A86150" w:rsidRDefault="00F714D4">
      <w:pPr>
        <w:pStyle w:val="ListParagraph"/>
        <w:numPr>
          <w:ilvl w:val="0"/>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cover acts of simple negligence</w:t>
      </w:r>
    </w:p>
    <w:p w:rsidR="00A86150" w:rsidRDefault="00F714D4">
      <w:pPr>
        <w:pStyle w:val="ListParagraph"/>
        <w:numPr>
          <w:ilvl w:val="0"/>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cover acts of willful negligence</w:t>
      </w:r>
    </w:p>
    <w:p w:rsidR="00A86150" w:rsidRDefault="00F714D4">
      <w:pPr>
        <w:pStyle w:val="ListParagraph"/>
        <w:numPr>
          <w:ilvl w:val="0"/>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cover acts of both simple and willful negligence</w:t>
      </w:r>
    </w:p>
    <w:p w:rsidR="00A86150" w:rsidRDefault="00F714D4">
      <w:pPr>
        <w:pStyle w:val="ListParagraph"/>
        <w:numPr>
          <w:ilvl w:val="0"/>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cover acts of criminal conduct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690"/>
        </w:numPr>
        <w:shd w:val="clear" w:color="auto" w:fill="E3EFF7"/>
        <w:tabs>
          <w:tab w:val="clear" w:pos="720"/>
          <w:tab w:val="num" w:pos="43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690"/>
        </w:numPr>
        <w:shd w:val="clear" w:color="auto" w:fill="E3EFF7"/>
        <w:tabs>
          <w:tab w:val="clear" w:pos="720"/>
          <w:tab w:val="num" w:pos="43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690"/>
        </w:numPr>
        <w:shd w:val="clear" w:color="auto" w:fill="E3EFF7"/>
        <w:tabs>
          <w:tab w:val="clear" w:pos="720"/>
          <w:tab w:val="num" w:pos="43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690"/>
        </w:numPr>
        <w:shd w:val="clear" w:color="auto" w:fill="E3EFF7"/>
        <w:tabs>
          <w:tab w:val="clear" w:pos="720"/>
          <w:tab w:val="num" w:pos="43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690"/>
        </w:numPr>
        <w:shd w:val="clear" w:color="auto" w:fill="E3EFF7"/>
        <w:tabs>
          <w:tab w:val="clear" w:pos="720"/>
          <w:tab w:val="num" w:pos="43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28</w:t>
      </w:r>
    </w:p>
    <w:p w:rsidR="00A86150" w:rsidRDefault="0081777E">
      <w:pPr>
        <w:pStyle w:val="Heading1"/>
        <w:shd w:val="clear" w:color="auto" w:fill="FFFFFF"/>
        <w:spacing w:before="0" w:line="240" w:lineRule="atLeast"/>
        <w:jc w:val="center"/>
        <w:textAlignment w:val="baseline"/>
      </w:pPr>
      <w:r>
        <w:pict>
          <v:rect id="_x0000_i1142"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Securities Regulation</w:t>
      </w:r>
    </w:p>
    <w:p w:rsidR="00A86150" w:rsidRDefault="00A86150"/>
    <w:p w:rsidR="00A86150" w:rsidRDefault="00F714D4">
      <w:pPr>
        <w:pStyle w:val="Heading3"/>
        <w:shd w:val="clear" w:color="auto" w:fill="D2D1C2"/>
        <w:spacing w:before="0" w:beforeAutospacing="0" w:after="0" w:afterAutospacing="0" w:line="264" w:lineRule="atLeast"/>
        <w:ind w:left="72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691"/>
        </w:numPr>
        <w:shd w:val="clear" w:color="auto" w:fill="EAE9DC"/>
        <w:tabs>
          <w:tab w:val="clear" w:pos="720"/>
          <w:tab w:val="num" w:pos="50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nature of securities regulation</w:t>
      </w:r>
    </w:p>
    <w:p w:rsidR="00A86150" w:rsidRDefault="00F714D4">
      <w:pPr>
        <w:numPr>
          <w:ilvl w:val="0"/>
          <w:numId w:val="691"/>
        </w:numPr>
        <w:shd w:val="clear" w:color="auto" w:fill="EAE9DC"/>
        <w:tabs>
          <w:tab w:val="clear" w:pos="720"/>
          <w:tab w:val="num" w:pos="432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Securities Act of 1933 and the Securities Exchange Act of 1934</w:t>
      </w:r>
    </w:p>
    <w:p w:rsidR="00A86150" w:rsidRDefault="00F714D4">
      <w:pPr>
        <w:numPr>
          <w:ilvl w:val="0"/>
          <w:numId w:val="691"/>
        </w:numPr>
        <w:shd w:val="clear" w:color="auto" w:fill="EAE9DC"/>
        <w:tabs>
          <w:tab w:val="clear" w:pos="720"/>
          <w:tab w:val="num" w:pos="360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Liability under securities laws</w:t>
      </w:r>
    </w:p>
    <w:p w:rsidR="00A86150" w:rsidRDefault="00F714D4">
      <w:pPr>
        <w:numPr>
          <w:ilvl w:val="0"/>
          <w:numId w:val="691"/>
        </w:numPr>
        <w:shd w:val="clear" w:color="auto" w:fill="EAE9DC"/>
        <w:tabs>
          <w:tab w:val="clear" w:pos="720"/>
          <w:tab w:val="num" w:pos="288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What insider trading is and why it’s unlawful</w:t>
      </w:r>
    </w:p>
    <w:p w:rsidR="00A86150" w:rsidRDefault="00F714D4">
      <w:pPr>
        <w:numPr>
          <w:ilvl w:val="0"/>
          <w:numId w:val="691"/>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Civil and criminal penalties for violations of securities laws</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Fonts w:ascii="Georgia" w:hAnsi="Georgia"/>
          <w:color w:val="2689C6"/>
          <w:sz w:val="21"/>
          <w:szCs w:val="21"/>
        </w:rPr>
        <w:t>Chapter 26 "Legal Aspects of Corporate Finance"</w:t>
      </w:r>
      <w:r>
        <w:rPr>
          <w:rFonts w:ascii="Georgia" w:hAnsi="Georgia"/>
          <w:color w:val="333333"/>
          <w:sz w:val="21"/>
          <w:szCs w:val="21"/>
        </w:rPr>
        <w:t>, we examined state law governing a corporation’s issuance and transfer of stock. In</w:t>
      </w:r>
      <w:r>
        <w:rPr>
          <w:rStyle w:val="apple-converted-space"/>
          <w:rFonts w:ascii="Georgia" w:hAnsi="Georgia"/>
          <w:color w:val="333333"/>
          <w:sz w:val="21"/>
          <w:szCs w:val="21"/>
        </w:rPr>
        <w:t> </w:t>
      </w:r>
      <w:r>
        <w:rPr>
          <w:rFonts w:ascii="Georgia" w:hAnsi="Georgia"/>
          <w:color w:val="2689C6"/>
          <w:sz w:val="21"/>
          <w:szCs w:val="21"/>
        </w:rPr>
        <w:t>Chapter 27 "Corporate Powers and Management"</w:t>
      </w:r>
      <w:r>
        <w:rPr>
          <w:rFonts w:ascii="Georgia" w:hAnsi="Georgia"/>
          <w:color w:val="333333"/>
          <w:sz w:val="21"/>
          <w:szCs w:val="21"/>
        </w:rPr>
        <w:t>, we covered the liability of directors and officers. This chapter extends and ties together the themes raised in</w:t>
      </w:r>
      <w:r>
        <w:rPr>
          <w:rStyle w:val="apple-converted-space"/>
          <w:rFonts w:ascii="Georgia" w:hAnsi="Georgia"/>
          <w:color w:val="333333"/>
          <w:sz w:val="21"/>
          <w:szCs w:val="21"/>
        </w:rPr>
        <w:t> </w:t>
      </w:r>
      <w:r>
        <w:rPr>
          <w:rFonts w:ascii="Georgia" w:hAnsi="Georgia"/>
          <w:color w:val="2689C6"/>
          <w:sz w:val="21"/>
          <w:szCs w:val="21"/>
        </w:rPr>
        <w:t>Chapter 26 "Legal Aspects of Corporate Finance"</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hAnsi="Georgia"/>
          <w:color w:val="2689C6"/>
          <w:sz w:val="21"/>
          <w:szCs w:val="21"/>
        </w:rPr>
        <w:t>Chapter 27 "Corporate Powers and Management"</w:t>
      </w:r>
      <w:r>
        <w:rPr>
          <w:rStyle w:val="apple-converted-space"/>
          <w:rFonts w:ascii="Georgia" w:hAnsi="Georgia"/>
          <w:color w:val="333333"/>
          <w:sz w:val="21"/>
          <w:szCs w:val="21"/>
        </w:rPr>
        <w:t> </w:t>
      </w:r>
      <w:r>
        <w:rPr>
          <w:rFonts w:ascii="Georgia" w:hAnsi="Georgia"/>
          <w:color w:val="333333"/>
          <w:sz w:val="21"/>
          <w:szCs w:val="21"/>
        </w:rPr>
        <w:t>by examining government regulation of securities and insider trading. Both the registration and the trading of securities are highly regulated by the Securities and Exchange Commission (SEC). A violation of a securities law can lead to severe criminal and civil penalties. But first we examine the question, Why is there a need for securities regulation?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28.1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The Nature of Securities Regulation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9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that the definition of</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security</w:t>
      </w:r>
      <w:r>
        <w:rPr>
          <w:rStyle w:val="apple-converted-space"/>
          <w:rFonts w:ascii="Calibri" w:hAnsi="Calibri" w:cs="Calibri"/>
          <w:color w:val="333333"/>
          <w:sz w:val="20"/>
          <w:szCs w:val="20"/>
          <w:lang w:val="en"/>
        </w:rPr>
        <w:t> </w:t>
      </w:r>
      <w:r>
        <w:rPr>
          <w:rFonts w:ascii="Calibri" w:hAnsi="Calibri" w:cs="Calibri"/>
          <w:color w:val="333333"/>
          <w:sz w:val="20"/>
          <w:szCs w:val="20"/>
          <w:lang w:val="en"/>
        </w:rPr>
        <w:t>encompasses a broad range of interests.</w:t>
      </w:r>
    </w:p>
    <w:p w:rsidR="00A86150" w:rsidRDefault="00F714D4">
      <w:pPr>
        <w:numPr>
          <w:ilvl w:val="0"/>
          <w:numId w:val="69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functions of the Securities and Exchange Commission and the penalties for violations of the securities laws.</w:t>
      </w:r>
    </w:p>
    <w:p w:rsidR="00A86150" w:rsidRDefault="00F714D4">
      <w:pPr>
        <w:numPr>
          <w:ilvl w:val="0"/>
          <w:numId w:val="69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which companies the Securities Exchange Act of 1934 covers.</w:t>
      </w:r>
    </w:p>
    <w:p w:rsidR="00A86150" w:rsidRDefault="00F714D4">
      <w:pPr>
        <w:numPr>
          <w:ilvl w:val="0"/>
          <w:numId w:val="692"/>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Explore the purpose of state Blue Sky Laws.</w:t>
      </w:r>
    </w:p>
    <w:p w:rsidR="00A86150" w:rsidRDefault="00F714D4">
      <w:pPr>
        <w:numPr>
          <w:ilvl w:val="0"/>
          <w:numId w:val="692"/>
        </w:numPr>
        <w:shd w:val="clear" w:color="auto" w:fill="EAE9DC"/>
        <w:tabs>
          <w:tab w:val="clear" w:pos="720"/>
          <w:tab w:val="num" w:pos="10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basic provisions of the Dodd-Frank Wall Street Reform and Consumer Protection Act.</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we commonly refer to as “</w:t>
      </w:r>
      <w:r>
        <w:rPr>
          <w:rStyle w:val="Strong"/>
          <w:rFonts w:ascii="Georgia" w:hAnsi="Georgia" w:cs="Calibri"/>
          <w:color w:val="333333"/>
          <w:sz w:val="20"/>
          <w:szCs w:val="20"/>
          <w:lang w:val="en"/>
        </w:rPr>
        <w:t>securities</w:t>
      </w:r>
      <w:r>
        <w:rPr>
          <w:rFonts w:ascii="Georgia" w:hAnsi="Georgia" w:cs="Calibri"/>
          <w:color w:val="333333"/>
          <w:sz w:val="20"/>
          <w:szCs w:val="20"/>
          <w:lang w:val="en"/>
        </w:rPr>
        <w:t>” are essentially worthless pieces of paper. Their inherent value lies in the interest in property or an ongoing enterprise that they represent. This disparity between the tangible property—the stock certificate, for example—and the intangible interest it represents gives rise to several reasons for regulation. First, there is need for a mechanism to inform the buyer accurately what it is he is buying. Second, laws are necessary to prevent and provide remedies for deceptive and manipulative acts designed to defraud buyers and sellers. Third, the evolution of stock trading on a massive scale has led to the development of numerous types of specialists and professionals, in dealings with whom the public can be at a severe disadvantage, and so the law undertakes to ensure that they do not take unfair advantage of their customers.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Strong"/>
          <w:rFonts w:ascii="Georgia" w:hAnsi="Georgia" w:cs="Calibri"/>
          <w:color w:val="333333"/>
          <w:sz w:val="20"/>
          <w:szCs w:val="20"/>
          <w:lang w:val="en"/>
        </w:rPr>
        <w:t>Securities Act of 1933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the</w:t>
      </w:r>
      <w:r>
        <w:rPr>
          <w:rStyle w:val="apple-converted-space"/>
          <w:rFonts w:ascii="Georgia" w:hAnsi="Georgia" w:cs="Calibri"/>
          <w:color w:val="333333"/>
          <w:sz w:val="20"/>
          <w:szCs w:val="20"/>
          <w:lang w:val="en"/>
        </w:rPr>
        <w:t> </w:t>
      </w:r>
      <w:r>
        <w:rPr>
          <w:rStyle w:val="Strong"/>
          <w:rFonts w:ascii="Georgia" w:hAnsi="Georgia" w:cs="Calibri"/>
          <w:color w:val="333333"/>
          <w:sz w:val="20"/>
          <w:szCs w:val="20"/>
          <w:lang w:val="en"/>
        </w:rPr>
        <w:t>Securities Exchange Act of 1934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are two federal statutes that are vitally important, having virtually refashioned the law governing corporations during the past half century. In fact, it is not too much to say that although they deal with securities, they have become the general federal law of corporations. This body of federal law has assumed special importance in recent years as the states have engaged in a race to the bottom in attempting to compete with Delaware’s permissive corporation law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25 "Corporation: General Characteristics and Formation"</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What Is a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Securities law questions are technical and complex and usually require professional counsel. For the nonlawyer, the critical question on which all else turns is whether the particular investment or document is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security</w:t>
      </w:r>
      <w:r>
        <w:rPr>
          <w:rFonts w:ascii="Georgia" w:hAnsi="Georgia" w:cs="Calibri"/>
          <w:color w:val="333333"/>
          <w:sz w:val="20"/>
          <w:szCs w:val="20"/>
          <w:lang w:val="en"/>
        </w:rPr>
        <w:t>. If it is, anyone attempting any transaction beyond the routine purchase or sale through a broker should consult legal counsel to avoid the various civil and criminal minefields that the law has strewn about.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definition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security</w:t>
      </w:r>
      <w:r>
        <w:rPr>
          <w:rFonts w:ascii="Georgia" w:hAnsi="Georgia" w:cs="Calibri"/>
          <w:color w:val="333333"/>
          <w:sz w:val="20"/>
          <w:szCs w:val="20"/>
          <w:lang w:val="en"/>
        </w:rPr>
        <w:t>, which is set forth in the Securities Act of 1933, is comprehensive, but it does not on its face answer all questions that financiers in a dynamic market can raise. Under Section 2(1) of the act, “security” includes “any note, stock, treasury stock, bond, debenture, evidence of indebtedness, certificate of interest or participation in any profit-sharing agreement, collateral-trust certificate, preorganization certificate or subscription, transferable share, investment contract, voting-trust certificate, certificate of deposit for a security, fractional undivided interest in oil, gas, or other mineral rights, or, in general, any interest or instrument commonly known as a ‘security,’ or any certificate of interest or participation in, temporary or interim certificate for, receipt for, guarantee of, or warrant or right to subscribe to or purchase, any of the foregoing.”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this definition, an investment may not be a security even though it is so labeled, and it may actually be a security even though it is called something else. For example, does a service contract that obligates someone who has sold individual rows in an orange orchard to cultivate, harvest, and market an orange crop involve a security subject to regulation under federal law? Yes, said the Supreme Court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Securities &amp; Exchange Commission v. W. J. Howey Co.</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Court said the test is whether “the person invests his money in a common enterprise and is led to expect profits solely from the efforts of the promoter or a third party.” Under this test, courts have liberally interpreted “</w:t>
      </w:r>
      <w:r>
        <w:rPr>
          <w:rStyle w:val="marginterm"/>
          <w:rFonts w:ascii="Georgia" w:hAnsi="Georgia" w:cs="Calibri"/>
          <w:color w:val="333333"/>
          <w:sz w:val="20"/>
          <w:szCs w:val="20"/>
          <w:lang w:val="en"/>
        </w:rPr>
        <w:t>investment contract</w:t>
      </w:r>
      <w:r>
        <w:rPr>
          <w:rFonts w:ascii="Georgia" w:hAnsi="Georgia" w:cs="Calibri"/>
          <w:color w:val="333333"/>
          <w:sz w:val="20"/>
          <w:szCs w:val="20"/>
          <w:lang w:val="en"/>
        </w:rPr>
        <w:t>” and “certificate of interest or participation in any profit-sharing agreement” to be securities interests in such property as real estate condominiums and cooperatives, commodity option contracts, and farm animals.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Supreme Court ruled that notes that are not “investment contracts” under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Howey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test can still be considered securities if certain factors are present, as discussed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Reves v. Ernst &amp; Young</w:t>
      </w:r>
      <w:r>
        <w:rPr>
          <w:rFonts w:ascii="Georgia" w:hAnsi="Georgia" w:cs="Calibri"/>
          <w:color w:val="333333"/>
          <w:sz w:val="20"/>
          <w:szCs w:val="20"/>
          <w:lang w:val="en"/>
        </w:rPr>
        <w: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28.3.1 "What Is a Security?"</w:t>
      </w:r>
      <w:r>
        <w:rPr>
          <w:rFonts w:ascii="Georgia" w:hAnsi="Georgia" w:cs="Calibri"/>
          <w:color w:val="333333"/>
          <w:sz w:val="20"/>
          <w:szCs w:val="20"/>
          <w:lang w:val="en"/>
        </w:rPr>
        <w:t>). These factors include (1) the motivations prompting a reasonable seller and buyer to enter into the transaction, (2) the plan of distribution and whether the instruments are commonly traded for speculation or investment, (3) the reasonable expectations of the investing public, and (4) the presence of other factors that significantly reduce risk so as to render the application of the Securities Act unnecessary.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Securities and Exchange Commission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Functions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Securities and Exchange Commission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 is over half a century old, having been created by Congress in the Securities Exchange Act of 1934. It is an independent regulatory agency, subject to the rules of the Administrative Procedure Act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5 "Administrative Law"</w:t>
      </w:r>
      <w:r>
        <w:rPr>
          <w:rFonts w:ascii="Georgia" w:hAnsi="Georgia" w:cs="Calibri"/>
          <w:color w:val="333333"/>
          <w:sz w:val="20"/>
          <w:szCs w:val="20"/>
          <w:lang w:val="en"/>
        </w:rPr>
        <w:t>). The commission is composed of five members, who have staggered five-year terms. Every June 5, the term of one of the commissioners expires. Although the president cannot remove commissioners during their terms of office, he does have the power to designate the chairman from among the sitting members. The SEC is bipartisan: not more than three commissioners may be from the same political party.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SEC’s primary task is to investigate complaints or other possible violations of the law in securities transactions and to bring enforcement proceedings when it believes that violations have occurred. It is empowered to conduct information inquiries, interview witnesses, examine brokerage records, and review trading data. If its requests are refused, it can issue subpoenas and seek compliance in federal court. Its usual leads come from complaints of investors and the general public, but it has authority to conduct surprise inspections of the books and records of brokers and dealers. Another source of leads is price fluctuations that seem to have been caused by manipulation rather than regular market forces.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Among the violations the commission searches out are these: (1) unregistered sale of securities subject to the registration requirement of the Securities Act of 1933, (2) fraudulent acts and practices, (3) manipulation of market prices, (4) carrying out of a securities business while insolvent, (5) misappropriation of customers’ funds by brokers and dealers, and (4) other unfair dealings by brokers and dealers.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the commission believes that a violation has occurred, it can take one of three courses. First, it can refer the case to the Justice Department with a recommendation for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criminal prosecution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cases of fraud or other willful violation of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Second, the SEC can seek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civil injunction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federal court against further violations. As a result of amendments to the securities laws in 1990 (the Securities Enforcement Remedies and Penny Stock Reform Act), the commission can also ask the court to impose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civil penalties</w:t>
      </w:r>
      <w:r>
        <w:rPr>
          <w:rFonts w:ascii="Georgia" w:hAnsi="Georgia" w:cs="Calibri"/>
          <w:color w:val="333333"/>
          <w:sz w:val="20"/>
          <w:szCs w:val="20"/>
          <w:lang w:val="en"/>
        </w:rPr>
        <w:t>. The maximum penalty is $100,000 for each violation by a natural person and $500,000 for each violation by an entity other than a natural person. Alternatively, the defendant is liable for the gain that resulted from violating securities law if the gain exceeds the statutory penalty. The court is also authorized to bar an individual who has committed securities fraud from serving as an officer or a director of a company registered under the securities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Third, the SEC can proceed administratively—that is, hold its own hearing, with the usual due process rights, before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administrative law judge</w:t>
      </w:r>
      <w:r>
        <w:rPr>
          <w:rFonts w:ascii="Georgia" w:hAnsi="Georgia" w:cs="Calibri"/>
          <w:color w:val="333333"/>
          <w:sz w:val="20"/>
          <w:szCs w:val="20"/>
          <w:lang w:val="en"/>
        </w:rPr>
        <w:t>. If the commissioners by majority vote accept the findings of the administrative law judge after reading briefs and hearing oral argument, they can impose a variety of sanctions: suspend or expel members of exchanges; deny, suspend, or revoke the registrations of broker-dealers; censure individuals for misconduct; and bar censured individuals (temporarily or permanently) from employment with a registered firm. The 1990 securities law amendments allow the SEC to impose civil fines similar to the court-imposed fines described. The amendments also authorize the SEC to order individuals to cease and desist from violating securities law.</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Fundamental Mission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SEC’s fundamental mission is to ensure adequate disclosure in order to facilitate informed investment decisions by the public. However, whether a particular security offering is worthwhile or worthless is a decision for the public, not for the SEC, which has no legal authority to pass on the merits of an offering or to bar the sale of securities if proper disclosures are made.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example of SEC’s regulatory mandate with respect to disclosures involved the 1981 sale of $274 million in limited partnership interests in a company called Petrogene Oil &amp; Gas Associates, New York. The Petrogene offering was designed as a tax shelter. The company’s filing with the SEC stated that the offering involved “a high degree of risk” and that only those “who can afford the complete loss of their investment” should contemplate investing. Other disclosures included one member of the controlling group having spent four months in prison for conspiracy to commit securities fraud; that he and another principal were the subject of a New Mexico cease and desist order involving allegedly unregistered tax-sheltered securities; that the general partner, brother-in-law of one of the principals, had no experience in the company’s proposed oil and gas operations (Petrogene planned to extract oil from plants by using radio frequencies); that one of the oils to be produced was potentially carcinogenic; and that the principals “stand to benefit substantially” whether or not the company fails and whether or not purchasers of shares recovered any of their investment. The prospectus went on to list specific risks. Despite this daunting compilation of troublesome details, the SEC permitted the offering because all disclosures were made (</w:t>
      </w:r>
      <w:r>
        <w:rPr>
          <w:rStyle w:val="Emphasis"/>
          <w:rFonts w:ascii="Georgia" w:hAnsi="Georgia" w:cs="Calibri"/>
          <w:color w:val="333333"/>
          <w:sz w:val="20"/>
          <w:szCs w:val="20"/>
          <w:lang w:val="en"/>
        </w:rPr>
        <w:t>Wall Street Journal</w:t>
      </w:r>
      <w:r>
        <w:rPr>
          <w:rFonts w:ascii="Georgia" w:hAnsi="Georgia" w:cs="Calibri"/>
          <w:color w:val="333333"/>
          <w:sz w:val="20"/>
          <w:szCs w:val="20"/>
          <w:lang w:val="en"/>
        </w:rPr>
        <w:t>, December 29, 1981). It is the business of the marketplace, not the SEC, to determine whether the risk is worth taking.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 enforces securities laws through two primary federal acts: The Securities Act of 1933 and The Securities Exchange Act of 1934.</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Securities Act of 1933</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Goals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Securities Act of 1933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fundamental “truth in securities” law. Its two basic objectives, which are written in its preamble, are “to provide full and fair disclosure of the character of securities sold in interstate and foreign commerce and through the mails, and to prevent frauds in the sale thereof.”</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Registration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primary means for realizing these goals is the requirement of registration. Before securities subject to the act can be offered to the public, the issuer must file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registration statement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prospectus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with the SEC, laying out in detail relevant and material information about the offering as set forth in various schedules to the act. If the SEC approves the registration statement, the issuer must then provide any prospective purchaser with the prospectus. Since the SEC does not pass on the fairness of price or other terms of the offering, it is unlawful to state or imply in the prospectus that the commission has the power to disapprove securities for lack of merit, thereby suggesting that the offering is meritorious.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 has prepared special forms for registering different types of issuing companies. All call for a description of the registrant’s business and properties and of the significant provisions of the security to be offered, facts about how the issuing company is managed, and detailed financial statements certified by independent public accountants.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filed, the registration and prospectus become public and are open for public inspection. Ordinarily, the effective date of the registration statement is twenty days after filing. Until then, the offering may not be made to the public. Section 2(10) of the act defines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prospectus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as any “notice, circular, advertisement, letter, or communication, written or by radio or television, which offers any security for sale or confirms the sale of any security.” (An exception: brief notes advising the public of the availability of the formal prospectus.) The import of this definition is that any communication to the public about the offering of a security is unlawful unless it contains the requisite information.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 staff examines the registration statement and prospectus, and if they appear to be materially incomplete or inaccurate, the commission may suspend or refuse the effectiveness of the registration statement until the deficiencies are corrected. Even after the securities have gone on sale, the agency has the power to issue a stop order that halts trading in the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5(c) of the act bars any person from making any sale of any security unless it is first registered. Nevertheless, there are certain classes of exemptions from the registration requirement. Perhaps the most important of these is Section 4(3), which exempts “transactions by any person other than an issuer, underwriter or dealer.” Section 4(3) also exempts most transactions of dealers. So the net is that trading in outstanding securities (the secondary market) is exempt from registration under the Securities Act of 1933: you need not file a registration statement with the SEC every time you buy or sell securities through a broker or dealer, for example. Other exemptions include the following: (1) private offerings to a limited number of persons or institutions who have access to the kind of information registration would disclose and who do not propose to redistribute the securities; (2) offerings restricted to the residents of the state in which the issuing company is organized and doing business; (3) securities of municipal, state, federal and other government instrumentalities, of charitable institutions, of banks, and of carriers subject to the Interstate Commerce Act; (4) offerings not in excess of certain specified amounts made in compliance with regulations of the Commission…: and (5) offerings of “small business investment companies” made in accordance with rules and regulations of the Commission.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Penalties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24 of the Securities Act of 1933 provides for fines not to exceed $10,000 and a prison term not to exceed five years, or both, for willful violations of any provisions of the act. This section makes these criminal penalties specifically applicable to anyone who “willfully, in a registration statement filed under this title, makes any untrue statement of a material fact or omits to state any material fact required to be stated therein or necessary to make the statements therein not misleading.”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Sections 11 and 12 provide that anyone injured by false declarations in registration statements, prospectuses, or oral communications concerning the sale of the security—as well as anyone injured by the unlawful failure of an issuer to register—may file a civil suit to recover the net consideration paid for the security or for damages if the security has been sold.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these civil penalty provisions apply only to false statements in connection with the registration statement, prospectus, or oral communication, the Supreme Court held,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Case v. Borak</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that there is an “</w:t>
      </w:r>
      <w:r>
        <w:rPr>
          <w:rStyle w:val="marginterm"/>
          <w:rFonts w:ascii="Georgia" w:hAnsi="Georgia" w:cs="Calibri"/>
          <w:color w:val="333333"/>
          <w:sz w:val="20"/>
          <w:szCs w:val="20"/>
          <w:lang w:val="en"/>
        </w:rPr>
        <w:t>implied private right of action</w:t>
      </w:r>
      <w:r>
        <w:rPr>
          <w:rFonts w:ascii="Georgia" w:hAnsi="Georgia" w:cs="Calibri"/>
          <w:color w:val="333333"/>
          <w:sz w:val="20"/>
          <w:szCs w:val="20"/>
          <w:lang w:val="en"/>
        </w:rPr>
        <w:t>” for damages resulting from a violation of SEC rules under the act. The Court’s ruling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Borak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opened the courthouse doors to many who had been defrauded but were previously without a practical remedy.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Securities Exchange Act of 1934</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Companies Covered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Securities Act of 1933 is limited, as we have just seen, to new securities issues—that is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primary market</w:t>
      </w:r>
      <w:r>
        <w:rPr>
          <w:rFonts w:ascii="Georgia" w:hAnsi="Georgia" w:cs="Calibri"/>
          <w:color w:val="333333"/>
          <w:sz w:val="20"/>
          <w:szCs w:val="20"/>
          <w:lang w:val="en"/>
        </w:rPr>
        <w:t>. The trading that takes place in the</w:t>
      </w:r>
      <w:r>
        <w:rPr>
          <w:rStyle w:val="marginterm"/>
          <w:rFonts w:ascii="Georgia" w:hAnsi="Georgia" w:cs="Calibri"/>
          <w:color w:val="333333"/>
          <w:sz w:val="20"/>
          <w:szCs w:val="20"/>
          <w:lang w:val="en"/>
        </w:rPr>
        <w:t>secondary market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far more significant, however. In a normal year, trading in outstanding stock totals some twenty times the value of new stock issues.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regulate the secondary market, Congress enacted the</w:t>
      </w:r>
      <w:r>
        <w:rPr>
          <w:rStyle w:val="marginterm"/>
          <w:rFonts w:ascii="Georgia" w:hAnsi="Georgia" w:cs="Calibri"/>
          <w:color w:val="333333"/>
          <w:sz w:val="20"/>
          <w:szCs w:val="20"/>
          <w:lang w:val="en"/>
        </w:rPr>
        <w:t>Securities Exchange Act of 1934</w:t>
      </w:r>
      <w:r>
        <w:rPr>
          <w:rFonts w:ascii="Georgia" w:hAnsi="Georgia" w:cs="Calibri"/>
          <w:color w:val="333333"/>
          <w:sz w:val="20"/>
          <w:szCs w:val="20"/>
          <w:lang w:val="en"/>
        </w:rPr>
        <w:t>. This law, which created the SEC, extended the disclosure rationale to securities listed and registered for public trading on the national securities exchanges. Amendments to the act have brought within its ambit every corporation whose equity securities are traded over the counter if the company has at least $10 million in assets and five hundred or more shareholders.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Reporting Proxy Solicitation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company seeking listing and registration of its stock for public trading on a national exchange—or over the counter, if the company meets the size test—must first submit a registration application to both the exchange and the SEC. The registration statement is akin to that filed by companies under the Securities Act of 1933, although the Securities Exchange Act of 1934 calls for somewhat fewer disclosures. Thereafter, companies must file annual and certain other periodic reports to update information in the original filing.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Securities Exchange Act of 1934 also covers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proxy solicitation</w:t>
      </w:r>
      <w:r>
        <w:rPr>
          <w:rFonts w:ascii="Georgia" w:hAnsi="Georgia" w:cs="Calibri"/>
          <w:color w:val="333333"/>
          <w:sz w:val="20"/>
          <w:szCs w:val="20"/>
          <w:lang w:val="en"/>
        </w:rPr>
        <w:t>. Whenever management, or a dissident minority, seeks votes of holders of registered securities for any corporate purpose, disclosures must be made to the stockholders to permit them to vote yes or no intelligently.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Penalties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logic of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Borak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28.1.3 "Securities Act of 1933"</w:t>
      </w:r>
      <w:r>
        <w:rPr>
          <w:rFonts w:ascii="Georgia" w:hAnsi="Georgia" w:cs="Calibri"/>
          <w:color w:val="333333"/>
          <w:sz w:val="20"/>
          <w:szCs w:val="20"/>
          <w:lang w:val="en"/>
        </w:rPr>
        <w:t>) also applies to this act, so that private investors may bring suit in federal court for violations of the statute that led to financial injury. Violations of any provision and the making of false statements in any of the required disclosures subject the defendant to a maximum fine of $5 million and a maximum twenty-year prison sentence, but a defendant who can show that he had no knowledge of the particular rule he was convicted of violating may not be imprisoned. The maximum fine for a violation of the act by a person other than a natural person is $25 million. Any issuer omitting to file requisite documents and reports is liable to pay a fine of $100 for each day the failure continues.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Blue Sky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Long before congressional enactment of the securities laws in the 1930s, the states had legislated securities regulations. Today, every state has enacted a</w:t>
      </w:r>
      <w:r>
        <w:rPr>
          <w:rStyle w:val="marginterm"/>
          <w:rFonts w:ascii="Georgia" w:hAnsi="Georgia" w:cs="Calibri"/>
          <w:color w:val="333333"/>
          <w:sz w:val="20"/>
          <w:szCs w:val="20"/>
          <w:lang w:val="en"/>
        </w:rPr>
        <w:t>blue sky law</w:t>
      </w:r>
      <w:r>
        <w:rPr>
          <w:rFonts w:ascii="Georgia" w:hAnsi="Georgia" w:cs="Calibri"/>
          <w:color w:val="333333"/>
          <w:sz w:val="20"/>
          <w:szCs w:val="20"/>
          <w:lang w:val="en"/>
        </w:rPr>
        <w:t>, so called because its purpose is to prevent “speculative schemes which have no more basis than so many feet of ‘blue sky.’”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federal Securities Act of 1933,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28.1.3 "Securities Act of 1933"</w:t>
      </w:r>
      <w:r>
        <w:rPr>
          <w:rFonts w:ascii="Georgia" w:hAnsi="Georgia" w:cs="Calibri"/>
          <w:color w:val="333333"/>
          <w:sz w:val="20"/>
          <w:szCs w:val="20"/>
          <w:lang w:val="en"/>
        </w:rPr>
        <w:t>, specifically preserves the jurisdiction of states over securities.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Blue sky laws are divided into three basic types of regulation. The simplest is that which prohibits fraud in the sale of securities. Thus at a minimum, issuers cannot mislead investors about the purpose of the investment. All blue sky laws have antifraud provisions; some have no other provisions. The second type calls for registration of broker-dealers, and the third type for registration of securities. Some state laws parallel the federal laws in intent and form of proceeding, so that they overlap; other blue sky laws empower state officials (unlike the SEC) to judge the merits of the offerings, often referred to as</w:t>
      </w:r>
      <w:r>
        <w:rPr>
          <w:rStyle w:val="marginterm"/>
          <w:rFonts w:ascii="Georgia" w:hAnsi="Georgia" w:cs="Calibri"/>
          <w:color w:val="333333"/>
          <w:sz w:val="20"/>
          <w:szCs w:val="20"/>
          <w:lang w:val="en"/>
        </w:rPr>
        <w:t>merit review laws</w:t>
      </w:r>
      <w:r>
        <w:rPr>
          <w:rFonts w:ascii="Georgia" w:hAnsi="Georgia" w:cs="Calibri"/>
          <w:color w:val="333333"/>
          <w:sz w:val="20"/>
          <w:szCs w:val="20"/>
          <w:lang w:val="en"/>
        </w:rPr>
        <w:t>. As part of a movement toward deregulation, several states have recently modified or eliminated merit provisions.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Many of the blue sky laws are inconsistent with each other, making national uniformity difficult. In 1956, the National Conference of Commissioners on Uniform State Laws approved the Uniform Securities Act. It has not been designed to reconcile the conflicting philosophies of state regulation but to take them into account and to make the various forms of regulation as consistent as possible. States adopt various portions of the law, depending on their regulatory philosophies. The Uniform Securities Act has antifraud, broker-dealer registration, and securities registration provisions. More recent acts have further increased uniformity. These include the National Securities Markets Improvement Act of 1996, which preempted differing state philosophies with regard to registration of securities and regulation of brokers and advisors, and the Securities Litigation Uniform Standards Act of 1998, which preempted state law securities fraud claims from being raised in class action lawsuits by investors.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Dodd-Frank Wall Street Reform and Consumer Protection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2010, Congress passed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Dodd-Frank Wall Street Reform and Consumer Protection Act</w:t>
      </w:r>
      <w:r>
        <w:rPr>
          <w:rFonts w:ascii="Georgia" w:hAnsi="Georgia" w:cs="Calibri"/>
          <w:color w:val="333333"/>
          <w:sz w:val="20"/>
          <w:szCs w:val="20"/>
          <w:lang w:val="en"/>
        </w:rPr>
        <w:t>, which is the largest amendment to financial regulation in the United States since the Great Depression. This amendment was enacted in response to the economic recession of the late 2000s for the following purposes: (1) to promote the financial stability of the United States by improving accountability and transparency in the financial system, (2) to end “too big to fail” institutions, (3) to protect the American taxpayer by ending bailouts, and (4) to protect consumers from abusive financial services practices. The institutions most affected by the regulatory changes include those involved in monitoring the financial system, such as the Federal Deposit Insurance Corporation (FDIC) and the SEC. Importantly, the amendment ended the exemption for investment advisors who previously were not required to register with the SEC because they had fewer than fifteen clients during the previous twelve months and did not hold out to the public as investment advisors. This means that in practice, numerous investment advisors, as well as hedge funds and private equity firms, are now subject to registration requirements.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 SEC administers securities laws to prevent the fraudulent practices in the sales of securities. The definition of</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security</w:t>
      </w:r>
      <w:r>
        <w:rPr>
          <w:rStyle w:val="apple-converted-space"/>
          <w:rFonts w:ascii="Calibri" w:hAnsi="Calibri" w:cs="Calibri"/>
          <w:color w:val="333333"/>
          <w:sz w:val="20"/>
          <w:szCs w:val="20"/>
          <w:lang w:val="en"/>
        </w:rPr>
        <w:t> </w:t>
      </w:r>
      <w:r>
        <w:rPr>
          <w:rFonts w:ascii="Calibri" w:hAnsi="Calibri" w:cs="Calibri"/>
          <w:color w:val="333333"/>
          <w:sz w:val="20"/>
          <w:szCs w:val="20"/>
          <w:lang w:val="en"/>
        </w:rPr>
        <w:t>is intentionally broad to protect the public from fraudulent investments that otherwise would escape regulation. The Securities Act of 1933 focuses on the issuance of securities, and the Securities Exchange Act of 1934 deals predominantly with trading in issued securities. Numerous federal and state securities laws are continuously created to combat securities fraud, with penalties becoming increasingly severe.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93"/>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differentiates an ordinary investment from a security? List all the factors.</w:t>
      </w:r>
    </w:p>
    <w:p w:rsidR="00A86150" w:rsidRDefault="00F714D4">
      <w:pPr>
        <w:numPr>
          <w:ilvl w:val="0"/>
          <w:numId w:val="69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main objective of the SEC?</w:t>
      </w:r>
    </w:p>
    <w:p w:rsidR="00A86150" w:rsidRDefault="00F714D4">
      <w:pPr>
        <w:numPr>
          <w:ilvl w:val="0"/>
          <w:numId w:val="69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three courses of action that the SEC may take against one who violates a securities law?</w:t>
      </w:r>
    </w:p>
    <w:p w:rsidR="00A86150" w:rsidRDefault="00F714D4">
      <w:pPr>
        <w:numPr>
          <w:ilvl w:val="0"/>
          <w:numId w:val="69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between the Securities Act of 1933 and the Securities Exchange Act of 1934?</w:t>
      </w:r>
    </w:p>
    <w:p w:rsidR="00A86150" w:rsidRDefault="00F714D4">
      <w:pPr>
        <w:numPr>
          <w:ilvl w:val="0"/>
          <w:numId w:val="69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do blue sky laws seek to protect?</w:t>
      </w:r>
    </w:p>
    <w:p w:rsidR="00A86150" w:rsidRDefault="0081777E">
      <w:pPr>
        <w:spacing w:after="0"/>
        <w:jc w:val="center"/>
        <w:divId w:val="401176320"/>
      </w:pPr>
      <w:r>
        <w:pict>
          <v:rect id="_x0000_i1143"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Securities &amp; Exchange Commission v. W. J. Howey Co.</w:t>
      </w:r>
      <w:r>
        <w:rPr>
          <w:rFonts w:ascii="Calibri" w:hAnsi="Calibri" w:cs="Calibri"/>
          <w:color w:val="333333"/>
          <w:sz w:val="20"/>
          <w:szCs w:val="20"/>
        </w:rPr>
        <w:t>, 328 U.S. 293 (1946).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Case v. Borak</w:t>
      </w:r>
      <w:r>
        <w:rPr>
          <w:rFonts w:ascii="Calibri" w:hAnsi="Calibri" w:cs="Calibri"/>
          <w:color w:val="333333"/>
          <w:sz w:val="20"/>
          <w:szCs w:val="20"/>
        </w:rPr>
        <w:t>, 377 U.S. 426 (1964).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Hall v. Geiger-Jones Co.</w:t>
      </w:r>
      <w:r>
        <w:rPr>
          <w:rFonts w:ascii="Calibri" w:hAnsi="Calibri" w:cs="Calibri"/>
          <w:color w:val="333333"/>
          <w:sz w:val="20"/>
          <w:szCs w:val="20"/>
        </w:rPr>
        <w:t>, 242 U.S. 539 (1917).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For more information on the Dodd-Frank Wall Street Reform and Consumer Protection Act (Pub.L. 111-203, H.R. 4173), see Thomas, “Major Actions,” Bill Summary &amp; Status 111th Congress (2009–2010) H.R.4173,</w:t>
      </w:r>
      <w:r>
        <w:rPr>
          <w:rStyle w:val="apple-converted-space"/>
          <w:rFonts w:ascii="Calibri" w:hAnsi="Calibri" w:cs="Calibri"/>
          <w:color w:val="333333"/>
          <w:sz w:val="20"/>
          <w:szCs w:val="20"/>
        </w:rPr>
        <w:t> </w:t>
      </w:r>
      <w:hyperlink r:id="rId84" w:anchor="major%20actions" w:tgtFrame="_blank" w:history="1">
        <w:r>
          <w:rPr>
            <w:rStyle w:val="Hyperlink"/>
            <w:rFonts w:ascii="Calibri" w:hAnsi="Calibri" w:cs="Calibri"/>
            <w:color w:val="2689C6"/>
            <w:sz w:val="20"/>
            <w:szCs w:val="20"/>
          </w:rPr>
          <w:t>http://thomas.loc.gov/cgi-bin/bdquery/z?d111:HR04173:@@@L&amp;summ2=m&amp;#major%20actions</w:t>
        </w:r>
      </w:hyperlink>
      <w:r>
        <w:rPr>
          <w:rFonts w:ascii="Calibri"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28.2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Liability under Securities Law</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694"/>
        </w:numPr>
        <w:shd w:val="clear" w:color="auto" w:fill="EAE9DC"/>
        <w:tabs>
          <w:tab w:val="clear" w:pos="720"/>
          <w:tab w:val="num" w:pos="19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the Foreign Corrupt Practices Act prevents American companies from using bribes to enter into contracts or gain licenses from foreign governments.</w:t>
      </w:r>
    </w:p>
    <w:p w:rsidR="00A86150" w:rsidRDefault="00F714D4">
      <w:pPr>
        <w:numPr>
          <w:ilvl w:val="0"/>
          <w:numId w:val="694"/>
        </w:numPr>
        <w:shd w:val="clear" w:color="auto" w:fill="EAE9DC"/>
        <w:tabs>
          <w:tab w:val="clear" w:pos="720"/>
          <w:tab w:val="num" w:pos="16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liability for insider trading for corporate insiders, “tippees,” and secondary actors under Sections 16(b) and 10(b) of the 1934 Securities Exchange Act.</w:t>
      </w:r>
    </w:p>
    <w:p w:rsidR="00A86150" w:rsidRDefault="00F714D4">
      <w:pPr>
        <w:numPr>
          <w:ilvl w:val="0"/>
          <w:numId w:val="694"/>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how the Sarbanes-Oxley Act has amended the 1934 act to increase corporate regulation, transparency, and penalties.</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Corporations may be found liable if they engage in certain unlawful practices, several of which we explore in this section.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Foreign Corrupt Practices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Investigations by the Securities and Exchange Commission (SEC) and the Watergate Special Prosecutor in the early 1970s turned up evidence that hundreds of companies had misused corporate funds, mainly by bribing foreign officials to induce them to enter into contracts with or grant licenses to US companies. Because revealing the bribes would normally be self-defeating and, in any event, could be expected to stir up immense criticism, companies paying bribes routinely hid the payments in various accounts. As a result, one of many statutes enacted in the aftermath of Watergate, the</w:t>
      </w:r>
      <w:r>
        <w:rPr>
          <w:rStyle w:val="marginterm"/>
          <w:rFonts w:ascii="Georgia" w:hAnsi="Georgia" w:cs="Calibri"/>
          <w:color w:val="333333"/>
          <w:sz w:val="20"/>
          <w:szCs w:val="20"/>
          <w:lang w:val="en"/>
        </w:rPr>
        <w:t>Foreign Corrupt Practices Act (FCPA)</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1977, was incorporated into the 1934 Securities Exchange Act. The SEC’s legal interest in the matter is not premised on the morality of bribery but rather on the falsity of the financial statements that are being filed.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Congress’s response to abuses of financial reporting, the FCPA, was much broader than necessary to treat the violations that were uncovered. The FCPA prohibits an issuer (i.e., any US business enterprise), a stockholder acting on behalf of an issuer, and “any officer, director, employee, or agent” of an issuer from using either the mails or interstate commerce corruptly to offer, pay, or promise to pay anything of value to foreign officials, foreign political parties, or candidates if the purpose is to gain business by inducing the foreign official to influence an act of the government to render a decision favorable to the US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not all payments are illegal. Under 1988 amendments to the FCPA, payments may be made to expedite routine governmental actions, such as obtaining a visa. And payments are allowed if they are lawful under the written law of a foreign country. More important than the foreign-bribe provisions, the act includes accounting provisions, which broaden considerably the authority of the SEC. These provisions are discussed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 v. World-Wide Coin Investments, Ltd.</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first accounting provisions case brought to trial.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Insider Trading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Corporate insiders</w:t>
      </w:r>
      <w:r>
        <w:rPr>
          <w:rFonts w:ascii="Georgia" w:hAnsi="Georgia" w:cs="Calibri"/>
          <w:color w:val="333333"/>
          <w:sz w:val="20"/>
          <w:szCs w:val="20"/>
          <w:lang w:val="en"/>
        </w:rPr>
        <w:t>—directors, officers, or important shareholders—can have a substantial trading advantage if they are privy to important confidential information. Learning bad news (such as financial loss or cancellation of key contracts) in advance of all other stockholders will permit the privileged few to sell shares before the price falls. Conversely, discovering good news (a major oil find or unexpected profits) in advance gives the insider a decided incentive to purchase shares before the price rises.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of the unfairness to those who are ignorant of inside information, federal law prohibits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insider trading</w:t>
      </w:r>
      <w:r>
        <w:rPr>
          <w:rFonts w:ascii="Georgia" w:hAnsi="Georgia" w:cs="Calibri"/>
          <w:color w:val="333333"/>
          <w:sz w:val="20"/>
          <w:szCs w:val="20"/>
          <w:lang w:val="en"/>
        </w:rPr>
        <w:t>. Two provisions of the 1934 Securities Exchange Act are paramount: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Section 16(b)</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10(b).</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Recapture of Short-Swing Profits: Section 16(b)</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Securities Exchange Act assumes that any director, officer, or shareholder owning 10 percent or more of the stock in a corporation is using inside information if he or any family member makes a profit from trading activities, either buying and selling or selling and buying, during a six-month period. Section 16(b) penalizes any such person by permitting the corporation or a shareholder suing on its behalf to recover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short-swing profits</w:t>
      </w:r>
      <w:r>
        <w:rPr>
          <w:rFonts w:ascii="Georgia" w:hAnsi="Georgia" w:cs="Calibri"/>
          <w:color w:val="333333"/>
          <w:sz w:val="20"/>
          <w:szCs w:val="20"/>
          <w:lang w:val="en"/>
        </w:rPr>
        <w:t>. The law applies to any company with more than $10 million in assets and at least five hundred or more shareholders of any class of stock.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that on January 1, Bob (a company officer) purchases one hundred shares of stock in BCT Bookstore, Inc., for $60 a share. On September 1, he sells them for $100 a share. What is the result? Bob is in the clear, because his $4,000 profit was not realized during a six-month period. Now suppose that the price falls, and one month later, on October 1, he repurchases one hundred shares at $30 a share and holds them for two years. What is the result? He will be forced to pay back $7,000 in profits even if he had no inside information. Why? In August, Bob held one hundred shares of stock, and he did again on October 1—within a six-month period. His net gain on these transactions was $7,000 ($10,000 realized on the sale less the $3,000 cost of the purchase).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 consequence of Section 16(b) and certain other provisions, trading in securities by directors, officers, and large stockholders presents numerous complexities. For instance, the law requires people in this position to make periodic reports to the SEC about their trades. As a practical matter, directors, officers, and large shareholders should not trade in their own company stock in the short run without legal advice.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Insider Trading: Section 10(b) and Rule 10b-5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Section 10(b)</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the Securities Exchange Act of 1934 prohibits any person from using the mails or facilities of interstate commerce “to use or employ, in connection with the purchase or sale of any security…any manipulative or deceptive device or contrivance in contravention of such rules and regulations as the Commission may prescribe as necessary or appropriate in the public interest or for the protection of investors.” In 1942, the SEC learned of a company president who misrepresented the company’s financial condition in order to buy shares at a low price from current stockholders. So the commission adopted a rule under the authority of Section 10(b).</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Rule 10b-5</w:t>
      </w:r>
      <w:r>
        <w:rPr>
          <w:rFonts w:ascii="Georgia" w:hAnsi="Georgia" w:cs="Calibri"/>
          <w:color w:val="333333"/>
          <w:sz w:val="20"/>
          <w:szCs w:val="20"/>
          <w:lang w:val="en"/>
        </w:rPr>
        <w:t>, as it was dubbed, has remained unchanged for more than forty years and has spawned thousands of lawsuits and SEC proceedings. It reads as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shall be unlawful for any person, directly or indirectly, by the use of any means or instrumentality of interstate commerce, or of the mails, or of any facility of any national securities exchange,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 to employ any device, scheme, or artifice to defraud,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 to make any untrue statement of a material fact or to omit to state a material fact necessary in order to make the statements made, in the light of circumstances under which they were made, not misleading, 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 to engage in any act, practice, or course of business which operates or would operate as a fraud or deceit upon any person, in connection with the purchase or sale of any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Rule 10b-5 applies to any person who purchases or sells any security. It is not limited to securities registered under the 1934 Securities Exchange Act. It is not limited to publicly held companies. It applies to any security issued by any company, including the smallest closely held company. In substance, it is an antifraud rule, enforcement of which seems, on its face, to be limited to action by the SEC. But over the years, the courts have permitted people injured by those who violate the statute to file private damage suits. This sweeping rule has at times been referred to as the “federal law of corporations” or the “catch everybody”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Insider trading ran headlong into Rule 10b-5 beginning in 1964 in a series of cases involving Texas Gulf Sulphur Company (TGS). On November 12, 1963, the company discovered a rich deposit of copper and zinc while drilling for oil near Timmins, Ontario. Keeping the discovery quiet, it proceeded to acquire mineral rights in adjacent lands. By April 1964, word began to circulate about TGS’s find.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Newspapers printed rumors, and the Toronto Stock Exchange experienced a wild speculative spree. On April 12, an executive vice president of TGS issued a press release downplaying the discovery, asserting that the rumors greatly exaggerated the find and stating that more drilling would be necessary before coming to any conclusions. Four days later, on April 16, TGS publicly announced that it had uncovered a strike of 25 million tons of ore. In the months following this announcement, TGS stock doubled in value.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 charged several TGS officers and directors with having purchased or told their friends, so-called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tippees</w:t>
      </w:r>
      <w:r>
        <w:rPr>
          <w:rFonts w:ascii="Georgia" w:hAnsi="Georgia" w:cs="Calibri"/>
          <w:color w:val="333333"/>
          <w:sz w:val="20"/>
          <w:szCs w:val="20"/>
          <w:lang w:val="en"/>
        </w:rPr>
        <w:t>, to purchase TGS stock from November 12, 1963, through April 16, 1964, on the basis of material inside information. The SEC also alleged that the April 12, 1964, press release was deceptive. The US Court of Appeals,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 v. Texas Gulf Sulphur Co.</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decided that the defendants who purchased the stock before the public announcement had violated Rule 10b-5. According to the court, “anyone in possession of material inside information must either disclose it to the investing public, or, if he is disabled from disclosing to protect a corporate confidence, or he chooses not to do so, must abstain from trading in or recommending the securities concerned while such inside information remains undisclosed.” On remand, the district court ordered certain defendants to pay $148,000 into an escrow account to be used to compensate parties injured by the insider trading.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of appeals also concluded that the press release violated Rule 10b-5 if “misleading to the reasonable investor.” On remand, the district court held that TGS failed to exercise “due diligence” in issuing the release. Sixty-nine private damage actions were subsequently filed against TGS by shareholders who claimed they sold their stock in reliance on the release. The company settled most of these suits in late 1971 for $2.7 million.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Following the TGS episode, the Supreme Court refined Rule 10b-5 on several fronts. First,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Ernst &amp; Ernst v. Hochfelder</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Court decided that proof of</w:t>
      </w:r>
      <w:r>
        <w:rPr>
          <w:rStyle w:val="marginterm"/>
          <w:rFonts w:ascii="Georgia" w:hAnsi="Georgia" w:cs="Calibri"/>
          <w:color w:val="333333"/>
          <w:sz w:val="20"/>
          <w:szCs w:val="20"/>
          <w:lang w:val="en"/>
        </w:rPr>
        <w:t>scienter</w:t>
      </w:r>
      <w:r>
        <w:rPr>
          <w:rFonts w:ascii="Georgia" w:hAnsi="Georgia" w:cs="Calibri"/>
          <w:color w:val="333333"/>
          <w:sz w:val="20"/>
          <w:szCs w:val="20"/>
          <w:lang w:val="en"/>
        </w:rPr>
        <w:t>—defined as “mental state embracing intent to deceive, manipulate, or defraud”—is required in private damage actions under Rule 10b-5. In other words, negligence alone will not result in Rule 10b-5 liability. The Court also held that scienter, which is an intentional act, must be established in SEC injunctive actions.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Supreme Court has placed limitations on the liability of tippees under Rule 10b-5. In 1980, the Court reversed the conviction of an employee of a company that printed tender offer and merger prospectuses. Using information obtained at work, the employee had purchased stock in target companies and later sold it for a profit when takeover attempts were publicly announced.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Chiarella v. United States</w:t>
      </w:r>
      <w:r>
        <w:rPr>
          <w:rFonts w:ascii="Georgia" w:hAnsi="Georgia" w:cs="Calibri"/>
          <w:color w:val="333333"/>
          <w:sz w:val="20"/>
          <w:szCs w:val="20"/>
          <w:lang w:val="en"/>
        </w:rPr>
        <w:t>, the Court held that the employee was not an insider or a fiduciary and that “a duty to disclose under Section 10(b) does not arise from the mere possession of nonpublic market information.”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Following</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Chiarella</w:t>
      </w:r>
      <w:r>
        <w:rPr>
          <w:rFonts w:ascii="Georgia" w:hAnsi="Georgia" w:cs="Calibri"/>
          <w:color w:val="333333"/>
          <w:sz w:val="20"/>
          <w:szCs w:val="20"/>
          <w:lang w:val="en"/>
        </w:rPr>
        <w:t>, the Court ruled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Dirks v. Securities and Exchange Commission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28.3.2 "Tippee Liability"</w:t>
      </w:r>
      <w:r>
        <w:rPr>
          <w:rFonts w:ascii="Georgia" w:hAnsi="Georgia" w:cs="Calibri"/>
          <w:color w:val="333333"/>
          <w:sz w:val="20"/>
          <w:szCs w:val="20"/>
          <w:lang w:val="en"/>
        </w:rPr>
        <w:t>), that tippees are liable if they had reason to believe that the tipper breached a fiduciary duty in disclosing confidential information and the tipper received a personal benefit from the disclosure.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Supreme Court has also refined Rule 10b-5 as it relates to the duty of a company to disclose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material information</w:t>
      </w:r>
      <w:r>
        <w:rPr>
          <w:rFonts w:ascii="Georgia" w:hAnsi="Georgia" w:cs="Calibri"/>
          <w:color w:val="333333"/>
          <w:sz w:val="20"/>
          <w:szCs w:val="20"/>
          <w:lang w:val="en"/>
        </w:rPr>
        <w:t>, as discussed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Basic, Inc. v. Levinson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28.3.3 "Duty to Disclose Material Information"</w:t>
      </w:r>
      <w:r>
        <w:rPr>
          <w:rFonts w:ascii="Georgia" w:hAnsi="Georgia" w:cs="Calibri"/>
          <w:color w:val="333333"/>
          <w:sz w:val="20"/>
          <w:szCs w:val="20"/>
          <w:lang w:val="en"/>
        </w:rPr>
        <w:t>). This case is also important in its discussion of the degree of reliance investors must prove to support a Rule 10b-5 action.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2000, the SEC enacted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Rule 10b5-1</w:t>
      </w:r>
      <w:r>
        <w:rPr>
          <w:rFonts w:ascii="Georgia" w:hAnsi="Georgia" w:cs="Calibri"/>
          <w:color w:val="333333"/>
          <w:sz w:val="20"/>
          <w:szCs w:val="20"/>
          <w:lang w:val="en"/>
        </w:rPr>
        <w:t>, which defines trading “on the basis of” inside information as any time a person trades while aware of material nonpublic information. Therefore, a defendant is not saved by arguing that the trade was made independent of knowledge of the nonpublic information. However, the rule also creates an affirmative defense for trades that were planned prior to the person’s receiving inside information.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addition to its decisions relating to intent (</w:t>
      </w:r>
      <w:r>
        <w:rPr>
          <w:rStyle w:val="Emphasis"/>
          <w:rFonts w:ascii="Georgia" w:hAnsi="Georgia" w:cs="Calibri"/>
          <w:color w:val="333333"/>
          <w:sz w:val="20"/>
          <w:szCs w:val="20"/>
          <w:lang w:val="en"/>
        </w:rPr>
        <w:t>Ernst &amp; Ernst</w:t>
      </w:r>
      <w:r>
        <w:rPr>
          <w:rFonts w:ascii="Georgia" w:hAnsi="Georgia" w:cs="Calibri"/>
          <w:color w:val="333333"/>
          <w:sz w:val="20"/>
          <w:szCs w:val="20"/>
          <w:lang w:val="en"/>
        </w:rPr>
        <w:t>), tippees (</w:t>
      </w:r>
      <w:r>
        <w:rPr>
          <w:rStyle w:val="Emphasis"/>
          <w:rFonts w:ascii="Georgia" w:hAnsi="Georgia" w:cs="Calibri"/>
          <w:color w:val="333333"/>
          <w:sz w:val="20"/>
          <w:szCs w:val="20"/>
          <w:lang w:val="en"/>
        </w:rPr>
        <w:t>Dirks</w:t>
      </w:r>
      <w:r>
        <w:rPr>
          <w:rFonts w:ascii="Georgia" w:hAnsi="Georgia" w:cs="Calibri"/>
          <w:color w:val="333333"/>
          <w:sz w:val="20"/>
          <w:szCs w:val="20"/>
          <w:lang w:val="en"/>
        </w:rPr>
        <w:t>), materiality (</w:t>
      </w:r>
      <w:r>
        <w:rPr>
          <w:rStyle w:val="Emphasis"/>
          <w:rFonts w:ascii="Georgia" w:hAnsi="Georgia" w:cs="Calibri"/>
          <w:color w:val="333333"/>
          <w:sz w:val="20"/>
          <w:szCs w:val="20"/>
          <w:lang w:val="en"/>
        </w:rPr>
        <w:t>Basic</w:t>
      </w:r>
      <w:r>
        <w:rPr>
          <w:rFonts w:ascii="Georgia" w:hAnsi="Georgia" w:cs="Calibri"/>
          <w:color w:val="333333"/>
          <w:sz w:val="20"/>
          <w:szCs w:val="20"/>
          <w:lang w:val="en"/>
        </w:rPr>
        <w:t>), and awareness of nonpublic information (10b5-1), the Supreme Court has considered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misappropriation theory</w:t>
      </w:r>
      <w:r>
        <w:rPr>
          <w:rFonts w:ascii="Georgia" w:hAnsi="Georgia" w:cs="Calibri"/>
          <w:color w:val="333333"/>
          <w:sz w:val="20"/>
          <w:szCs w:val="20"/>
          <w:lang w:val="en"/>
        </w:rPr>
        <w:t>, under which a person who misappropriates information from an employer faces insider trading liability. In a leading misappropriation theory case, the Second Circuit Court of Appeals reinstated an indictment against employees who traded on the basis of inside information obtained through their work at investment banking firms. The court concluded that the employees’ violation of their fiduciary duty to the firms violated securities law.</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US Supreme Court upheld the misappropriation theory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United States v. O’Hagan</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the SEC adopted the theory as new</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Rule 10b5-2</w:t>
      </w:r>
      <w:r>
        <w:rPr>
          <w:rFonts w:ascii="Georgia" w:hAnsi="Georgia" w:cs="Calibri"/>
          <w:color w:val="333333"/>
          <w:sz w:val="20"/>
          <w:szCs w:val="20"/>
          <w:lang w:val="en"/>
        </w:rPr>
        <w:t>. Under this new rule, the duty of trust or confidence exists when (1) a person agrees to maintain information in confidence; (2) the recipient knows or should have known through history, pattern, or practice of sharing confidences that the person communicating the information expects confidentiality; and (3) a person received material nonpublic information from his or her spouse, parent, child, or sibling.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1987,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Carpenter v. United States</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Supreme Court affirmed the conviction of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Wall Street Journal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reporter who leaked advanced information about the contents of his “Heard on the Street” column. The reporter, who was sentenced to eighteen months in prison, had been convicted on both mail and wire fraud and securities law charges for misappropriating information. The Court upheld the mail and wire fraud conviction by an 8–0 vote and the securities law conviction by a 4–4 vote. (In effect, the tie vote affirmed the conviction.)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Beyond these judge-made theories of liability, Congress had been concerned about insider trading, and in 1984 and 1988, it substantially increased the penalties. A person convicted of insider trading now faces a maximum criminal fine of $1 million and a possible ten-year prison term. A civil penalty of up to three times the profit made (or loss avoided) by insider trading can also be imposed. This penalty is in addition to liability for profits made through insider trading. For example, financier Ivan Boesky, who was sentenced in 1987 to a three-year prison term for insider trading, was required to disgorge $50 million of profits and was liable for another $50 million as a civil penalty. In 2003, Martha Stewart was indicted on charges of insider trading but was convicted for obstruction of justice, serving only five months. More recently, in 2009, billionaire founder of the Galleon Group, Raj Rajaratnam, was arrested for insider trading; he was convicted in May 2011 of all 14 counts of insider trading. For the SEC release on the Martha Stewart case, see</w:t>
      </w:r>
      <w:hyperlink r:id="rId85" w:tgtFrame="_blank" w:history="1">
        <w:r>
          <w:rPr>
            <w:rStyle w:val="Hyperlink"/>
            <w:rFonts w:ascii="Georgia" w:hAnsi="Georgia" w:cs="Calibri"/>
            <w:color w:val="2689C6"/>
            <w:sz w:val="20"/>
            <w:szCs w:val="20"/>
            <w:lang w:val="en"/>
          </w:rPr>
          <w:t>http://www.sec.gov/news/press/2003-69.htm</w:t>
        </w:r>
      </w:hyperlink>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Companies that knowingly and recklessly fail to prevent insider trading by their employees are subject to a civil penalty of up to three times the profit gained or loss avoided by insider trading or $1 million, whichever is greater. Corporations are also subject to a criminal fine of up to $2.5 million.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Secondary Actor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Stoneridge Investment Partners v. Scientific-Atlanta</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US Supreme Court held that “aiders and abettors” of fraud cannot be held secondarily liable under 10(b) for a private cause of action. This means that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secondary actors</w:t>
      </w:r>
      <w:r>
        <w:rPr>
          <w:rFonts w:ascii="Georgia" w:hAnsi="Georgia" w:cs="Calibri"/>
          <w:color w:val="333333"/>
          <w:sz w:val="20"/>
          <w:szCs w:val="20"/>
          <w:lang w:val="en"/>
        </w:rPr>
        <w:t>, such as lawyers and accountants, cannot be held liable unless their conduct satisfies all the elements for 10(b)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an overview of insider trading, go to</w:t>
      </w:r>
      <w:hyperlink r:id="rId86" w:tgtFrame="_blank" w:history="1">
        <w:r>
          <w:rPr>
            <w:rStyle w:val="Hyperlink"/>
            <w:rFonts w:ascii="Georgia" w:hAnsi="Georgia" w:cs="Calibri"/>
            <w:color w:val="2689C6"/>
            <w:sz w:val="20"/>
            <w:szCs w:val="20"/>
            <w:lang w:val="en"/>
          </w:rPr>
          <w:t>http://www.sec.gov/answers/insider.htm</w:t>
        </w:r>
      </w:hyperlink>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Sarbanes-Oxley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Congress enacted the Sarbanes-Oxley Act in 2002 in response to major corporate and accounting scandals, most notably those involving Enron, Tyco International, Adelphia, and WorldCom. The act created the </w:t>
      </w:r>
      <w:r>
        <w:rPr>
          <w:rStyle w:val="marginterm"/>
          <w:rFonts w:ascii="Georgia" w:hAnsi="Georgia" w:cs="Calibri"/>
          <w:color w:val="333333"/>
          <w:sz w:val="20"/>
          <w:szCs w:val="20"/>
          <w:lang w:val="en"/>
        </w:rPr>
        <w:t>Public Company Accounting Oversight Board</w:t>
      </w:r>
      <w:r>
        <w:rPr>
          <w:rFonts w:ascii="Georgia" w:hAnsi="Georgia" w:cs="Calibri"/>
          <w:color w:val="333333"/>
          <w:sz w:val="20"/>
          <w:szCs w:val="20"/>
          <w:lang w:val="en"/>
        </w:rPr>
        <w:t>, which oversees, inspects, and regulates accounting firms in their capacity as auditors of public companies. As a result of the act, the SEC may include civil penalties to a disgorgement fund for the benefit of victims of the violations of the Securities Act of 1933 and the Securities Exchange Act of 1934.</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Corrupt practices, misuse of corporate funds, and insider trading unfairly benefit the minority and cost the public billions. Numerous federal laws have been enacted to create liability for these bad actors in order to prevent fraudulent trading activities. Both civil and criminal penalties are available to punish those actors who bribe officials or use inside information unlawfully.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69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is the SEC so concerned with bribery? What does the SEC really aim to prevent through the FCPA?</w:t>
      </w:r>
    </w:p>
    <w:p w:rsidR="00A86150" w:rsidRDefault="00F714D4">
      <w:pPr>
        <w:numPr>
          <w:ilvl w:val="0"/>
          <w:numId w:val="69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short-swing profits?</w:t>
      </w:r>
    </w:p>
    <w:p w:rsidR="00A86150" w:rsidRDefault="00F714D4">
      <w:pPr>
        <w:numPr>
          <w:ilvl w:val="0"/>
          <w:numId w:val="69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To whom does Section 16(b) apply?</w:t>
      </w:r>
    </w:p>
    <w:p w:rsidR="00A86150" w:rsidRDefault="00F714D4">
      <w:pPr>
        <w:numPr>
          <w:ilvl w:val="0"/>
          <w:numId w:val="69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how Rule 10b-5 has been amended “on the basis of” insider information.</w:t>
      </w:r>
    </w:p>
    <w:p w:rsidR="00A86150" w:rsidRDefault="00F714D4">
      <w:pPr>
        <w:numPr>
          <w:ilvl w:val="0"/>
          <w:numId w:val="69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Can a secondary actor (attorney, accountant) be liable for insider trading? What factors must be present?</w:t>
      </w:r>
    </w:p>
    <w:p w:rsidR="00A86150" w:rsidRDefault="0081777E">
      <w:pPr>
        <w:spacing w:after="0"/>
        <w:jc w:val="center"/>
        <w:divId w:val="779839868"/>
      </w:pPr>
      <w:r>
        <w:pict>
          <v:rect id="_x0000_i1144"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SEC v. World-Wide Coin Investments, Ltd.</w:t>
      </w:r>
      <w:r>
        <w:rPr>
          <w:rFonts w:ascii="Calibri" w:hAnsi="Calibri" w:cs="Calibri"/>
          <w:color w:val="333333"/>
          <w:sz w:val="20"/>
          <w:szCs w:val="20"/>
        </w:rPr>
        <w:t>, 567 F.Supp. 724 (N.D. Ga. 1983).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SEC v. Texas Gulf Sulphur Co.</w:t>
      </w:r>
      <w:r>
        <w:rPr>
          <w:rFonts w:ascii="Calibri" w:hAnsi="Calibri" w:cs="Calibri"/>
          <w:color w:val="333333"/>
          <w:sz w:val="20"/>
          <w:szCs w:val="20"/>
        </w:rPr>
        <w:t>, 401 F.2d 833 (2d Cir. 1968).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Ernst &amp; Ernst v. Hochfelder</w:t>
      </w:r>
      <w:r>
        <w:rPr>
          <w:rFonts w:ascii="Calibri" w:hAnsi="Calibri" w:cs="Calibri"/>
          <w:color w:val="333333"/>
          <w:sz w:val="20"/>
          <w:szCs w:val="20"/>
        </w:rPr>
        <w:t>, 425 U.S. 185 (1976).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Aaron v. SEC</w:t>
      </w:r>
      <w:r>
        <w:rPr>
          <w:rFonts w:ascii="Calibri" w:hAnsi="Calibri" w:cs="Calibri"/>
          <w:color w:val="333333"/>
          <w:sz w:val="20"/>
          <w:szCs w:val="20"/>
        </w:rPr>
        <w:t>, 446 U.S. 680 (1980).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Chiarella v. United States</w:t>
      </w:r>
      <w:r>
        <w:rPr>
          <w:rFonts w:ascii="Calibri" w:hAnsi="Calibri" w:cs="Calibri"/>
          <w:color w:val="333333"/>
          <w:sz w:val="20"/>
          <w:szCs w:val="20"/>
        </w:rPr>
        <w:t>, 445 U.S. 222 (1980).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Newman</w:t>
      </w:r>
      <w:r>
        <w:rPr>
          <w:rFonts w:ascii="Calibri" w:hAnsi="Calibri" w:cs="Calibri"/>
          <w:color w:val="333333"/>
          <w:sz w:val="20"/>
          <w:szCs w:val="20"/>
        </w:rPr>
        <w:t>, 664 F.2d 12 (2d Cir. 1981).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O’Hagan</w:t>
      </w:r>
      <w:r>
        <w:rPr>
          <w:rFonts w:ascii="Calibri" w:hAnsi="Calibri" w:cs="Calibri"/>
          <w:color w:val="333333"/>
          <w:sz w:val="20"/>
          <w:szCs w:val="20"/>
        </w:rPr>
        <w:t>, 521 U.S. 642 (1997).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Carpenter v. United States</w:t>
      </w:r>
      <w:r>
        <w:rPr>
          <w:rFonts w:ascii="Calibri" w:hAnsi="Calibri" w:cs="Calibri"/>
          <w:color w:val="333333"/>
          <w:sz w:val="20"/>
          <w:szCs w:val="20"/>
        </w:rPr>
        <w:t>, 484 U.S. 19 (1987).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Carpenter v. United States</w:t>
      </w:r>
      <w:r>
        <w:rPr>
          <w:rFonts w:ascii="Calibri" w:hAnsi="Calibri" w:cs="Calibri"/>
          <w:color w:val="333333"/>
          <w:sz w:val="20"/>
          <w:szCs w:val="20"/>
        </w:rPr>
        <w:t>, 484 U.S. 19 (1987).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Style w:val="Emphasis"/>
          <w:rFonts w:ascii="Calibri" w:hAnsi="Calibri" w:cs="Calibri"/>
          <w:color w:val="333333"/>
          <w:sz w:val="20"/>
          <w:szCs w:val="20"/>
        </w:rPr>
        <w:t>Stoneridge Investment Partners v. Scientific-Atlanta</w:t>
      </w:r>
      <w:r>
        <w:rPr>
          <w:rFonts w:ascii="Calibri" w:hAnsi="Calibri" w:cs="Calibri"/>
          <w:color w:val="333333"/>
          <w:sz w:val="20"/>
          <w:szCs w:val="20"/>
        </w:rPr>
        <w:t>, 552 U.S. 148 (2008).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28.3</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a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Reves v. Ernst &amp; Young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494 U.S. 56, 110 S.Ct. 945 (1990)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MARSHALL delivered the opinion of the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presents the question whether certain demand notes issued by the Farmer’s Cooperative of Arkansas and Oklahoma are “securities” within the meaning of § 3(a)(10) of the Securities and Exchange Act of 1934. We conclude that they are.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Co-Op is an agricultural cooperative that, at the same time relevant here, had approximately 23,000 members. In order to raise money to support its general business operations, the Co-Op sold promissory notes payable on demand by the holder. Although the notes were uncollateralized and uninsured, they paid a variable rate of interest that was adjusted monthly to keep it higher than the rate paid by local financial institutions. The Co-Op offered the notes to both members and nonmembers, marketing the scheme as an “Investment Program.” Advertisements for the notes, which appeared in each Co-Op newsletter, read in part: “YOUR CO-OP has more than $11,000,000 in assets to stand behind your investments. The Investment is not Federal [sic] insured but it is…Safe…Secure…and available when you need it.” App. 5 (ellipses in original). Despite these assurances, the Co-Op filed for bankruptcy in 1984. At the time of the filing, over 1,600 people held notes worth a total of $10 million.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Co-Op filed for bankruptcy, petitioners, a class of holders of the notes, filed suit against Arthur Young &amp; Co., the firm that had audited the Co-Op’s financial statements (and the predecessor to respondent Ernst &amp; Young). Petitioners alleged, inter alia, that Arthur Young had intentionally failed to follow generally accepted accounting principles in its audit, specifically with respect to the valuation of one of the Co-Op’s major assets, a gasohol plant. Petitioners claimed that Arthur Young violated these principles in an effort to inflate the assets and net worth of the Co-Op. Petitioners maintained that, had Arthur Young properly treated the plant in its audits, they would not have purchased demand notes because the Co-Op’s insolvency would have been apparent. On the basis of these allegations, petitioners claimed that Arthur Young had violated the antifraud provisions of the 1934 Act as well as Arkansas’ securities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Petitioners prevailed at trial on both their federal and state claims, receiving a $6.1 million judgment. Arthur Young appealed, claiming that the demand notes were not “securities” under either the 1934 Act or Arkansas law, and that the statutes’ antifraud provisions therefore did not apply. A panel of the Eighth Circuit, agreeing with Arthur Young on both the state and federal issues, reversed. Arthur Young &amp; Co. v. Reves, 856 F.2d 52 (1988). We granted certiorari to address the federal issue, 490 U.S. 1105, 109 S.Ct. 3154, 104 L.Ed.2d 1018 (1989), and now reverse the judgment of the Court of Appeals.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fundamental purpose undergirding the Securities Acts is “to eliminate serious abuses in a largely unregulated securities market.” United Housing Foundation, Inc. v. Forman, 421 U.S. 837, 849, 95 S.Ct. 2051, 2059, 44 L.Ed.2d 621 (1975). In defining the scope of the market that it wished to regulate, Congress painted with a broad brush. It recognized the virtually limitless scope of human ingenuity, especially in the creation of “countless and variable schemes devised by those who seek the use of the money of others on the promise of profits,” SEC v. W.J. Howey Co., 328 U.S. 293, 299, 66 S.Ct. 1100, 1103, 90 L.Ed. 1244 (1946), and determined that the best way to achieve its goal of protecting investors was “to define ‘the term “security” in sufficiently broad and general terms so as to include within that definition the many types of instruments that in our commercial world fall within the ordinary concept of a security.’” Forman, supra, 421 U.S., at 847-848, 95 S.Ct., at 2058-2059 (quoting H.R.Rep. No. 85, 73d Cong., 1st Sess., 11 (1933)). Congress therefore did not attempt precisely to cabin the scope of the Securities Acts. Rather, it enacted a definition of “security” sufficiently broad to encompass virtually any instrument that might be sold as an investment.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deciding whether this transaction involves a “security,” four factors are important.] First, we examine the transaction to assess the motivations that would prompt a reasonable seller and buyer to enter into it. If the seller’s purpose is to raise money for the general use of a business enterprise or to finance substantial investments and the buyer is interested primarily in the profit the note is expected to generate, the instrument is likely to be a “security.” If the note is exchanged to facilitate the purchase and sale of a minor asset or consumer good, to correct for the seller’s cash-flow difficulties, or to advance some other commercial or consumer purpose, on the other hand, the note is less sensibly described as a “security.” Second, we examine the “plan of distribution” of the instrument to determine whether it is an instrument in which there is “common trading for speculation or investment.” Third, we examine the reasonable expectations of the investing public: The Court will consider instruments to be “securities” on the basis of such public expectations, even where an economic analysis of the circumstances of the particular transaction might suggest that the instruments are not “securities” as used in that transaction. Finally, we examine whether some factor such as the existence of another regulatory scheme significantly reduces the risk of the instrument, thereby rendering application of the Securities Acts unnecessary.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little difficulty in concluding that the notes at issue here are “securities.”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four factors the court uses to determine whether or not the transaction involves a security?</w:t>
      </w:r>
    </w:p>
    <w:p w:rsidR="00A86150" w:rsidRDefault="00F714D4">
      <w:pPr>
        <w:numPr>
          <w:ilvl w:val="0"/>
          <w:numId w:val="6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definition of security in this case differ from the definition in</w:t>
      </w:r>
      <w:r>
        <w:rPr>
          <w:rStyle w:val="Emphasis"/>
          <w:rFonts w:ascii="Calibri" w:hAnsi="Calibri" w:cs="Calibri"/>
          <w:color w:val="333333"/>
          <w:sz w:val="20"/>
          <w:szCs w:val="20"/>
        </w:rPr>
        <w:t>Securities &amp; Exchange Commission v. W. J. Howey</w:t>
      </w:r>
      <w:r>
        <w:rPr>
          <w:rFonts w:ascii="Calibri" w:hAnsi="Calibri" w:cs="Calibri"/>
          <w:color w:val="333333"/>
          <w:sz w:val="20"/>
          <w:szCs w:val="20"/>
        </w:rPr>
        <w:t>?</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Tippee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Dirks v. Securities and Exchange Commission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463 U.S. 646 (1983)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tippee assumes a fiduciary duty to the shareholders of a corporation not to trade on material nonpublic information only when the insider has breached his fiduciary duty to the shareholders by disclosing the information to the tippee and the tippee knows or should know that there has been a breach.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disclosure is a breach of duty therefore depends in large part on the purpose of the disclosure. This standard was identified by the SEC itself in Cady, Roberts: a purpose of the securities laws was to eliminate “use of inside information for personal advantage.” Thus, the test is whether the insider personally will benefit, directly or indirectly, from his disclosure. Absent some personal gain, there has been no breach of duty to stockholders. And absent a breach by the insider, there is no derivative breach.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inside-trading and tipping rules set forth above, we find that there was no actionable violation by Dirks. It is undisputed that Dirks himself was a stranger to Equity Funding, with no preexisting fiduciary duty to its shareholders. He took no action, directly, or indirectly, that induced the shareholders or officers of Equity Funding to repose trust or confidence in him. There was no expectation by Dirk’s sources that he would keep their information in confidence. Nor did Dirks misappropriate or illegally obtain the information about Equity Funding. Unless the insiders breached their Cady, Roberts duty to shareholders in disclosing the nonpublic information to Dirks, he breached no duty when he passed it on to investors as well as to the Wall Street Journal.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clear that neither Secrist nor the other Equity Funding employees violated their Cady, Roberts duty to the corporation’s shareholders by providing information to Dirks. The tippers received no monetary or personal benefit for revealing Equity Funding’s secrets, nor was their purpose to make a gift of valuable information to Dirks. As the facts of this case clearly indicate, the tippers were motivated by a desire to expose the fraud. In the absence of a breach of duty to shareholders by the insiders, there was no derivative breach by Dirks. Dirks therefore could not have been “a participant after the fact in [an] insider’s breach of a fiduciary duty.” Chiarella, 445 U.S., at 230, n. 12.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Dirks, in the circumstances of this case, had no duty to abstain from the use of the inside information that he obtained. The judgment of the Court of Appeals therefore is reversed.</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a tippee assume a fiduciary duty to shareholders of a corporation?</w:t>
      </w:r>
    </w:p>
    <w:p w:rsidR="00A86150" w:rsidRDefault="00F714D4">
      <w:pPr>
        <w:numPr>
          <w:ilvl w:val="0"/>
          <w:numId w:val="6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Dirks violate any insider trading laws? Why or why not?</w:t>
      </w:r>
    </w:p>
    <w:p w:rsidR="00A86150" w:rsidRDefault="00F714D4">
      <w:pPr>
        <w:numPr>
          <w:ilvl w:val="0"/>
          <w:numId w:val="6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this case refine Rule 10b-5?</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Duty to Disclose Material Information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Basic Inc v. Levinson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485 U.S. 224 (1988)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1978, Basic Incorporated agreed to merge with Consolidated Engineering. Prior to the merger, Basic made three public statements denying it was involved in merger negotiations. Shareholders who sold their stock after the first of these statements and before the merger was announced sued Basic and its directors under Rule 10b-5, claiming that they sold their shares at depressed prices as a result of Basic’s misleading statements. The district court decided in favor of Basic on the grounds that Basic’s statements were not material and therefore were not misleading. The court of appeals reversed, and the Supreme Court granted certiorari.]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BLACKMUN.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to resolve the split among the Courts of Appeals as to the standard of materiality applicable to preliminary merger discussions, and to determine whether the courts below properly applied a presumption of reliance in certifying the class, rather than requiring each class member to show direct reliance on Basic’s statements.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previously has addressed various positive and common-law requirements for a violation of § 10(b) or of Rule 10b-5. The Court also explicitly has defined a standard of materiality under the securities laws, see TSC Industries, Inc. v. Northway, Inc., 426 U.S. 438 (1976), concluding in the proxy-solicitation context that “[a]n omitted fact is material if there is a substantial likelihood that a reasonable shareholder would consider it important in deciding how to vote.”…We now expressly adopt the TSC Industries standard of materiality for the 5 10(b) and Rule 10b-5 context.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application of this materiality standard to preliminary merger discussions is not self-evident. Where the impact of the corporate development on the target’s fortune is certain and clear, the TSC Industries materiality definition admits straight-forward application. Where, on the other hand, the event is contingent or speculative in nature, it is difficult to ascertain whether the “reasonable investor” would have considered the omitted information significant at the time. Merger negotiations, because of the ever-present possibility that the contemplated transaction will not be effectuated, fall into the latter category.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before this Court’s decision in TSC Industries, the Second Circuit had explained the role of the materiality requirement of Rule 10b-5, with respect to contingent or speculative information or events, in a manner that gave that term meaning that is independent of the other provisions of the Rule. Under such circumstances, materiality “will depend at any given time upon a balancing of both the indicated probability that the event will occur and the anticipated magnitude of the event in light of the totality of the company activity.” SEC v. Texas Gulf Sulphur Co., 401 F.2d, at 849.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merger discussions in any particular case are material therefore depends on the facts. Generally, in order to assess the probability that the event will occur, a factfinder will need to look to indicia of interest in the transactions at the highest corporate levels. Without attempting to catalog all such possible factors, we note by way of example that board resolutions, instructions to investment bankers, and actual negotiations between principals or their intermediaries may serve as indicia of interest. To assess the magnitude of the transaction to the issuer of the securities allegedly manipulated, a factfinder will need to consider such facts as the size of the two corporate entities and of the potential premiums over market value. No particular event or factor short of closing the transaction need to be either necessary or sufficient by itself to render merger discussions material.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clarify today, materiality depends on the significance the reasonable investor would place on the withheld or misrepresented information. The fact-specific inquiry we endorse here is consistent with the approach a number of courts have taken in assessing the materiality of merger negotiations. Because the standard of materiality we have adopted differs from that used by both courts below, we remand the case for reconsideration of the question whether a grant of summary judgment is appropriate on this record.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turn to the question of reliance and the fraud on-the-market theory. Succinctly put: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fraud on the market theory is based on the hypothesis that, in an open and developed securities market, the price of a company’s stock is determined by the available information regarding the company and its business.…Misleading statements will therefore defraud purchasers of stock even if the purchasers do not directly rely on the misstatements.…The causal connection between the defendants’ fraud and the plaintiff’s purchase of stock in such a case is no less significant than in a case of direct reliance on misrepresentations. Peil v. Speiser, 806 F.2d 1154, 1160-1161 (CA3 1986).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that reliance is an element of a Rule 10b-5 cause of action. Reliance provides the requisite causal connection between a defendant’s misrepresentation and a plaintiff’s misrepresentation and a plaintiff’s injury. There is, however, more than one way to demonstrate the causal connection.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Presumptions typically serve to assist courts in managing circumstances in which direct proof, for one reason or another, is rendered difficult. The courts below accepted a presumption, created by the fraud-on-the-market theory and subject to rebuttal by petitioners, that persons who had traded Basic shares had done so in reliance on the integrity of the price set by the market, but because of petitioners’ material misrepresentations that price had been fraudulently depressed. Requiring a plaintiff to show a speculative state of facts, i.e., how he would have acted if omitted material information had been disclosed, or if the misrepresentation had not been made, would place an unnecessarily unrealistic evidentiary burden on the Rule 10b-5 plaintiff who has traded on an impersonal market.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Arising out of considerations of fairness, public policy, and probability, as well as judicial economy, presumptions are also useful devices for allocating the burdens of proof between parties. The presumption of reliance employed in this case is consistent with, and, by facilitating Rule 10b-5 litigation, supports, the congressional policy embodied in the 1934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presumption is also supported by common sense and probability. Recent empirical studies have tended to confirm Congress’ premise that the market price of shares traded on well-developed markets reflects all publicly available information, and, hence, any material misrepresentations. It has been noted that “it is hard to imagine that there ever is a buyer or seller who does not rely on market integrity. Who would knowingly roll the dice in a crooked crap game?” Schlanger v. Four-Phase Systems, Inc., 555 F.Supp. 535, 538 (SDNY 1982).…An investor who buys or sells stock at the price set by the market does so in reliance on the integrity of that price. Because most publicly available information is reflected in market price, an investor’s reliance on any public material misrepresentations, therefore, may be presumed for purposes of a Rule 10b-5 action.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Court of Appeals is vacated and the case is remanded to that court for further proceedings consistent with this opinion.</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6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court determine what is or is not material information? How does this differ from its previous rulings?</w:t>
      </w:r>
    </w:p>
    <w:p w:rsidR="00A86150" w:rsidRDefault="00F714D4">
      <w:pPr>
        <w:numPr>
          <w:ilvl w:val="0"/>
          <w:numId w:val="6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fraud-on-the-market theory?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28.4</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state corporation laws, federal statutes—most importantly, the Securities Act of 1933 and the Securities Exchange Act of 1934—regulate the issuance and trading of corporate securities. The federal definition of</w:t>
      </w:r>
      <w:r>
        <w:rPr>
          <w:rStyle w:val="Emphasis"/>
          <w:rFonts w:ascii="Georgia" w:hAnsi="Georgia" w:cs="Calibri"/>
          <w:color w:val="333333"/>
          <w:sz w:val="20"/>
          <w:szCs w:val="20"/>
        </w:rPr>
        <w:t>security</w:t>
      </w:r>
      <w:r>
        <w:rPr>
          <w:rStyle w:val="apple-converted-space"/>
          <w:rFonts w:ascii="Georgia" w:hAnsi="Georgia" w:cs="Calibri"/>
          <w:color w:val="333333"/>
          <w:sz w:val="20"/>
          <w:szCs w:val="20"/>
        </w:rPr>
        <w:t> </w:t>
      </w:r>
      <w:r>
        <w:rPr>
          <w:rFonts w:ascii="Georgia" w:hAnsi="Georgia" w:cs="Calibri"/>
          <w:color w:val="333333"/>
          <w:sz w:val="20"/>
          <w:szCs w:val="20"/>
        </w:rPr>
        <w:t>is broad, encompassing most investments, even those called by other names.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does not prohibit risky stock offerings; it bans only those lacking adequate disclosure of risks. The primary means for realizing this goal is the registration requirement: registration statements, prospectuses, and proxy solicitations must be filed with the Securities and Exchange Commission (SEC). Penalties for violation of securities law include criminal fines and jail terms, and damages may be awarded in civil suits by both the SEC and private individuals injured by the violation of SEC rules. A 1977 amendment to the 1934 act is the Foreign Corrupt Practices Act, which prohibits an issuer from paying a bribe or making any other payment to foreign officials in order to gain business by inducing the foreign official to influence his government in favor of the US company. This law requires issuers to keep accurate sets of books reflecting the dispositions of their assets and to maintain internal accounting controls to ensure that transactions comport with management’s authorization.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Securities Exchange Act of 1934 presents special hazards to those trading in public stock on the basis of inside information. One provision requires the reimbursement to the company of any profits made from selling and buying stock during a six-month period by directors, officers, and shareholders owning 10 percent or more of the company’s stock. Under Rule 10b-5, the SEC and private parties may sue insiders who traded on information not available to the general public, thus gaining an advantage in either selling or buying the stock. Insiders include company employees.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Sarbanes-Oxley Act amended the 1934 act, creating more stringent penalties, increasing corporate regulation, and requiring greater transparency.</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699"/>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Anne operated a clothing store called Anne’s Rags, Inc. She owned all of the stock in the company. After several years in the clothing business, Anne sold her stock to Louise, who personally managed the business. Is the sale governed by the antifraud provisions of federal securities law? Why?</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waiting tables at a campus-area restaurant, you overhear a conversation between two corporate executives who indicate that their company has developed a new product that will revolutionize the computer industry. The product is to be announced in three weeks. If you purchase stock in the company before the announcement, will you be liable under federal securities law? Why?</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Eric was hired as a management consultant by a major corporation to conduct a study, which took him three months to complete. While working on the study, Eric learned that someone working in research and development for the company had recently made an important discovery. Before the discovery was announced publicly, Eric purchased stock in the company. Did he violate federal securities law? Why?</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working for the company, Eric also learned that it was planning a takeover of another corporation. Before announcement of a tender offer, Eric purchased stock in the target company. Did he violate securities law? Why?</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commercial lending department of First Bank made a substantial loan to Alpha Company after obtaining a favorable confidential earnings report from Alpha. Over lunch, Heidi, the loan officer who handled the loan, mentioned the earnings report to a friend who worked in the bank’s trust department. The friend proceeded to purchase stock in Alpha for several of the bank’s trusts. Discuss the legal implications.</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5, assume that a week after the loan to Alpha, First Bank financed Beta Company’s takeover of Alpha. During the financing negotiations, Heidi mentioned the Alpha earnings report to Beta officials; furthermore, the report was an important factor in Heidi’s decision to finance the takeover. Discuss the legal implications.</w:t>
      </w:r>
    </w:p>
    <w:p w:rsidR="00A86150" w:rsidRDefault="00F714D4">
      <w:pPr>
        <w:numPr>
          <w:ilvl w:val="0"/>
          <w:numId w:val="6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6, assume that after work one day, Heidi told her friend in the trust department that Alpha was Beta’s takeover target. The friend proceeded to purchase additional stock in Alpha for a bank trust he administered. Discuss the legal implications.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700"/>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issuance of corporate securities is governed by</w:t>
      </w:r>
    </w:p>
    <w:p w:rsidR="00A86150" w:rsidRDefault="00F714D4">
      <w:pPr>
        <w:pStyle w:val="ListParagraph"/>
        <w:numPr>
          <w:ilvl w:val="0"/>
          <w:numId w:val="7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various federal statutes</w:t>
      </w:r>
    </w:p>
    <w:p w:rsidR="00A86150" w:rsidRDefault="00F714D4">
      <w:pPr>
        <w:pStyle w:val="ListParagraph"/>
        <w:numPr>
          <w:ilvl w:val="0"/>
          <w:numId w:val="7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state law</w:t>
      </w:r>
    </w:p>
    <w:p w:rsidR="00A86150" w:rsidRDefault="00F714D4">
      <w:pPr>
        <w:pStyle w:val="ListParagraph"/>
        <w:numPr>
          <w:ilvl w:val="0"/>
          <w:numId w:val="7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of the above</w:t>
      </w:r>
    </w:p>
    <w:p w:rsidR="00A86150" w:rsidRDefault="00F714D4">
      <w:pPr>
        <w:pStyle w:val="ListParagraph"/>
        <w:numPr>
          <w:ilvl w:val="0"/>
          <w:numId w:val="7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neither of the above</w:t>
      </w:r>
    </w:p>
    <w:p w:rsidR="00A86150" w:rsidRDefault="00F714D4">
      <w:pPr>
        <w:pStyle w:val="para"/>
        <w:numPr>
          <w:ilvl w:val="0"/>
          <w:numId w:val="7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law that prohibits the payment of a bribe to foreign officials to gain business is called</w:t>
      </w:r>
    </w:p>
    <w:p w:rsidR="00A86150" w:rsidRDefault="00F714D4">
      <w:pPr>
        <w:pStyle w:val="ListParagraph"/>
        <w:numPr>
          <w:ilvl w:val="0"/>
          <w:numId w:val="7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Insider Trading Act</w:t>
      </w:r>
    </w:p>
    <w:p w:rsidR="00A86150" w:rsidRDefault="00F714D4">
      <w:pPr>
        <w:pStyle w:val="ListParagraph"/>
        <w:numPr>
          <w:ilvl w:val="0"/>
          <w:numId w:val="7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blue sky law</w:t>
      </w:r>
    </w:p>
    <w:p w:rsidR="00A86150" w:rsidRDefault="00F714D4">
      <w:pPr>
        <w:pStyle w:val="ListParagraph"/>
        <w:numPr>
          <w:ilvl w:val="0"/>
          <w:numId w:val="7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Foreign Corrupt Practices Act</w:t>
      </w:r>
    </w:p>
    <w:p w:rsidR="00A86150" w:rsidRDefault="00F714D4">
      <w:pPr>
        <w:pStyle w:val="ListParagraph"/>
        <w:numPr>
          <w:ilvl w:val="0"/>
          <w:numId w:val="7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7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primary means for banning stock offerings that inadequately disclose risks is</w:t>
      </w:r>
    </w:p>
    <w:p w:rsidR="00A86150" w:rsidRDefault="00F714D4">
      <w:pPr>
        <w:pStyle w:val="ListParagraph"/>
        <w:numPr>
          <w:ilvl w:val="0"/>
          <w:numId w:val="7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registration requirement</w:t>
      </w:r>
    </w:p>
    <w:p w:rsidR="00A86150" w:rsidRDefault="00F714D4">
      <w:pPr>
        <w:pStyle w:val="ListParagraph"/>
        <w:numPr>
          <w:ilvl w:val="0"/>
          <w:numId w:val="7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SEC prohibition of risky stock offerings</w:t>
      </w:r>
    </w:p>
    <w:p w:rsidR="00A86150" w:rsidRDefault="00F714D4">
      <w:pPr>
        <w:pStyle w:val="ListParagraph"/>
        <w:numPr>
          <w:ilvl w:val="0"/>
          <w:numId w:val="7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of the above</w:t>
      </w:r>
    </w:p>
    <w:p w:rsidR="00A86150" w:rsidRDefault="00F714D4">
      <w:pPr>
        <w:pStyle w:val="ListParagraph"/>
        <w:numPr>
          <w:ilvl w:val="0"/>
          <w:numId w:val="7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neither of the above</w:t>
      </w:r>
    </w:p>
    <w:p w:rsidR="00A86150" w:rsidRDefault="00F714D4">
      <w:pPr>
        <w:pStyle w:val="para"/>
        <w:numPr>
          <w:ilvl w:val="0"/>
          <w:numId w:val="7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enforce its prohibition under insider trading, the SEC requires reimbursement to the company of any profits made from selling and buying stock during any six-month period by directors owing</w:t>
      </w:r>
    </w:p>
    <w:p w:rsidR="00A86150" w:rsidRDefault="00F714D4">
      <w:pPr>
        <w:pStyle w:val="ListParagraph"/>
        <w:numPr>
          <w:ilvl w:val="0"/>
          <w:numId w:val="7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60 percent or more of company stock</w:t>
      </w:r>
    </w:p>
    <w:p w:rsidR="00A86150" w:rsidRDefault="00F714D4">
      <w:pPr>
        <w:pStyle w:val="ListParagraph"/>
        <w:numPr>
          <w:ilvl w:val="0"/>
          <w:numId w:val="7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40 percent or more of company stock</w:t>
      </w:r>
    </w:p>
    <w:p w:rsidR="00A86150" w:rsidRDefault="00F714D4">
      <w:pPr>
        <w:pStyle w:val="ListParagraph"/>
        <w:numPr>
          <w:ilvl w:val="0"/>
          <w:numId w:val="7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10 percent or more of company stock</w:t>
      </w:r>
    </w:p>
    <w:p w:rsidR="00A86150" w:rsidRDefault="00F714D4">
      <w:pPr>
        <w:pStyle w:val="ListParagraph"/>
        <w:numPr>
          <w:ilvl w:val="0"/>
          <w:numId w:val="7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7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Rule 10b-5, insiders include</w:t>
      </w:r>
    </w:p>
    <w:p w:rsidR="00A86150" w:rsidRDefault="00F714D4">
      <w:pPr>
        <w:pStyle w:val="ListParagraph"/>
        <w:numPr>
          <w:ilvl w:val="0"/>
          <w:numId w:val="7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company employees</w:t>
      </w:r>
    </w:p>
    <w:p w:rsidR="00A86150" w:rsidRDefault="00F714D4">
      <w:pPr>
        <w:pStyle w:val="ListParagraph"/>
        <w:numPr>
          <w:ilvl w:val="0"/>
          <w:numId w:val="7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any person who possesses nonpublic information</w:t>
      </w:r>
    </w:p>
    <w:p w:rsidR="00A86150" w:rsidRDefault="00F714D4">
      <w:pPr>
        <w:pStyle w:val="ListParagraph"/>
        <w:numPr>
          <w:ilvl w:val="0"/>
          <w:numId w:val="7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tippees</w:t>
      </w:r>
    </w:p>
    <w:p w:rsidR="00A86150" w:rsidRDefault="00F714D4">
      <w:pPr>
        <w:pStyle w:val="ListParagraph"/>
        <w:numPr>
          <w:ilvl w:val="0"/>
          <w:numId w:val="7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7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purpose of the Dodd-Frank Act is to</w:t>
      </w:r>
    </w:p>
    <w:p w:rsidR="00A86150" w:rsidRDefault="00F714D4">
      <w:pPr>
        <w:pStyle w:val="ListParagraph"/>
        <w:numPr>
          <w:ilvl w:val="0"/>
          <w:numId w:val="7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promote financial stability</w:t>
      </w:r>
    </w:p>
    <w:p w:rsidR="00A86150" w:rsidRDefault="00F714D4">
      <w:pPr>
        <w:pStyle w:val="ListParagraph"/>
        <w:numPr>
          <w:ilvl w:val="0"/>
          <w:numId w:val="7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end “too big to fail”</w:t>
      </w:r>
    </w:p>
    <w:p w:rsidR="00A86150" w:rsidRDefault="00F714D4">
      <w:pPr>
        <w:pStyle w:val="ListParagraph"/>
        <w:numPr>
          <w:ilvl w:val="0"/>
          <w:numId w:val="7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end bailouts</w:t>
      </w:r>
    </w:p>
    <w:p w:rsidR="00A86150" w:rsidRDefault="00F714D4">
      <w:pPr>
        <w:pStyle w:val="ListParagraph"/>
        <w:numPr>
          <w:ilvl w:val="0"/>
          <w:numId w:val="7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protect against abusive financial services practices</w:t>
      </w:r>
    </w:p>
    <w:p w:rsidR="00A86150" w:rsidRDefault="00F714D4">
      <w:pPr>
        <w:pStyle w:val="ListParagraph"/>
        <w:numPr>
          <w:ilvl w:val="0"/>
          <w:numId w:val="7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71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29</w:t>
      </w:r>
    </w:p>
    <w:p w:rsidR="00A86150" w:rsidRDefault="0081777E">
      <w:pPr>
        <w:pStyle w:val="Heading1"/>
        <w:shd w:val="clear" w:color="auto" w:fill="FFFFFF"/>
        <w:spacing w:before="0" w:line="240" w:lineRule="atLeast"/>
        <w:jc w:val="center"/>
        <w:textAlignment w:val="baseline"/>
      </w:pPr>
      <w:r>
        <w:pict>
          <v:rect id="_x0000_i1145"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Corporate Expansion, State and Federal Regulation of Foreign Corporations, and Corporate Dissolution</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713"/>
        </w:numPr>
        <w:shd w:val="clear" w:color="auto" w:fill="EAE9DC"/>
        <w:tabs>
          <w:tab w:val="clear" w:pos="720"/>
          <w:tab w:val="num" w:pos="648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How a corporation can expand by purchasing assets of another company without purchasing stock or otherwise merging with the company whose assets are purchased</w:t>
      </w:r>
    </w:p>
    <w:p w:rsidR="00A86150" w:rsidRDefault="00F714D4">
      <w:pPr>
        <w:numPr>
          <w:ilvl w:val="0"/>
          <w:numId w:val="713"/>
        </w:numPr>
        <w:shd w:val="clear" w:color="auto" w:fill="EAE9DC"/>
        <w:tabs>
          <w:tab w:val="clear" w:pos="720"/>
          <w:tab w:val="num" w:pos="720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benefits of expanding through a purchase of assets rather than stock</w:t>
      </w:r>
    </w:p>
    <w:p w:rsidR="00A86150" w:rsidRDefault="00F714D4">
      <w:pPr>
        <w:numPr>
          <w:ilvl w:val="0"/>
          <w:numId w:val="713"/>
        </w:numPr>
        <w:shd w:val="clear" w:color="auto" w:fill="EAE9DC"/>
        <w:tabs>
          <w:tab w:val="clear" w:pos="720"/>
          <w:tab w:val="num" w:pos="648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Both the benefits and potential detriments of merging with another company</w:t>
      </w:r>
    </w:p>
    <w:p w:rsidR="00A86150" w:rsidRDefault="00F714D4">
      <w:pPr>
        <w:numPr>
          <w:ilvl w:val="0"/>
          <w:numId w:val="713"/>
        </w:numPr>
        <w:shd w:val="clear" w:color="auto" w:fill="EAE9DC"/>
        <w:tabs>
          <w:tab w:val="clear" w:pos="720"/>
          <w:tab w:val="num" w:pos="57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How a merger differs from a stock purchase or a consolidation</w:t>
      </w:r>
    </w:p>
    <w:p w:rsidR="00A86150" w:rsidRDefault="00F714D4">
      <w:pPr>
        <w:numPr>
          <w:ilvl w:val="0"/>
          <w:numId w:val="713"/>
        </w:numPr>
        <w:shd w:val="clear" w:color="auto" w:fill="EAE9DC"/>
        <w:tabs>
          <w:tab w:val="clear" w:pos="720"/>
          <w:tab w:val="num" w:pos="50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Takeovers and tender offers</w:t>
      </w:r>
    </w:p>
    <w:p w:rsidR="00A86150" w:rsidRDefault="00F714D4">
      <w:pPr>
        <w:numPr>
          <w:ilvl w:val="0"/>
          <w:numId w:val="713"/>
        </w:numPr>
        <w:shd w:val="clear" w:color="auto" w:fill="EAE9DC"/>
        <w:tabs>
          <w:tab w:val="clear" w:pos="720"/>
          <w:tab w:val="num" w:pos="462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Appraisal rights</w:t>
      </w:r>
    </w:p>
    <w:p w:rsidR="00A86150" w:rsidRDefault="00F714D4">
      <w:pPr>
        <w:numPr>
          <w:ilvl w:val="0"/>
          <w:numId w:val="713"/>
        </w:numPr>
        <w:shd w:val="clear" w:color="auto" w:fill="EAE9DC"/>
        <w:tabs>
          <w:tab w:val="clear" w:pos="720"/>
          <w:tab w:val="num" w:pos="360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Foreign corporations and the requirements of the US Constitution</w:t>
      </w:r>
    </w:p>
    <w:p w:rsidR="00A86150" w:rsidRDefault="00F714D4">
      <w:pPr>
        <w:numPr>
          <w:ilvl w:val="0"/>
          <w:numId w:val="713"/>
        </w:numPr>
        <w:shd w:val="clear" w:color="auto" w:fill="EAE9DC"/>
        <w:tabs>
          <w:tab w:val="clear" w:pos="720"/>
          <w:tab w:val="num" w:pos="288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taxation of foreign corporations</w:t>
      </w:r>
    </w:p>
    <w:p w:rsidR="00A86150" w:rsidRDefault="00F714D4">
      <w:pPr>
        <w:numPr>
          <w:ilvl w:val="0"/>
          <w:numId w:val="713"/>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Corporate dissolution and its various types</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begins with a discussion of the various ways a corporation can expand. We briefly consider successor liability—whether a successor corporation, such as a corporation that purchases all of the assets of another corporation, is liable for debts, lawsuits, and other liabilities of the purchased corporation. We then turn to appraisal rights, which are a shareholder’s right to dissent from a corporate expansion. Next, we look at several aspects, such as jurisdiction and taxation, of foreign corporations—corporations that are incorporated in a state that is different from the one in which they do business. We conclude the chapter with dissolution of the corporation.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29.1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Corporate Expansion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w:t>
      </w:r>
    </w:p>
    <w:p w:rsidR="00A86150" w:rsidRDefault="00F714D4">
      <w:pPr>
        <w:numPr>
          <w:ilvl w:val="0"/>
          <w:numId w:val="714"/>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four methods of corporate expansion: purchase of assets other than in the regular course of business, merger, consolidation, and purchase of stock in another corporation.</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popular usage, “</w:t>
      </w:r>
      <w:r>
        <w:rPr>
          <w:rStyle w:val="marginterm"/>
          <w:rFonts w:ascii="Georgia" w:hAnsi="Georgia" w:cs="Calibri"/>
          <w:color w:val="333333"/>
          <w:sz w:val="20"/>
          <w:szCs w:val="20"/>
          <w:lang w:val="en"/>
        </w:rPr>
        <w:t>merger</w:t>
      </w:r>
      <w:r>
        <w:rPr>
          <w:rFonts w:ascii="Georgia" w:hAnsi="Georgia" w:cs="Calibri"/>
          <w:color w:val="333333"/>
          <w:sz w:val="20"/>
          <w:szCs w:val="20"/>
          <w:lang w:val="en"/>
        </w:rPr>
        <w:t>” often is used to mean any type of expansion by which one corporation acquires part or all of another corporation. But in legal terms, merger is only one of four methods of achieving expansion other than by internal growth.</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Purchase of Assets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method of corporate expansion is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purchase of assets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another corporation. At the most basic level, ABC Corporation wishes to expand, and the assets of XYZ Corporation are attractive to ABC. So ABC purchases the assets of XYZ, resulting in the expansion of ABC. After the purchase, XYZ may remain in corporate form or may cease to exist, depending on how many of its assets were purchased by ABC.</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several advantages to an asset purchase, most notably, that the acquiring corporation can pick what assets and liabilities (with certain limitations, discussed further on in this section) it wishes to acquire. Furthermore, certain transactions may avoid a shareholder vote. If the selling corporation does not sell substantially all of its assets, then its shareholders may not get a vote to approve the 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example, after several years of successful merchandising, a corporation formed by Bob, Carol, and Ted (BCT Bookstore, Inc.) has opened three branch stores around town and discovered its transportation costs mounting. Inventory arrives in trucks operated by the Flying Truckman Co., Inc. The BCT corporation concludes that the economics of delivery do not warrant purchasing a single truck dedicated to hauling books for its four stores alone. Then Bob learns that the owners of Flying Truckman might be willing to part with their company because it has not been earning money lately. If BCT could reorganize Flying Truckman’s other routes, it could reduce its own shipping costs while making a profit on other lines of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circumstances, the simplest and safest way to acquire Flying Truckman is by purchasing its assets. That way BCT would own the trucks and whatever routes it chooses, without taking upon itself the stigma of the association. It could drop the name Flying Truckman.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most states, the board of directors of both the seller and the buyer must approve a transfer of assets. Shareholders of the selling corporation must also consent by majority vote, but shareholders of the acquiring company need not be consulted, so Ted’s opposition can be effectively mooted;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29.1 "Purchase of Assets"</w:t>
      </w:r>
      <w:r>
        <w:rPr>
          <w:rFonts w:ascii="Georgia" w:hAnsi="Georgia" w:cs="Calibri"/>
          <w:color w:val="333333"/>
          <w:sz w:val="20"/>
          <w:szCs w:val="20"/>
          <w:lang w:val="en"/>
        </w:rPr>
        <w:t>. (When inventory is sold in bulk, the acquiring company must also comply with the law governing bulk transfers.) By purchasing the assets—trucks, truck routes, and the trademark Flying Truckman (to prevent anyone else from using it)—the acquiring corporation can carry on the functions of the acquired company without carrying on its business as such.</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18"/>
          <w:szCs w:val="18"/>
          <w:lang w:val="en"/>
        </w:rPr>
      </w:pPr>
      <w:r>
        <w:rPr>
          <w:rStyle w:val="title-prefix"/>
          <w:rFonts w:ascii="Georgia" w:hAnsi="Georgia" w:cs="Calibri"/>
          <w:i/>
          <w:iCs/>
          <w:color w:val="000000"/>
          <w:sz w:val="18"/>
          <w:szCs w:val="18"/>
          <w:lang w:val="en"/>
        </w:rPr>
        <w:t>Figure 29.1</w:t>
      </w:r>
      <w:r>
        <w:rPr>
          <w:rStyle w:val="apple-converted-space"/>
          <w:rFonts w:ascii="Georgia" w:hAnsi="Georgia" w:cs="Calibri"/>
          <w:i/>
          <w:iCs/>
          <w:color w:val="BB9966"/>
          <w:sz w:val="18"/>
          <w:szCs w:val="18"/>
          <w:lang w:val="en"/>
        </w:rPr>
        <w:t> </w:t>
      </w:r>
      <w:r>
        <w:rPr>
          <w:rFonts w:ascii="Georgia" w:hAnsi="Georgia" w:cs="Calibri"/>
          <w:i/>
          <w:iCs/>
          <w:color w:val="BB9966"/>
          <w:sz w:val="18"/>
          <w:szCs w:val="18"/>
          <w:lang w:val="en"/>
        </w:rPr>
        <w:t>Purchase of Assets</w:t>
      </w:r>
    </w:p>
    <w:p w:rsidR="00A86150" w:rsidRDefault="00F714D4">
      <w:pPr>
        <w:shd w:val="clear" w:color="auto" w:fill="FFFFFF"/>
        <w:spacing w:after="240" w:line="270" w:lineRule="atLeast"/>
        <w:textAlignment w:val="baseline"/>
        <w:rPr>
          <w:rFonts w:ascii="Calibri" w:hAnsi="Calibri" w:cs="Calibri"/>
          <w:color w:val="555555"/>
          <w:sz w:val="23"/>
          <w:szCs w:val="23"/>
          <w:lang w:val="en"/>
        </w:rPr>
      </w:pPr>
      <w:r>
        <w:rPr>
          <w:rFonts w:ascii="Calibri" w:hAnsi="Calibri" w:cs="Calibri"/>
          <w:noProof/>
          <w:color w:val="2689C6"/>
          <w:sz w:val="23"/>
          <w:szCs w:val="23"/>
        </w:rPr>
        <w:drawing>
          <wp:inline distT="0" distB="0" distL="0" distR="0">
            <wp:extent cx="4572000" cy="2000250"/>
            <wp:effectExtent l="0" t="0" r="0" b="0"/>
            <wp:docPr id="154" name="Picture 39" descr="http://images.flatworldknowledge.com/mayerlawentrep/mayerlawentrep-fig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mayerlawentrep/mayerlawentrep-fig47_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200025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Successor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of the principal advantages of this method of expansion is that the acquiring company generally is not liable for the debts and/or lawsuits of the corporation whose assets it purchased, generally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successor liability</w:t>
      </w:r>
      <w:r>
        <w:rPr>
          <w:rFonts w:ascii="Georgia" w:hAnsi="Georgia" w:cs="Calibri"/>
          <w:color w:val="333333"/>
          <w:sz w:val="20"/>
          <w:szCs w:val="20"/>
          <w:lang w:val="en"/>
        </w:rPr>
        <w:t>. Suppose BCT paid Flying Truckman $250,000 for its trucks, routes, and name. With that cash, Flying Truckman paid off several of its creditors. Its shareholders then voted to dissolve the corporation, leaving one creditor unsatisfied. The creditor can no longer sue Flying Truckman since it does not exist. So he sues BCT. Unless certain circumstances exist, as discussed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Ray v. Alad Corporation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29.4.1 "Successor Liability"</w:t>
      </w:r>
      <w:r>
        <w:rPr>
          <w:rFonts w:ascii="Georgia" w:hAnsi="Georgia" w:cs="Calibri"/>
          <w:color w:val="333333"/>
          <w:sz w:val="20"/>
          <w:szCs w:val="20"/>
          <w:lang w:val="en"/>
        </w:rPr>
        <w:t>), BCT is not liable for Flying Truckman’s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Several states, although not a majority, have adopted the Ray product-line exception approach to successor liability. The general rule is that the purchasing corporation does not take the liabilities of the acquired corporation. Several exceptions exist, as described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Ray</w:t>
      </w:r>
      <w:r>
        <w:rPr>
          <w:rFonts w:ascii="Georgia" w:hAnsi="Georgia" w:cs="Calibri"/>
          <w:color w:val="333333"/>
          <w:sz w:val="20"/>
          <w:szCs w:val="20"/>
          <w:lang w:val="en"/>
        </w:rPr>
        <w:t>, the principal exception being the product-line approach. This minority exception has been further limited in several jurisdictions by applying it solely to cases involving products liability. Other jurisdictions also permit a continuity-of-enterprise exception, whereby the court examines how closely the acquiring corporation’s business is to the acquired corporation’s business (e.g.,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Turner v. Bituminous Casualty Co.</w:t>
      </w:r>
      <w:r>
        <w:rPr>
          <w:rFonts w:ascii="Georgia" w:hAnsi="Georgia" w:cs="Calibri"/>
          <w:color w:val="333333"/>
          <w:sz w:val="20"/>
          <w:szCs w:val="20"/>
          <w:lang w:val="en"/>
        </w:rPr>
        <w:t>).</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Merger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the assets of a company are purchased, the selling company itself may or may not go out of existence. By contrast, in a merger, the acquired company goes out of existence by being absorbed into the acquiring company. In the example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29.1.2 "Merger"</w:t>
      </w:r>
      <w:r>
        <w:rPr>
          <w:rFonts w:ascii="Georgia" w:hAnsi="Georgia" w:cs="Calibri"/>
          <w:color w:val="333333"/>
          <w:sz w:val="20"/>
          <w:szCs w:val="20"/>
          <w:lang w:val="en"/>
        </w:rPr>
        <w:t>, Flying Truck would merge into BCT, resulting in Flying Truckman losing its existence. The acquiring company receives all of the acquired company’s assets, including physical property and intangible property such as contracts and goodwill. The acquiring company also assumes all debts of the acquired company.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merger begins when two or more corporations negotiate an agreement outlining the specifics of a merger, such as which corporation survives and the identities of management personnel. There are two main types of merger: a cash merger and a noncash merger. In a cash merger, the shareholders of the disappearing corporation surrender their shares for cash. These shareholders retain no interest in the surviving corporation, having been bought out. This is often called a freeze-out merger, since the shareholders of the disappearing corporation are frozen out of an interest in the surviving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 noncash merger, the shareholders of the disappearing corporation retain an interest in the surviving corporation. The shareholders of the disappearing corporation trade their shares for shares in the surviving corporation; thus they retain an interest in the surviving corporation when they become shareholders of that surviving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Unless the articles of incorporation state otherwise, majority approval of the merger by both boards of directors and both sets of shareholders is necessary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29.2 "Merger"</w:t>
      </w:r>
      <w:r>
        <w:rPr>
          <w:rFonts w:ascii="Georgia" w:hAnsi="Georgia" w:cs="Calibri"/>
          <w:color w:val="333333"/>
          <w:sz w:val="20"/>
          <w:szCs w:val="20"/>
          <w:lang w:val="en"/>
        </w:rPr>
        <w:t>). The shareholder majority must be of the total shares eligible to vote, not merely of the total actually represented at the special meeting called for the purpose of determining whether to merge.</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18"/>
          <w:szCs w:val="18"/>
          <w:lang w:val="en"/>
        </w:rPr>
      </w:pPr>
      <w:r>
        <w:rPr>
          <w:rStyle w:val="title-prefix"/>
          <w:rFonts w:ascii="Georgia" w:hAnsi="Georgia" w:cs="Calibri"/>
          <w:i/>
          <w:iCs/>
          <w:color w:val="000000"/>
          <w:sz w:val="18"/>
          <w:szCs w:val="18"/>
          <w:lang w:val="en"/>
        </w:rPr>
        <w:t>Figure 29.2</w:t>
      </w:r>
      <w:r>
        <w:rPr>
          <w:rStyle w:val="apple-converted-space"/>
          <w:rFonts w:ascii="Georgia" w:hAnsi="Georgia" w:cs="Calibri"/>
          <w:i/>
          <w:iCs/>
          <w:color w:val="BB9966"/>
          <w:sz w:val="18"/>
          <w:szCs w:val="18"/>
          <w:lang w:val="en"/>
        </w:rPr>
        <w:t> </w:t>
      </w:r>
      <w:r>
        <w:rPr>
          <w:rFonts w:ascii="Georgia" w:hAnsi="Georgia" w:cs="Calibri"/>
          <w:i/>
          <w:iCs/>
          <w:color w:val="BB9966"/>
          <w:sz w:val="18"/>
          <w:szCs w:val="18"/>
          <w:lang w:val="en"/>
        </w:rPr>
        <w:t>Merger</w:t>
      </w:r>
    </w:p>
    <w:p w:rsidR="00A86150" w:rsidRDefault="00F714D4">
      <w:pPr>
        <w:shd w:val="clear" w:color="auto" w:fill="FFFFFF"/>
        <w:spacing w:after="240" w:line="270" w:lineRule="atLeast"/>
        <w:textAlignment w:val="baseline"/>
        <w:rPr>
          <w:rFonts w:ascii="Calibri" w:hAnsi="Calibri" w:cs="Calibri"/>
          <w:color w:val="555555"/>
          <w:sz w:val="23"/>
          <w:szCs w:val="23"/>
          <w:lang w:val="en"/>
        </w:rPr>
      </w:pPr>
      <w:r>
        <w:rPr>
          <w:rFonts w:ascii="Calibri" w:hAnsi="Calibri" w:cs="Calibri"/>
          <w:noProof/>
          <w:color w:val="2689C6"/>
          <w:sz w:val="23"/>
          <w:szCs w:val="23"/>
        </w:rPr>
        <w:drawing>
          <wp:inline distT="0" distB="0" distL="0" distR="0">
            <wp:extent cx="4572000" cy="1924050"/>
            <wp:effectExtent l="0" t="0" r="0" b="0"/>
            <wp:docPr id="155" name="Picture 38" descr="http://images.flatworldknowledge.com/mayerlawentrep/mayerlawentrep-fig4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mayerlawentrep/mayerlawentrep-fig47_0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192405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Consolidation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Consolidation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virtually the same as a merger. The companies merge, but the resulting entity is a new corporation. Returning to our previous example, BCT and Flying Truckman could consolidate and form a new corporation. As with mergers, the boards and shareholders must approve the consolidation by majority votes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29.3 "Consolidation"</w:t>
      </w:r>
      <w:r>
        <w:rPr>
          <w:rFonts w:ascii="Georgia" w:hAnsi="Georgia" w:cs="Calibri"/>
          <w:color w:val="333333"/>
          <w:sz w:val="20"/>
          <w:szCs w:val="20"/>
          <w:lang w:val="en"/>
        </w:rPr>
        <w:t>). The resulting corporation becomes effective when the secretary of state issues a certificate of merger or incorporation.</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18"/>
          <w:szCs w:val="18"/>
          <w:lang w:val="en"/>
        </w:rPr>
      </w:pPr>
      <w:r>
        <w:rPr>
          <w:rStyle w:val="title-prefix"/>
          <w:rFonts w:ascii="Georgia" w:hAnsi="Georgia" w:cs="Calibri"/>
          <w:i/>
          <w:iCs/>
          <w:color w:val="000000"/>
          <w:sz w:val="18"/>
          <w:szCs w:val="18"/>
          <w:lang w:val="en"/>
        </w:rPr>
        <w:t>Figure 29.3</w:t>
      </w:r>
      <w:r>
        <w:rPr>
          <w:rFonts w:ascii="Georgia" w:hAnsi="Georgia" w:cs="Calibri"/>
          <w:i/>
          <w:iCs/>
          <w:color w:val="BB9966"/>
          <w:sz w:val="18"/>
          <w:szCs w:val="18"/>
          <w:lang w:val="en"/>
        </w:rPr>
        <w:t>Consolidation</w:t>
      </w:r>
    </w:p>
    <w:p w:rsidR="00A86150" w:rsidRDefault="00F714D4">
      <w:pPr>
        <w:shd w:val="clear" w:color="auto" w:fill="FFFFFF"/>
        <w:spacing w:after="240" w:line="270" w:lineRule="atLeast"/>
        <w:textAlignment w:val="baseline"/>
        <w:rPr>
          <w:rFonts w:ascii="Calibri" w:hAnsi="Calibri" w:cs="Calibri"/>
          <w:color w:val="555555"/>
          <w:sz w:val="23"/>
          <w:szCs w:val="23"/>
          <w:lang w:val="en"/>
        </w:rPr>
      </w:pPr>
      <w:r>
        <w:rPr>
          <w:rFonts w:ascii="Calibri" w:hAnsi="Calibri" w:cs="Calibri"/>
          <w:noProof/>
          <w:color w:val="2689C6"/>
          <w:sz w:val="23"/>
          <w:szCs w:val="23"/>
        </w:rPr>
        <w:drawing>
          <wp:inline distT="0" distB="0" distL="0" distR="0">
            <wp:extent cx="4572000" cy="1685925"/>
            <wp:effectExtent l="0" t="0" r="0" b="9525"/>
            <wp:docPr id="156" name="Picture 37" descr="http://images.flatworldknowledge.com/mayerlawentrep/mayerlawentrep-fig4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mayerlawentrep/mayerlawentrep-fig47_00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168592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more information on mergers and consolidation under Delaware law, see Del. Code Ann., Title 8, Sections 251–267 (2011), at</w:t>
      </w:r>
      <w:hyperlink r:id="rId90" w:anchor="TopOfPage" w:tgtFrame="_blank" w:history="1">
        <w:r>
          <w:rPr>
            <w:rStyle w:val="Hyperlink"/>
            <w:rFonts w:ascii="Georgia" w:hAnsi="Georgia" w:cs="Calibri"/>
            <w:color w:val="2689C6"/>
            <w:sz w:val="20"/>
            <w:szCs w:val="20"/>
            <w:lang w:val="en"/>
          </w:rPr>
          <w:t>http://delcode.delaware.gov/title8/index.shtml#TopOfPage</w:t>
        </w:r>
      </w:hyperlink>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Purchase of Stock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Takeovers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fourth method of expanding, purchase of a company’s stock, is more complicated than the other methods. The takeover has become a popular method for gaining control because it does not require an affirmative vote by the target company’s board of directors. In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takeover</w:t>
      </w:r>
      <w:r>
        <w:rPr>
          <w:rFonts w:ascii="Georgia" w:hAnsi="Georgia" w:cs="Calibri"/>
          <w:color w:val="333333"/>
          <w:sz w:val="20"/>
          <w:szCs w:val="20"/>
          <w:lang w:val="en"/>
        </w:rPr>
        <w:t>, the acquiring company appeals directly to the target’s shareholders, offering either money or other securities, often at a premium over market value, in exchange for their shares. The acquiring company usually need not purchase 100 percent of the shares. Indeed, if the shares are numerous and widely enough dispersed, control can be achieved by acquiring less than half the outstanding stock. In our example, if Flying Truckman has shareholders, BCT would make an offer directly to those shareholders to acquire their shares.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Tender Offers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case of closely held corporations, it is possible for a company bent on takeover to negotiate with each stockholder individually, making a direct offer to purchase his or her shares. That is impossible in the case of large publicly held companies since it is impracticable and/or too expensive to reach each individual shareholder. To reach all shareholders, the acquiring company must make a tender offer, which is a public offer to purchase shares. In fact, the tender offer is not really an offer at all in the technical sense;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tender offer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 invitation to shareholders to sell their shares at a stipulated price. The tender offer might express the price in cash or in shares of the acquiring company. Ordinarily, the offeror will want to purchase only a controlling interest, so it will limit the tender to a specified number of shares and reserve the right not to purchase any above that number. It will also condition the tender offer on receiving a minimum number of shares so that it need buy none if stockholders do not offer a threshold number of shares for purchase.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Leveraged Buyouts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A tender offer or other asset purchase can be financed as a </w:t>
      </w:r>
      <w:r>
        <w:rPr>
          <w:rStyle w:val="marginterm"/>
          <w:rFonts w:ascii="Georgia" w:hAnsi="Georgia" w:cs="Calibri"/>
          <w:color w:val="333333"/>
          <w:sz w:val="20"/>
          <w:szCs w:val="20"/>
          <w:lang w:val="en"/>
        </w:rPr>
        <w:t>leveraged buyout (LBO)</w:t>
      </w:r>
      <w:r>
        <w:rPr>
          <w:rFonts w:ascii="Georgia" w:hAnsi="Georgia" w:cs="Calibri"/>
          <w:color w:val="333333"/>
          <w:sz w:val="20"/>
          <w:szCs w:val="20"/>
          <w:lang w:val="en"/>
        </w:rPr>
        <w:t>, a purchase financed by debt. A common type of LBO involves investors who are members of the target corporation and/or outsiders who wish to take over the target or retain a controlling interest. These purchasers use the assets of the target corporation, such as its real estate or a manufacturing plant, as security for a loan to purchase the target. The purchasers also use other types of debt, such as the issuance of bonds or a loan, to implement the LBO.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more information about tender offers and mergers,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Unocal v. Mesa</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Revlon v. MacAndrews &amp; Forbes</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Wall Street Journal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provides comprehensive coverage of tender offers, mergers, and LBOs, at</w:t>
      </w:r>
      <w:hyperlink r:id="rId91" w:tgtFrame="_blank" w:history="1">
        <w:r>
          <w:rPr>
            <w:rStyle w:val="Hyperlink"/>
            <w:rFonts w:ascii="Georgia" w:hAnsi="Georgia" w:cs="Calibri"/>
            <w:color w:val="2689C6"/>
            <w:sz w:val="20"/>
            <w:szCs w:val="20"/>
            <w:lang w:val="en"/>
          </w:rPr>
          <w:t>http://www.wsj.com</w:t>
        </w:r>
      </w:hyperlink>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State versus Federal Regulation of Takeovers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federal Williams Act, upon commencement of a tender offer for more than 5 percent of the target’s stock, the offeror must file a statement with the Securities and Exchange Commission (SEC) stating the source of funds to be used in making the purchase, the purpose of the purchase, and the extent of its holdings in the target company. Even when a tender offer has not been made, the Williams Act requires any person who acquires more than 5 percent ownership of a corporation to file a statement with the SEC within ten days. The Williams Act, which made certain amendments to the Securities Exchange Act of 1934, can be viewed at</w:t>
      </w:r>
      <w:r>
        <w:rPr>
          <w:rStyle w:val="apple-converted-space"/>
          <w:rFonts w:ascii="Georgia" w:hAnsi="Georgia" w:cs="Calibri"/>
          <w:color w:val="333333"/>
          <w:sz w:val="20"/>
          <w:szCs w:val="20"/>
          <w:lang w:val="en"/>
        </w:rPr>
        <w:t> </w:t>
      </w:r>
      <w:hyperlink r:id="rId92" w:tgtFrame="_blank" w:history="1">
        <w:r>
          <w:rPr>
            <w:rStyle w:val="Hyperlink"/>
            <w:rFonts w:ascii="Georgia" w:hAnsi="Georgia" w:cs="Calibri"/>
            <w:color w:val="2689C6"/>
            <w:sz w:val="20"/>
            <w:szCs w:val="20"/>
            <w:lang w:val="en"/>
          </w:rPr>
          <w:t>http://taft.law.uc.edu/CCL/34Act/</w:t>
        </w:r>
      </w:hyperlink>
      <w:r>
        <w:rPr>
          <w:rFonts w:ascii="Georgia" w:hAnsi="Georgia" w:cs="Calibri"/>
          <w:color w:val="333333"/>
          <w:sz w:val="20"/>
          <w:szCs w:val="20"/>
          <w:lang w:val="en"/>
        </w:rPr>
        <w:t>. The US Constitution is also implicated in the regulation of foreign corporations. The Commerce Clause of Article I, Section 8, of the Constitution provides that Congress has power “to regulate Commerce…among the several States.”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officers and directors of target companies have no legal say in whether stockholders will tender their shares, many states began, in the early 1970s, to enact takeover laws. The first generation of these laws acted as delaying devices by imposing lengthy waiting periods before a tender offer could be put into effect. Many of the laws expressly gave management of the target companies a right to a hearing, which could be dragged out for weeks or months, giving the target time to build up a defense. The political premise of the laws was the protection of incumbent managers from takeover by out-of-state corporations, although the “localness” of some managers was but a polite fiction. One such law was enacted in Illinois. It required notifying the Illinois secretary of state and the target corporation of the intent to make a tender offer twenty days prior to the offer. During that time, the corporation seeking to make the tender offer could not spread information about the offer. Finally, the secretary of state could delay the tender offer by ordering a hearing and could even deny the offer if it was deemed inequitable. In 1982, the Supreme Court,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Edgar v. Mite Corp.</w:t>
      </w:r>
      <w:r>
        <w:rPr>
          <w:rFonts w:ascii="Georgia" w:hAnsi="Georgia" w:cs="Calibri"/>
          <w:color w:val="333333"/>
          <w:sz w:val="20"/>
          <w:szCs w:val="20"/>
          <w:lang w:val="en"/>
        </w:rPr>
        <w:t>, struck down the Illinois takeover law because it violated the Commerce Clause, which prohibits states from unduly burdening the flow of interstate commerce, and also was preempted by the Williams Act.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Following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Mite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decision, states began to enact a second generation of takeover laws. In 1987,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CTS Corporation v. Dynamics Corporation of America</w:t>
      </w:r>
      <w:r>
        <w:rPr>
          <w:rFonts w:ascii="Georgia" w:hAnsi="Georgia" w:cs="Calibri"/>
          <w:color w:val="333333"/>
          <w:sz w:val="20"/>
          <w:szCs w:val="20"/>
          <w:lang w:val="en"/>
        </w:rPr>
        <w:t>, the Supreme Court upheld an Indiana second-generation statute that prevents an offeror who has acquired 20 percent or more of a target’s stock from voting unless other shareholders (not including management) approve. The vote to approve can be delayed for up to fifty days from the date the offeror files a statement reporting the acquisition. The Court concluded that the Commerce Clause was not violated nor was the Williams Act, because the Indiana law, unlike the Illinois law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Mite</w:t>
      </w:r>
      <w:r>
        <w:rPr>
          <w:rFonts w:ascii="Georgia" w:hAnsi="Georgia" w:cs="Calibri"/>
          <w:color w:val="333333"/>
          <w:sz w:val="20"/>
          <w:szCs w:val="20"/>
          <w:lang w:val="en"/>
        </w:rPr>
        <w:t>, was consistent with the Williams Act, since it protects shareholders, does not unreasonably delay the tender offer, and does not discriminate against interstate commerce.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Emboldened by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decision, almost half the states have adopted a third-generation law that requires a bidder to wait several years before merging with the target company unless the target’s board agrees in advance to the merger. Because in many cases a merger is the reason for the bid, these laws are especially powerful. In 1989, the Seventh Circuit Court of Appeals upheld Wisconsin’s third-generation law, saying that it did not violate the Commerce Clause and that it was not preempted by the Williams Act. The Supreme Court decided not to review the decision.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Short-Form Mergers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one company acquires 90 percent or more of the stock of another company, it can merge with the target company through the so-called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short-form merger</w:t>
      </w:r>
      <w:r>
        <w:rPr>
          <w:rFonts w:ascii="Georgia" w:hAnsi="Georgia" w:cs="Calibri"/>
          <w:color w:val="333333"/>
          <w:sz w:val="20"/>
          <w:szCs w:val="20"/>
          <w:lang w:val="en"/>
        </w:rPr>
        <w:t>. Only the parent company’s board of directors need approve the merger; consent of the shareholders of either company is unnecessary.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Appraisal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a shareholder has the right to vote on a corporate plan to merge, consolidate, or sell all or substantially all of its assets, that shareholder has the right to dissent and invoke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appraisal rights</w:t>
      </w:r>
      <w:r>
        <w:rPr>
          <w:rFonts w:ascii="Georgia" w:hAnsi="Georgia" w:cs="Calibri"/>
          <w:color w:val="333333"/>
          <w:sz w:val="20"/>
          <w:szCs w:val="20"/>
          <w:lang w:val="en"/>
        </w:rPr>
        <w:t>. Returning again to BCT, Bob and Carol, as shareholders, are anxious to acquire Flying Truckman, but Ted is not sure of the wisdom of doing that. Ted could invoke his appraisal rights to dissent from an expansion involving Flying Truckman. The law requires the shareholder to file with the corporation, before the vote, a notice of intention to demand the fair value of his shares. If the plan is approved and the shareholder does not vote in favor, the corporation must send a notice to the shareholder specifying procedures for obtaining payment, and the shareholder must demand payment within the time set in the notice, which cannot be less than thirty days. Fair value means the value of shares immediately before the effective date of the corporate action to which the shareholder has objected. Appreciation and depreciation in anticipation of the action are excluded, unless the exclusion is unfair.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shareholder and the company cannot agree on the fair value, the shareholder must file a petition requesting a court to determine the fair value. The method of determining fair value depends on the circumstances. When there is a public market for stock traded on an exchange, fair value is usually the price quoted on the exchange. In some circumstances, other factors, especially net asset value and investment value—for example, earnings potential—assume greater importance.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Hariton v. Arco Electronics, Inc.</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M.P.M. Enterprises, Inc. v. Gilbert</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further discussion of appraisal rights and when they may be invoked.</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There are four main methods of corporate expansion. The first involves the purchase of assets not in the ordinary course of business. Using this method, the purchase expands the corporation. The second and third methods, merger and consolidation, are very similar: two or more corporations combine. In a merger, one of the merging companies survives, and the other ceases to exist. In a consolidation, the merging corporations cease to exist when they combine to form a new corporation. The final method is a stock purchase, accomplished via a tender offer, takeover, or leveraged buyout. Federal and state regulations play a significant role in takeovers and tender offers, particularly the Williams Act. A shareholder who does not wish to participate in a stock sale may invoke his appraisal rights and demand cash compensation for his shares.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15"/>
        </w:numPr>
        <w:shd w:val="clear" w:color="auto" w:fill="E3EFF7"/>
        <w:tabs>
          <w:tab w:val="clear" w:pos="720"/>
          <w:tab w:val="num" w:pos="102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dangers in purchasing the assets of another corporation?</w:t>
      </w:r>
    </w:p>
    <w:p w:rsidR="00A86150" w:rsidRDefault="00F714D4">
      <w:pPr>
        <w:numPr>
          <w:ilvl w:val="0"/>
          <w:numId w:val="71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possible rationales behind statutes such as the Williams Act and state antitakeover statutes?</w:t>
      </w:r>
    </w:p>
    <w:p w:rsidR="00A86150" w:rsidRDefault="00F714D4">
      <w:pPr>
        <w:numPr>
          <w:ilvl w:val="0"/>
          <w:numId w:val="71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When may a shareholder invoke appraisal rights?</w:t>
      </w:r>
    </w:p>
    <w:p w:rsidR="00A86150" w:rsidRDefault="0081777E">
      <w:pPr>
        <w:spacing w:after="0"/>
        <w:jc w:val="center"/>
        <w:divId w:val="706296883"/>
      </w:pPr>
      <w:r>
        <w:pict>
          <v:rect id="_x0000_i1146"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For a discussion of asset purchases see</w:t>
      </w:r>
      <w:r>
        <w:rPr>
          <w:rStyle w:val="apple-converted-space"/>
          <w:rFonts w:ascii="Calibri" w:hAnsi="Calibri" w:cs="Calibri"/>
          <w:color w:val="333333"/>
          <w:sz w:val="20"/>
          <w:szCs w:val="20"/>
        </w:rPr>
        <w:t> </w:t>
      </w:r>
      <w:r>
        <w:rPr>
          <w:rStyle w:val="Emphasis"/>
          <w:rFonts w:ascii="Calibri" w:hAnsi="Calibri" w:cs="Calibri"/>
          <w:color w:val="333333"/>
          <w:sz w:val="20"/>
          <w:szCs w:val="20"/>
        </w:rPr>
        <w:t>Airborne Health v. Squid Soap</w:t>
      </w:r>
      <w:r>
        <w:rPr>
          <w:rFonts w:ascii="Calibri" w:hAnsi="Calibri" w:cs="Calibri"/>
          <w:color w:val="333333"/>
          <w:sz w:val="20"/>
          <w:szCs w:val="20"/>
        </w:rPr>
        <w:t>, 984 A.2d 126 (Del. 2010).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Turner v. Bituminous Casualty Co.</w:t>
      </w:r>
      <w:r>
        <w:rPr>
          <w:rFonts w:ascii="Calibri" w:hAnsi="Calibri" w:cs="Calibri"/>
          <w:color w:val="333333"/>
          <w:sz w:val="20"/>
          <w:szCs w:val="20"/>
        </w:rPr>
        <w:t>, 244 N.W.2d 873 (Mich. 1976).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Unocal Corp. v. Mesa Petroleum</w:t>
      </w:r>
      <w:r>
        <w:rPr>
          <w:rFonts w:ascii="Calibri" w:hAnsi="Calibri" w:cs="Calibri"/>
          <w:color w:val="333333"/>
          <w:sz w:val="20"/>
          <w:szCs w:val="20"/>
        </w:rPr>
        <w:t>, 493 A.2d 946 (Del. 1985).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Revlon, Inc. v. MacAndrews &amp; Forbes Holdings, Inc.</w:t>
      </w:r>
      <w:r>
        <w:rPr>
          <w:rFonts w:ascii="Calibri" w:hAnsi="Calibri" w:cs="Calibri"/>
          <w:color w:val="333333"/>
          <w:sz w:val="20"/>
          <w:szCs w:val="20"/>
        </w:rPr>
        <w:t>, 506 A.2d 173 (Del. 1985).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Edgar v. Mite Corp.</w:t>
      </w:r>
      <w:r>
        <w:rPr>
          <w:rFonts w:ascii="Calibri" w:hAnsi="Calibri" w:cs="Calibri"/>
          <w:color w:val="333333"/>
          <w:sz w:val="20"/>
          <w:szCs w:val="20"/>
        </w:rPr>
        <w:t>, 457 U.S. 624 (1982).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CTS Corporation v. Dynamics Corporation of America</w:t>
      </w:r>
      <w:r>
        <w:rPr>
          <w:rFonts w:ascii="Calibri" w:hAnsi="Calibri" w:cs="Calibri"/>
          <w:color w:val="333333"/>
          <w:sz w:val="20"/>
          <w:szCs w:val="20"/>
        </w:rPr>
        <w:t>, 481 U.S. 69 (1987).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Amanda Acquisition Corp. v. Universal Foods Corp.</w:t>
      </w:r>
      <w:r>
        <w:rPr>
          <w:rFonts w:ascii="Calibri" w:hAnsi="Calibri" w:cs="Calibri"/>
          <w:color w:val="333333"/>
          <w:sz w:val="20"/>
          <w:szCs w:val="20"/>
        </w:rPr>
        <w:t>, 877 F.2d 496 (7th Cir. 1989).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Hariton v. Arco Electronics, Inc.</w:t>
      </w:r>
      <w:r>
        <w:rPr>
          <w:rFonts w:ascii="Calibri" w:hAnsi="Calibri" w:cs="Calibri"/>
          <w:color w:val="333333"/>
          <w:sz w:val="20"/>
          <w:szCs w:val="20"/>
        </w:rPr>
        <w:t>, 40 Del. Ch. 326; 182 A.2d 22 (Del. 1962).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M.P.M. Enterprises, Inc. v. Gilbert</w:t>
      </w:r>
      <w:r>
        <w:rPr>
          <w:rFonts w:ascii="Calibri" w:hAnsi="Calibri" w:cs="Calibri"/>
          <w:color w:val="333333"/>
          <w:sz w:val="20"/>
          <w:szCs w:val="20"/>
        </w:rPr>
        <w:t>, 731 A.2d 790 (Del. 1999).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29.2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Foreign Corporations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16"/>
        </w:numPr>
        <w:shd w:val="clear" w:color="auto" w:fill="EAE9DC"/>
        <w:tabs>
          <w:tab w:val="clear" w:pos="720"/>
          <w:tab w:val="num" w:pos="19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state-imposed conditions on the admission of foreign corporations.</w:t>
      </w:r>
    </w:p>
    <w:p w:rsidR="00A86150" w:rsidRDefault="00F714D4">
      <w:pPr>
        <w:numPr>
          <w:ilvl w:val="0"/>
          <w:numId w:val="716"/>
        </w:numPr>
        <w:shd w:val="clear" w:color="auto" w:fill="EAE9DC"/>
        <w:tabs>
          <w:tab w:val="clear" w:pos="720"/>
          <w:tab w:val="num" w:pos="19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state court jurisdiction over foreign corporations.</w:t>
      </w:r>
    </w:p>
    <w:p w:rsidR="00A86150" w:rsidRDefault="00F714D4">
      <w:pPr>
        <w:numPr>
          <w:ilvl w:val="0"/>
          <w:numId w:val="716"/>
        </w:numPr>
        <w:shd w:val="clear" w:color="auto" w:fill="EAE9DC"/>
        <w:tabs>
          <w:tab w:val="clear" w:pos="720"/>
          <w:tab w:val="num" w:pos="16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how states may tax foreign corporations.</w:t>
      </w:r>
    </w:p>
    <w:p w:rsidR="00A86150" w:rsidRDefault="00F714D4">
      <w:pPr>
        <w:numPr>
          <w:ilvl w:val="0"/>
          <w:numId w:val="716"/>
        </w:numPr>
        <w:shd w:val="clear" w:color="auto" w:fill="EAE9DC"/>
        <w:tabs>
          <w:tab w:val="clear" w:pos="720"/>
          <w:tab w:val="num" w:pos="1320"/>
        </w:tabs>
        <w:spacing w:after="0" w:line="439" w:lineRule="atLeast"/>
        <w:ind w:left="600" w:right="375"/>
        <w:textAlignment w:val="baseline"/>
        <w:rPr>
          <w:rFonts w:ascii="Calibri" w:hAnsi="Calibri" w:cs="Calibri"/>
          <w:color w:val="333333"/>
          <w:sz w:val="20"/>
          <w:szCs w:val="20"/>
          <w:lang w:val="en"/>
        </w:rPr>
      </w:pPr>
      <w:r>
        <w:rPr>
          <w:rFonts w:ascii="Calibri" w:hAnsi="Calibri" w:cs="Calibri"/>
          <w:color w:val="333333"/>
          <w:sz w:val="20"/>
          <w:szCs w:val="20"/>
          <w:lang w:val="en"/>
        </w:rPr>
        <w:t>Apply the US Constitution to foreign corporations.</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foreign corporation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company incorporated outside the state in which it is doing business. A Delaware corporation, operating in all states, is a foreign corporation in forty-nine of them.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Conditions on Admission to Do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States can impose on foreign corporations conditions on admission to do business if certain constitutional barriers are surmounted. One potential problem is the Privileges and Immunities Clause in Article IV, Section 2, of the Constitution, which provides that “citizens shall be entitled to all privileges and immunities of citizens in the several states.” The Supreme Court has interpreted this murky language to mean that states may not discriminate between their own citizens and those of other states. For example, the Court voided a tax New Hampshire imposed on out-of-state commuters on the grounds that “the tax falls exclusively on the incomes of nonresidents.”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However, corporations are uniformly held not to be citizens for purposes of this clause, so the states may impose burdens on foreign corporations that they do not put upon companies incorporated under their laws. But these burdens may only be imposed on companies that conduct intrastate business, having some level of business transactions within that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Other constitutional rights of the corporation or its members may also come into play when states attempt to license foreign corporations. Thus when Arkansas sought to revoke the license of a Missouri construction company to do business within the state, the Supreme Court held that the state had acted unconstitutionally (violating Article III, Section 2, of the US Constitution) in conditioning the license on a waiver of the right to remove a case from the state courts to the federal courts.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Typical Requirements for Foreign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Certain preconditions for doing business are common to most states. Foreign corporations are required to obtain from the secretary of state a certificate of authority to conduct business. The foreign corporation also must maintain a registered office with a registered agent who works there. The registered agent may be served with all legal process, demands, or notices required by law to be served on the corporation. Foreign corporations are generally granted every right and privilege enjoyed by domestic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requirements must be met whenever the corporation transacts business within the state. As mentioned previously, some activities do not fall within the definition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transacting business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may be carried on even if the foreign corporation has not obtained a certificate of authority. These include filing or defending a lawsuit, holding meetings of directors or shareholders, maintaining bank accounts, maintaining offices for the transfer of the company’s own securities, selling through independent contractors, soliciting orders through agents or employees (but only if the orders become binding contracts upon acceptance outside the state), creating or acquiring security interests in real or personal property, securing or collecting debts, transacting any business in interstate commerce, and “conducting an isolated transaction that is completed within 30 days and that is not one in the course of repeated transactions of a like nature” (Revised Model Business Corporation Act, Section 15.01).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Penalties for Failure to Comply with a Statute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corporation may not sue in the state courts to enforce its rights until it obtains a certificate of authority. It may defend any lawsuits brought against it, however. The state attorney general has authority to collect civil penalties that vary from state to state. Other sanctions in various states include fines and penalties on taxes owed; fines and imprisonment of corporate agents, directors, and officers; nullification of corporate contracts; and personal liability on contracts by officers and directors. In some states, contracts made by a corporation that has failed to qualify are void.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Jurisdiction over Foreign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corporations are subject to state court jurisdiction depends on the extent to which they are operating within the state. If the corporation is qualified to do business within the state and has a certificate of authority or license, then state courts have jurisdiction and process may be served on the corporation’s registered agent. If the corporation has failed to name an agent or is doing business without a certificate, the plaintiff may serve the secretary of state on the corporation’s behalf.</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Even if the corporation is not transacting enough business within the state to be required to qualify for a certificate or license, it may still be subject to suit in state courts under long-arm statutes. These laws permit state courts to exercise personal jurisdiction over a corporation that has sufficient contacts with the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major constitutional limitation on long-arm statutes is the Due Process Clause. The Supreme Court upheld the validity of long-arm statutes applied to corporations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International Shoe Co. v. Washington</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But the long-arm statute will only be constitutionally valid where there are minimum contacts—that is, for a state to exercise personal jurisdiction over a foreign corporation, the foreign corporation must have at least “minimum contacts” the state. That jurisdictional test is still applied many years after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International Shoe</w:t>
      </w:r>
      <w:r>
        <w:rPr>
          <w:rFonts w:ascii="Georgia" w:hAnsi="Georgia" w:cs="Calibri"/>
          <w:color w:val="333333"/>
          <w:sz w:val="20"/>
          <w:szCs w:val="20"/>
          <w:lang w:val="en"/>
        </w:rPr>
        <w:t>decision was handed down.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Since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International Shoe</w:t>
      </w:r>
      <w:r>
        <w:rPr>
          <w:rFonts w:ascii="Georgia" w:hAnsi="Georgia" w:cs="Calibri"/>
          <w:color w:val="333333"/>
          <w:sz w:val="20"/>
          <w:szCs w:val="20"/>
          <w:lang w:val="en"/>
        </w:rPr>
        <w:t>, the nationalization of commerce has given way to the internationalization of commerce. This change has resulted in difficult jurisdictional questions that involve conflicting policy considerations.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Taxing Authority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May states tax foreign corporations? Since a state may obviously tax its domestic corporations, the question might seem surprising. Why should a state ever be barred from taxing foreign corporations licensed to do business in the state? If the foreign corporation was engaged in purely local, intrastate business, no quarrel would arise. The constitutional difficulty is whether the tax constitutes an unreasonable burden on the company’s interstate business, in violation of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Commerce Clause</w:t>
      </w:r>
      <w:r>
        <w:rPr>
          <w:rFonts w:ascii="Georgia" w:hAnsi="Georgia" w:cs="Calibri"/>
          <w:color w:val="333333"/>
          <w:sz w:val="20"/>
          <w:szCs w:val="20"/>
          <w:lang w:val="en"/>
        </w:rPr>
        <w:t>. The basic approach, illustrated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 H. Holmes Co., Ltd. v. McNamara</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29.4.2 "Constitutional Issues Surrounding Taxation of a Foreign Corporation"</w:t>
      </w:r>
      <w:r>
        <w:rPr>
          <w:rFonts w:ascii="Georgia" w:hAnsi="Georgia" w:cs="Calibri"/>
          <w:color w:val="333333"/>
          <w:sz w:val="20"/>
          <w:szCs w:val="20"/>
          <w:lang w:val="en"/>
        </w:rPr>
        <w:t>), is that a state can impose a tax on activities for which the state gives legal protection, so long as the tax does not unreasonably burden interstate commerce.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State taxation of corporate income raises special concerns. In the absence of ground rules, a company doing business in many states could be liable for paying income tax to several different states on the basis of its total earnings. A company doing business in all fifty states, for example, would pay five times its earnings in income taxes if each state were to charge a 10 percent tax on those earnings. Obviously, such a result would seriously burden interstate commerce. The courts have long held, therefore, that the states may only tax that portion of the company’s earnings attributable to the business carried on in the state. To compute the proportion of a company’s total earnings subject to tax within the state, most states have adopted a formula based on the local percentage of the company’s total sales, property, and payroll.</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foreign corporation is a company incorporated outside of the state in which it is doing business. States can place reasonable limitations upon foreign corporations subject to constitutional requirements. A foreign corporation must do something that is sufficient to rise to the level of transacting business within a state in order to fall under the jurisdiction of that state. These transactions must meet the minimum-contacts requirement for jurisdiction under long-arm statutes. A state may tax a foreign corporation as long as it does not burden interstate commerce.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17"/>
        </w:numPr>
        <w:shd w:val="clear" w:color="auto" w:fill="E3EFF7"/>
        <w:tabs>
          <w:tab w:val="clear" w:pos="720"/>
          <w:tab w:val="num" w:pos="108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typical requirements that a corporation must meet in order to operate in a foreign state?</w:t>
      </w:r>
    </w:p>
    <w:p w:rsidR="00A86150" w:rsidRDefault="00F714D4">
      <w:pPr>
        <w:numPr>
          <w:ilvl w:val="0"/>
          <w:numId w:val="71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Provide examples of business activities that rise to the level of minimum contacts such as that a state may exercise jurisdiction over a foreign corporation.</w:t>
      </w:r>
    </w:p>
    <w:p w:rsidR="00A86150" w:rsidRDefault="00F714D4">
      <w:pPr>
        <w:numPr>
          <w:ilvl w:val="0"/>
          <w:numId w:val="71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some possible jurisdictional problems that arise from increasing globalization and from many corporations providing input for a particular product? For more information, see the</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Asahi Metal</w:t>
      </w:r>
      <w:r>
        <w:rPr>
          <w:rStyle w:val="apple-converted-space"/>
          <w:rFonts w:ascii="Calibri" w:hAnsi="Calibri" w:cs="Calibri"/>
          <w:color w:val="333333"/>
          <w:sz w:val="20"/>
          <w:szCs w:val="20"/>
          <w:lang w:val="en"/>
        </w:rPr>
        <w:t> </w:t>
      </w:r>
      <w:r>
        <w:rPr>
          <w:rFonts w:ascii="Calibri" w:hAnsi="Calibri" w:cs="Calibri"/>
          <w:color w:val="333333"/>
          <w:sz w:val="20"/>
          <w:szCs w:val="20"/>
          <w:lang w:val="en"/>
        </w:rPr>
        <w:t>and</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Pavlovich</w:t>
      </w:r>
      <w:r>
        <w:rPr>
          <w:rStyle w:val="apple-converted-space"/>
          <w:rFonts w:ascii="Calibri" w:hAnsi="Calibri" w:cs="Calibri"/>
          <w:color w:val="333333"/>
          <w:sz w:val="20"/>
          <w:szCs w:val="20"/>
          <w:lang w:val="en"/>
        </w:rPr>
        <w:t> </w:t>
      </w:r>
      <w:r>
        <w:rPr>
          <w:rFonts w:ascii="Calibri" w:hAnsi="Calibri" w:cs="Calibri"/>
          <w:color w:val="333333"/>
          <w:sz w:val="20"/>
          <w:szCs w:val="20"/>
          <w:lang w:val="en"/>
        </w:rPr>
        <w:t>court cases, cited in endnotes 13 and 14 below.</w:t>
      </w:r>
    </w:p>
    <w:p w:rsidR="00A86150" w:rsidRDefault="0081777E">
      <w:pPr>
        <w:spacing w:after="0"/>
        <w:jc w:val="center"/>
        <w:divId w:val="656760511"/>
      </w:pPr>
      <w:r>
        <w:pict>
          <v:rect id="_x0000_i1147"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Austin v. New Hampshire</w:t>
      </w:r>
      <w:r>
        <w:rPr>
          <w:rFonts w:ascii="Calibri" w:hAnsi="Calibri" w:cs="Calibri"/>
          <w:color w:val="333333"/>
          <w:sz w:val="20"/>
          <w:szCs w:val="20"/>
        </w:rPr>
        <w:t>, 420 U.S. 656 (1975).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Terral v. Burke Construction Co.</w:t>
      </w:r>
      <w:r>
        <w:rPr>
          <w:rFonts w:ascii="Calibri" w:hAnsi="Calibri" w:cs="Calibri"/>
          <w:color w:val="333333"/>
          <w:sz w:val="20"/>
          <w:szCs w:val="20"/>
        </w:rPr>
        <w:t>, 257 U.S. 529 (1922).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Shoe Co. v. Washington</w:t>
      </w:r>
      <w:r>
        <w:rPr>
          <w:rFonts w:ascii="Calibri" w:hAnsi="Calibri" w:cs="Calibri"/>
          <w:color w:val="333333"/>
          <w:sz w:val="20"/>
          <w:szCs w:val="20"/>
        </w:rPr>
        <w:t>, 326 U.S. 310 (1945).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Judas Priest v. District Court</w:t>
      </w:r>
      <w:r>
        <w:rPr>
          <w:rFonts w:ascii="Calibri" w:hAnsi="Calibri" w:cs="Calibri"/>
          <w:color w:val="333333"/>
          <w:sz w:val="20"/>
          <w:szCs w:val="20"/>
        </w:rPr>
        <w:t>, 104 Nev. 424; 760 P.2d 137 (Nev. 1988);</w:t>
      </w:r>
      <w:r>
        <w:rPr>
          <w:rStyle w:val="apple-converted-space"/>
          <w:rFonts w:ascii="Calibri" w:hAnsi="Calibri" w:cs="Calibri"/>
          <w:color w:val="333333"/>
          <w:sz w:val="20"/>
          <w:szCs w:val="20"/>
        </w:rPr>
        <w:t> </w:t>
      </w:r>
      <w:r>
        <w:rPr>
          <w:rStyle w:val="Emphasis"/>
          <w:rFonts w:ascii="Calibri" w:hAnsi="Calibri" w:cs="Calibri"/>
          <w:color w:val="333333"/>
          <w:sz w:val="20"/>
          <w:szCs w:val="20"/>
        </w:rPr>
        <w:t>Pavlovich v. Superior Court</w:t>
      </w:r>
      <w:r>
        <w:rPr>
          <w:rFonts w:ascii="Calibri" w:hAnsi="Calibri" w:cs="Calibri"/>
          <w:color w:val="333333"/>
          <w:sz w:val="20"/>
          <w:szCs w:val="20"/>
        </w:rPr>
        <w:t>, 29 Cal. 4th 262; 58 P.3d 2 (Cal. 2002).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Asahi Metal Industry v. Superior Court of California</w:t>
      </w:r>
      <w:r>
        <w:rPr>
          <w:rFonts w:ascii="Calibri" w:hAnsi="Calibri" w:cs="Calibri"/>
          <w:color w:val="333333"/>
          <w:sz w:val="20"/>
          <w:szCs w:val="20"/>
        </w:rPr>
        <w:t>, 480 U.S. 102, 107 S.Ct. 1026, 94 L. Ed. 92 (1987).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29.3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Dissolution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18"/>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Define and distinguish dissolution and liquidation.</w:t>
      </w:r>
    </w:p>
    <w:p w:rsidR="00A86150" w:rsidRDefault="00F714D4">
      <w:pPr>
        <w:numPr>
          <w:ilvl w:val="0"/>
          <w:numId w:val="718"/>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the different types of dissolution and liquidation.</w:t>
      </w:r>
    </w:p>
    <w:p w:rsidR="00A86150" w:rsidRDefault="00F714D4">
      <w:pPr>
        <w:numPr>
          <w:ilvl w:val="0"/>
          <w:numId w:val="718"/>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claims against a dissolved corporation.</w:t>
      </w:r>
    </w:p>
    <w:p w:rsidR="00A86150" w:rsidRDefault="00A86150">
      <w:pPr>
        <w:pStyle w:val="para"/>
        <w:shd w:val="clear" w:color="auto" w:fill="FFFFFF"/>
        <w:spacing w:before="0" w:beforeAutospacing="0" w:after="0" w:afterAutospacing="0" w:line="439" w:lineRule="atLeast"/>
        <w:textAlignment w:val="baseline"/>
        <w:rPr>
          <w:rStyle w:val="marginterm"/>
          <w:rFonts w:ascii="Georgia" w:hAnsi="Georgia"/>
        </w:rPr>
      </w:pPr>
    </w:p>
    <w:p w:rsidR="00A86150" w:rsidRDefault="00F714D4">
      <w:pPr>
        <w:pStyle w:val="para"/>
        <w:shd w:val="clear" w:color="auto" w:fill="FFFFFF"/>
        <w:spacing w:before="0" w:beforeAutospacing="0" w:after="240" w:afterAutospacing="0" w:line="439" w:lineRule="atLeast"/>
        <w:textAlignment w:val="baseline"/>
      </w:pPr>
      <w:r>
        <w:rPr>
          <w:rStyle w:val="marginterm"/>
          <w:rFonts w:ascii="Georgia" w:hAnsi="Georgia" w:cs="Calibri"/>
          <w:color w:val="333333"/>
          <w:sz w:val="20"/>
          <w:szCs w:val="20"/>
          <w:lang w:val="en"/>
        </w:rPr>
        <w:t>Dissolution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end of the legal existence of the corporation, basically “corporate death.” It is not the same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liquidation</w:t>
      </w:r>
      <w:r>
        <w:rPr>
          <w:rFonts w:ascii="Georgia" w:hAnsi="Georgia" w:cs="Calibri"/>
          <w:color w:val="333333"/>
          <w:sz w:val="20"/>
          <w:szCs w:val="20"/>
          <w:lang w:val="en"/>
        </w:rPr>
        <w:t>, which is the process of paying the creditors and distributing the assets. Until dissolved, a corporation endures, despite the vicissitudes of the economy or the corporation’s internal affairs. As Justice Cardozo said while serving as chief judge of the New York court of appeals: “Neither bankruptcy…nor cessation of business…nor dispersion of stockholders, nor the absence of directors…nor all combined, will avail without more to stifle the breath of juristic personality. The corporation abides as an ideal creation, impervious to the shocks of these temporal vicissitudes. Not even the sequestration of the assets at the hands of a receiver will terminate its being.”</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hyperlink r:id="rId93" w:tgtFrame="_blank" w:history="1">
        <w:r>
          <w:rPr>
            <w:rStyle w:val="Hyperlink"/>
            <w:rFonts w:ascii="Georgia" w:hAnsi="Georgia" w:cs="Calibri"/>
            <w:color w:val="2689C6"/>
            <w:sz w:val="20"/>
            <w:szCs w:val="20"/>
            <w:lang w:val="en"/>
          </w:rPr>
          <w:t>http://www.irs.gov/businesses/small/article/0,,id=98703,00.html</w:t>
        </w:r>
      </w:hyperlink>
      <w:r>
        <w:rPr>
          <w:rStyle w:val="apple-converted-space"/>
          <w:rFonts w:ascii="Georgia" w:hAnsi="Georgia" w:cs="Calibri"/>
          <w:color w:val="333333"/>
          <w:sz w:val="20"/>
          <w:szCs w:val="20"/>
          <w:lang w:val="en"/>
        </w:rPr>
        <w:t> </w:t>
      </w:r>
      <w:r>
        <w:rPr>
          <w:rFonts w:ascii="Georgia" w:hAnsi="Georgia" w:cs="Calibri"/>
          <w:color w:val="333333"/>
          <w:sz w:val="20"/>
          <w:szCs w:val="20"/>
          <w:lang w:val="en"/>
        </w:rPr>
        <w:t>for the Internal Revenue Service’s checklist of closing and dissolving a business. State and local government regulations may also apply.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Voluntary Dissolution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corporation may be dissolved with the unanimous written consent of the shareholders; this is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voluntary dissolution</w:t>
      </w:r>
      <w:r>
        <w:rPr>
          <w:rFonts w:ascii="Georgia" w:hAnsi="Georgia" w:cs="Calibri"/>
          <w:color w:val="333333"/>
          <w:sz w:val="20"/>
          <w:szCs w:val="20"/>
          <w:lang w:val="en"/>
        </w:rPr>
        <w:t>. This provision is obviously applicable primarily to closely held corporations. Dissolution can also be accomplished even if some shareholders dissent. The directors must first adopt a resolution by majority vote recommending the dissolution. The shareholders must then have an opportunity to vote on the resolution at a meeting after being notified of its purpose. A majority of the outstanding voting shares is necessary to carry the resolution. Although this procedure is most often used when a company has been inactive, nothing bars its use by large corporations. In 1979, UV Industries, 357th on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Fortune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500 list, with profits of $40 million annually, voted to dissolve and to distribute some $500 million to its stockholders, in part as a means of fending off a hostile takeover.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Fortune</w:t>
      </w:r>
      <w:r>
        <w:rPr>
          <w:rFonts w:ascii="Georgia" w:hAnsi="Georgia" w:cs="Calibri"/>
          <w:color w:val="333333"/>
          <w:sz w:val="20"/>
          <w:szCs w:val="20"/>
          <w:lang w:val="en"/>
        </w:rPr>
        <w:t>magazine referred to it as “a company that’s worth more dead than alive.”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dissolution has been approved, the corporation may dissolve by filing a certificate or articles of dissolution with the secretary of state. The certificate may be filed as the corporation begins to wind up its affairs or at any time thereafter. The process of winding up is liquidation. The company must notify all creditors of its intention to liquidate. It must collect and dispose of its assets, discharge all obligations, and distribute any remainder to its stockholders.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Involuntary Dissolution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certain cases, a corporation can face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involuntary dissolution</w:t>
      </w:r>
      <w:r>
        <w:rPr>
          <w:rFonts w:ascii="Georgia" w:hAnsi="Georgia" w:cs="Calibri"/>
          <w:color w:val="333333"/>
          <w:sz w:val="20"/>
          <w:szCs w:val="20"/>
          <w:lang w:val="en"/>
        </w:rPr>
        <w:t>. A state may bring an action to dissolve a corporation on one of five grounds: failure to file an annual report or pay taxes, fraud in procuring incorporation, exceeding or abusing authority conferred, failure for thirty days to appoint and maintain a registered agent, and failure to notify the state of a change of registered office or agent. State-specific differences exist as well. Delaware permits its attorney general to involuntarily dissolve a corporation for abuse, misuse, or nonuse of corporate powers, privileges, or franchise.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California, on the other hand, permits involuntary dissolution for abandonment of a business, board deadlocks, internal strife and deadlocked shareholders, mismanagement, fraud or abuse of authority, expiration of term of corporation, or protection of a complaining shareholder if there are fewer than thirty-five shareholders.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Fonts w:ascii="Georgia" w:hAnsi="Georgia" w:cs="Calibri"/>
          <w:color w:val="333333"/>
          <w:sz w:val="20"/>
          <w:szCs w:val="20"/>
          <w:lang w:val="en"/>
        </w:rPr>
        <w:t>California permits the initiation of involuntary dissolution by either half of the directors in office or by a third of shareholders.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Judicial Liquidation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Action by Shareholder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shareholder may file suit to have a court dissolve the company on a showing that the company is being irreparably injured because the directors are deadlocked in the management of corporate affairs and the shareholders cannot break the deadlock. Shareholders may also sue for liquidation if corporate assets are being misapplied or wasted, or if directors or those in control are acting illegally, oppressively, or fraudulently.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Claims against a Dissolved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Sections 14.06 and 14.07 of the Revised Model Business Corporation Act, a dissolved corporation must provide written notice of the dissolution to its creditors. The notice must state a deadline, which must be at least 120 days after the notice, for receipt of creditors’ claims. Claims not received by the deadline are barred. The corporation may also publish a notice of the dissolution in a local newspaper. Creditors who do not receive written notice or whose claim is not acted on have five years to file suit against the corporation. If the corporate assets have been distributed, shareholders are personally liable, although the liability may not exceed the assets received at liquidation.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Bankruptcy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an alternative to dissolution, a corporation in financial trouble may look to federal bankruptcy law for relief. A corporation may use liquidation proceedings under Chapter 7 of the Bankruptcy Reform Act or may be reorganized under Chapter 11 of the act. Both remedies are discussed in detail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35 "Bankruptcy"</w:t>
      </w:r>
      <w:r>
        <w:rPr>
          <w:rFonts w:ascii="Georgia" w:hAnsi="Georgia" w:cs="Calibri"/>
          <w:color w:val="333333"/>
          <w:sz w:val="20"/>
          <w:szCs w:val="20"/>
          <w:lang w:val="en"/>
        </w:rPr>
        <w: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Dissolution is the end of the legal existence of a corporation. It usually occurs after liquidation, which is the process of paying debts and distributing assets. There are several methods by which a corporation may be dissolved. The first is voluntary dissolution, which is an elective decision to dissolve the entity. A second is involuntary dissolution, which occurs upon the happening of statute-specific events such as a failure to pay taxes. Last, a corporation may be dissolved judicially, either by shareholder or creditor lawsuit. A dissolved corporation must provide notice to its creditors of upcoming dissolution.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1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main types of dissolution?</w:t>
      </w:r>
    </w:p>
    <w:p w:rsidR="00A86150" w:rsidRDefault="00F714D4">
      <w:pPr>
        <w:numPr>
          <w:ilvl w:val="0"/>
          <w:numId w:val="71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between dissolution and liquidation?</w:t>
      </w:r>
    </w:p>
    <w:p w:rsidR="00A86150" w:rsidRDefault="00F714D4">
      <w:pPr>
        <w:numPr>
          <w:ilvl w:val="0"/>
          <w:numId w:val="71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rights of a stockholder to move for dissolution?</w:t>
      </w:r>
    </w:p>
    <w:p w:rsidR="00A86150" w:rsidRDefault="0081777E">
      <w:pPr>
        <w:spacing w:after="0"/>
        <w:jc w:val="center"/>
        <w:divId w:val="55058507"/>
      </w:pPr>
      <w:r>
        <w:pict>
          <v:rect id="_x0000_i1148"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Petrogradsky Mejdunarodny Kommerchesky Bank v. National City Bank</w:t>
      </w:r>
      <w:r>
        <w:rPr>
          <w:rFonts w:ascii="Calibri" w:hAnsi="Calibri" w:cs="Calibri"/>
          <w:color w:val="333333"/>
          <w:sz w:val="20"/>
          <w:szCs w:val="20"/>
        </w:rPr>
        <w:t>, 170 N.E. 479, 482 (N.Y. 1930).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February 26, 1979, 42–44.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Del. Code Ann. tit. 8, § 282 (2011).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Cal. Corp. Code § 1800 et seq. (West 2011).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29.4</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Successor Liability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Ray v. Alad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19 Cal. 3d 22; 560 P2d 3; 136 Cal. Rptr. 574 (Cal. 1977)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Claiming damages for injury from a defective ladder, plaintiff asserts strict tort liability against defendant Alad Corporation (Alad II) which neither manufactured nor sold the ladder but prior to plaintiff’s injury succeeded to the business of the ladder’s manufacturer, the now dissolved “Alad Corporation” (Alad I), through a purchase of Alad I’s assets for an adequate cash consideration. Upon acquiring Alad I’s plant, equipment, inventory, trade name, and good will, Alad II continued to manufacture the same line of ladders under the “Alad” name, using the same equipment, designs, and personnel, and soliciting Alad I’s customers through the same sales representatives with no outward indication of any change in the ownership of the business. The trial court entered summary judgment for Alad II and plaintiff appeals.…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discussion of the law starts with the rule ordinarily applied to the determination of whether a corporation purchasing the principal assets of another corporation assumes the other’s liabilities. As typically formulated, the rule states that the purchaser does not assume the seller’s liabilities unless (1) there is an express or implied agreement of assumption, (2) the transaction amounts to a consolidation or merger of the two corporations, (3) the purchasing corporation is a mere continuation of the seller, or (4) the transfer of assets to the purchaser is for the fraudulent purpose of escaping liability for the seller’s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this rule were determinative of Alad II’s liability to plaintiff it would require us to affirm the summary judgment. None of the rule’s four stated grounds for imposing liability on the purchasing corporation is present here. There was no express or implied agreement to assume liability for injury from defective products previously manufactured by Alad I. Nor is there any indication or contention that the transaction was prompted by any fraudulent purpose of escaping liability for Alad I’s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respect to the second stated ground for liability, the purchase of Alad I’s assets did not amount to a consolidation or merger. This exception has been invoked where one corporation takes all of another’s assets without providing any consideration that could be made available to meet claims of the other’s creditors or where the consideration consists wholly of shares of the purchaser’s stock which are promptly distributed to the seller’s shareholders in conjunction with the seller’s liquidation. In the present case the sole consideration given for Alad I’s assets was cash in excess of $ 207,000. Of this amount Alad I was paid $ 70,000 when the assets were transferred and at the same time a promissory note was given to Alad I for almost $ 114,000. Shortly before the dissolution of Alad I the note was assigned to the Hamblys, Alad I’s principal stockholders, and thereafter the note was paid in full. The remainder of the consideration went for closing expenses or was paid to the Hamblys for consulting services and their agreement not to compete. There is no contention that this consideration was inadequate or that the cash and promissory note given to Alad I were not included in the assets available to meet claims of Alad I’s creditors at the time of dissolution. Hence the acquisition of Alad I’s assets was not in the nature of a merger or consolidation for purposes of the aforesaid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contends that the rule’s third stated ground for liability makes Alad II liable as a mere continuation of Alad I in view of Alad II’s acquisition of all Alad I’s operating assets, its use of those assets and of Alad I’s former employees to manufacture the same line of products, and its holding itself out to customers and the public as a continuation of the same enterprise. However, California decisions holding that a corporation acquiring the assets of another corporation is the latter’s mere continuation and therefore liable for its debts have imposed such liability only upon a showing of one or both of the following factual elements: (1) no adequate consideration was given for the predecessor corporation’s assets and made available for meeting the claims of its unsecured creditors; (2) one or more persons were officers, directors, or stockholders of both corporations.…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conclude that the general rule governing succession to liabilities does not require Alad II to respond to plaintiff’s claim.…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we must decide whether the policies underlying strict tort liability for defective products call for a special exception to the rule that would otherwise insulate the present defendant from plaintiff’s claim.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purpose of the rule of strict tort liability “is to insure that the costs of injuries resulting from defective products are borne by the manufacturers that put such products on the market rather than by the injured persons who are powerless to protect themselves.” However, the rule “does not rest on the analysis of the financial strength or bargaining power of the parties to the particular action. It rests, rather, on the proposition that ‘The cost of an injury and the loss of time or health may be an overwhelming misfortune to the person injured, and a needless one, for the risk of injury can be insured by the manufacturer and distributed among the public as a cost of doing business. (</w:t>
      </w:r>
      <w:r>
        <w:rPr>
          <w:rStyle w:val="Emphasis"/>
          <w:rFonts w:ascii="Georgia" w:hAnsi="Georgia" w:cs="Calibri"/>
          <w:color w:val="333333"/>
          <w:sz w:val="20"/>
          <w:szCs w:val="20"/>
        </w:rPr>
        <w:t>Escola</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Coca Cola Bottling Co</w:t>
      </w:r>
      <w:r>
        <w:rPr>
          <w:rFonts w:ascii="Georgia" w:hAnsi="Georgia" w:cs="Calibri"/>
          <w:color w:val="333333"/>
          <w:sz w:val="20"/>
          <w:szCs w:val="20"/>
        </w:rPr>
        <w:t>., 24 Cal.2d 453, 462 [150 P.2d 436] [concurring opinion]) Thus, “the paramount policy to be promoted by the rule is the protection of otherwise defenseless victims of manufacturing defects and the</w:t>
      </w:r>
      <w:r>
        <w:rPr>
          <w:rStyle w:val="Emphasis"/>
          <w:rFonts w:ascii="Georgia" w:hAnsi="Georgia" w:cs="Calibri"/>
          <w:color w:val="333333"/>
          <w:sz w:val="20"/>
          <w:szCs w:val="20"/>
        </w:rPr>
        <w:t>spreading throughout society</w:t>
      </w:r>
      <w:r>
        <w:rPr>
          <w:rStyle w:val="apple-converted-space"/>
          <w:rFonts w:ascii="Georgia" w:hAnsi="Georgia" w:cs="Calibri"/>
          <w:color w:val="333333"/>
          <w:sz w:val="20"/>
          <w:szCs w:val="20"/>
        </w:rPr>
        <w:t> </w:t>
      </w:r>
      <w:r>
        <w:rPr>
          <w:rFonts w:ascii="Georgia" w:hAnsi="Georgia" w:cs="Calibri"/>
          <w:color w:val="333333"/>
          <w:sz w:val="20"/>
          <w:szCs w:val="20"/>
        </w:rPr>
        <w:t>of the cost of compensating them.” Justification for imposing strict liability upon a</w:t>
      </w:r>
      <w:r>
        <w:rPr>
          <w:rStyle w:val="apple-converted-space"/>
          <w:rFonts w:ascii="Georgia" w:hAnsi="Georgia" w:cs="Calibri"/>
          <w:color w:val="333333"/>
          <w:sz w:val="20"/>
          <w:szCs w:val="20"/>
        </w:rPr>
        <w:t> </w:t>
      </w:r>
      <w:r>
        <w:rPr>
          <w:rStyle w:val="Emphasis"/>
          <w:rFonts w:ascii="Georgia" w:hAnsi="Georgia" w:cs="Calibri"/>
          <w:color w:val="333333"/>
          <w:sz w:val="20"/>
          <w:szCs w:val="20"/>
        </w:rPr>
        <w:t>successor</w:t>
      </w:r>
      <w:r>
        <w:rPr>
          <w:rStyle w:val="apple-converted-space"/>
          <w:rFonts w:ascii="Georgia" w:hAnsi="Georgia" w:cs="Calibri"/>
          <w:color w:val="333333"/>
          <w:sz w:val="20"/>
          <w:szCs w:val="20"/>
        </w:rPr>
        <w:t> </w:t>
      </w:r>
      <w:r>
        <w:rPr>
          <w:rFonts w:ascii="Georgia" w:hAnsi="Georgia" w:cs="Calibri"/>
          <w:color w:val="333333"/>
          <w:sz w:val="20"/>
          <w:szCs w:val="20"/>
        </w:rPr>
        <w:t>to a manufacturer under the circumstances here presented rests upon (1) the virtual destruction of the plaintiff’s remedies against the original manufacturer caused by the successor’s acquisition of the business, (2) the successor’s ability to assume the original manufacturer’s risk-spreading role, and (3) the fairness of requiring the successor to assume a responsibility for defective products that was a burden necessarily attached to the original manufacturer’s good will being enjoyed by the successor in the continued operation of the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conclude that a party which acquires a manufacturing business and continues the output of its line of products under the circumstances here presented assumes strict tort liability for defects in units of the same product line previously manufactured and distributed by the entity from which the business was acquired.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general rule regarding successor liability?</w:t>
      </w:r>
    </w:p>
    <w:p w:rsidR="00A86150" w:rsidRDefault="00F714D4">
      <w:pPr>
        <w:numPr>
          <w:ilvl w:val="0"/>
          <w:numId w:val="7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w:t>
      </w:r>
      <w:r>
        <w:rPr>
          <w:rStyle w:val="apple-converted-space"/>
          <w:rFonts w:ascii="Calibri" w:hAnsi="Calibri" w:cs="Calibri"/>
          <w:color w:val="333333"/>
          <w:sz w:val="20"/>
          <w:szCs w:val="20"/>
        </w:rPr>
        <w:t> </w:t>
      </w:r>
      <w:r>
        <w:rPr>
          <w:rStyle w:val="Emphasis"/>
          <w:rFonts w:ascii="Calibri" w:hAnsi="Calibri" w:cs="Calibri"/>
          <w:color w:val="333333"/>
          <w:sz w:val="20"/>
          <w:szCs w:val="20"/>
        </w:rPr>
        <w:t>Ray</w:t>
      </w:r>
      <w:r>
        <w:rPr>
          <w:rStyle w:val="apple-converted-space"/>
          <w:rFonts w:ascii="Calibri" w:hAnsi="Calibri" w:cs="Calibri"/>
          <w:color w:val="333333"/>
          <w:sz w:val="20"/>
          <w:szCs w:val="20"/>
        </w:rPr>
        <w:t> </w:t>
      </w:r>
      <w:r>
        <w:rPr>
          <w:rFonts w:ascii="Calibri" w:hAnsi="Calibri" w:cs="Calibri"/>
          <w:color w:val="333333"/>
          <w:sz w:val="20"/>
          <w:szCs w:val="20"/>
        </w:rPr>
        <w:t>court deviate from this general rule?</w:t>
      </w:r>
    </w:p>
    <w:p w:rsidR="00A86150" w:rsidRDefault="00F714D4">
      <w:pPr>
        <w:numPr>
          <w:ilvl w:val="0"/>
          <w:numId w:val="7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court’s rationale for this deviation?</w:t>
      </w:r>
    </w:p>
    <w:p w:rsidR="00A86150" w:rsidRDefault="00F714D4">
      <w:pPr>
        <w:numPr>
          <w:ilvl w:val="0"/>
          <w:numId w:val="7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possible consequences for corporations considering expansion?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Constitutional Issues Surrounding Taxation of a Foreign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 H. Holmes Co. Ltd. V. McNamara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486 U.S. 24; 108 S.Ct. 1619, 100 L. Ed. 2d 21 (1988)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 D. H. Holmes Company, Ltd., is a Louisiana corporation with its principal place of business and registered office in New Orleans. Holmes owns and operates 13 department stores in various locations throughout Louisiana that employ about 5,000 workers. It has approximately 500,000 credit card customers and an estimated 1,000,000 other customers within the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1979–1981, Holmes contracted with several New York companies for the design and printing of merchandise catalogs. The catalogs were designed in New York, but were actually printed in Atlanta, Boston, and Oklahoma City. From these locations, 82% of the catalogs were directly mailed to residents of Louisiana; the remainder of the catalogs was mailed to customers in Alabama, Mississippi, and Florida, or was sent to Holmes for distribution at its flagship store on Canal Street in New Orleans. The catalogs were shipped free of charge to the addressee, and their entire cost (about $ 2 million for the 3-year period), including mailing, was borne by Holmes. Holmes did not, however, pay any sales tax where the catalogs were designed or printed.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merchandise catalogs were mailed to selected customers, they contained instructions to the postal carrier to leave them with the current resident if the addressee had moved, and to return undeliverable catalogs to Holmes’ Canal Street store. Holmes freely concedes that the purpose of the catalogs was to promote sales at its stores and to instill name recognition in future buyers. The catalogs included inserts which could be used to order Holmes’ products by mail.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Louisiana Department of Revenue and Taxation, of which appellee is the current Secretary, conducted an audit of Holmes’ tax returns for 1979–1981 and determined that it was liable for delinquent use taxes on the value of the catalogs. The Department of Revenue and Taxation assessed the use tax pursuant to La. Rev. Stat. Ann. §§ 47:302 and 47:321 (West 1970 and Supp. 1988), which are set forth in the margin. Together, §§ 47:302(A)(2) and 47:321(A)(2) impose a use tax of 3% on all tangible personal property used in Louisiana. “Use,” as defined elsewhere in the statute, is the exercise of any right or power over tangible personal property incident to ownership, and includes consumption, distribution, and storage. The use tax is designed to compensate the State for sales tax that is lost when goods are purchased out-of-state and brought for use into Louisiana, and is calculated on the retail price the property would have brought when imported.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Holmes refused to pay the use tax assessed against it, the State filed suit in Louisiana Civil District Court to collect the tax. [The lower courts held for the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Commerce Clause of the Constitution, Art. I, § 8, cl. 3, provides that Congress shall have the power “to regulate Commerce with foreign Nations, and among the several States, and with the Indian Tribes.” Even where Congress has not acted affirmatively to protect interstate commerce, the Clause prevents States from discriminating against that commerce. The “distinction between the power of the State to shelter its people from menaces to their health or safety and from fraud, even when those dangers emanate from interstate commerce, and its lack of power to retard, burden or constrict the flow of such commerce for their economic advantage, is one deeply rooted in both our history and our law.”</w:t>
      </w:r>
      <w:r>
        <w:rPr>
          <w:rStyle w:val="apple-converted-space"/>
          <w:rFonts w:ascii="Georgia" w:hAnsi="Georgia" w:cs="Calibri"/>
          <w:color w:val="333333"/>
          <w:sz w:val="20"/>
          <w:szCs w:val="20"/>
        </w:rPr>
        <w:t> </w:t>
      </w:r>
      <w:r>
        <w:rPr>
          <w:rStyle w:val="Emphasis"/>
          <w:rFonts w:ascii="Georgia" w:hAnsi="Georgia" w:cs="Calibri"/>
          <w:color w:val="333333"/>
          <w:sz w:val="20"/>
          <w:szCs w:val="20"/>
        </w:rPr>
        <w:t>H. P. Hood &amp; Sons v. Du Mond, 336 U.S. 525, 533, 93 L. Ed. 865, 69 S.Ct. 657 (1949).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frequent source of conflict of this kind occurs when a State seeks to tax the sale or use of goods within its borders. This recurring dilemma is exemplified in what has come to be the leading case in the area.</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 Transit, Inc. v. Brady, 430 U.S. 274, 51 L. Ed. 2d 326, 97 S.Ct. 1076 (1977).</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w:t>
      </w:r>
      <w:r>
        <w:rPr>
          <w:rFonts w:ascii="Georgia" w:hAnsi="Georgia" w:cs="Calibri"/>
          <w:color w:val="333333"/>
          <w:sz w:val="20"/>
          <w:szCs w:val="20"/>
        </w:rPr>
        <w:t>, Mississippi imposed a tax on appellant’s business of in-state transportation of motor vehicles manufactured outside the State. We found that the State’s tax did not violate the Commerce Clause, because appellant’s activity had a substantial nexus with Mississippi, and the tax was fairly apportioned, did not discriminate against interstate commerce, and was fairly related to benefits provided by the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Complete Auto</w:t>
      </w:r>
      <w:r>
        <w:rPr>
          <w:rStyle w:val="apple-converted-space"/>
          <w:rFonts w:ascii="Georgia" w:hAnsi="Georgia" w:cs="Calibri"/>
          <w:color w:val="333333"/>
          <w:sz w:val="20"/>
          <w:szCs w:val="20"/>
        </w:rPr>
        <w:t> </w:t>
      </w:r>
      <w:r>
        <w:rPr>
          <w:rFonts w:ascii="Georgia" w:hAnsi="Georgia" w:cs="Calibri"/>
          <w:color w:val="333333"/>
          <w:sz w:val="20"/>
          <w:szCs w:val="20"/>
        </w:rPr>
        <w:t>abandoned the abstract notion that interstate commerce “itself” cannot be taxed by the States. We recognized that, with certain restrictions, interstate commerce may be required to pay its fair share of state taxes. Accordingly, in the present case, it really makes little difference for Commerce Clause purposes whether Holmes’ catalogs “came to rest” in the mailboxes of its Louisiana customers or whether they were still considered in the stream of interstate commerce.…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before us, then, the application of Louisiana’s use tax to Holmes’ catalogs does not violate the Commerce Clause if the tax complies with the four prongs of</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w:t>
      </w:r>
      <w:r>
        <w:rPr>
          <w:rFonts w:ascii="Georgia" w:hAnsi="Georgia" w:cs="Calibri"/>
          <w:color w:val="333333"/>
          <w:sz w:val="20"/>
          <w:szCs w:val="20"/>
        </w:rPr>
        <w:t>. We have no doubt that the second and third elements of the test are satisfied. The Louisiana taxing scheme is fairly apportioned, for it provides a credit against its use tax for sales taxes that have been paid in other States. Holmes paid no sales tax for the catalogs where they were designed or printed; if it had, it would have been eligible for a credit against the use tax exacted. Similarly, Louisiana imposed its use tax only on the 82% of the catalogs distributed in-state; it did not attempt to tax that portion of the catalogs that went to out-of-state customers.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Louisiana tax structure likewise does not discriminate against interstate commerce. The use tax is designed to compensate the State for revenue lost when residents purchase out-of-state goods for use within the State. It is equal to the sales tax applicable to the same tangible personal property purchased in-state; in fact, both taxes are set forth in the same sections of the Louisiana statutes.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Complete Auto</w:t>
      </w:r>
      <w:r>
        <w:rPr>
          <w:rStyle w:val="apple-converted-space"/>
          <w:rFonts w:ascii="Georgia" w:hAnsi="Georgia" w:cs="Calibri"/>
          <w:color w:val="333333"/>
          <w:sz w:val="20"/>
          <w:szCs w:val="20"/>
        </w:rPr>
        <w:t> </w:t>
      </w:r>
      <w:r>
        <w:rPr>
          <w:rFonts w:ascii="Georgia" w:hAnsi="Georgia" w:cs="Calibri"/>
          <w:color w:val="333333"/>
          <w:sz w:val="20"/>
          <w:szCs w:val="20"/>
        </w:rPr>
        <w:t>requires that the tax be fairly related to benefits provided by the State, but that condition is also met here. Louisiana provides a number of services that facilitate Holmes’ sale of merchandise within the State: It provides fire and police protection for Holmes’ stores, runs mass transit and maintains public roads which benefit Holmes’ customers, and supplies a number of other civic services from which Holmes profits. To be sure, many others in the State benefit from the same services; but that does not alter the fact that the use tax paid by Holmes, on catalogs designed to increase sales, is related to the advantages provided by the State which aid Holmes’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believe that Holmes’ distribution of its catalogs reflects a substantial nexus with Louisiana. To begin with, Holmes’ contention that it lacked sufficient control over the catalogs’ distribution in Louisiana to be subject to the use tax verges on the nonsensical. Holmes ordered and paid for the catalogs and supplied the list of customers to whom the catalogs were sent; any catalogs that could not be delivered were returned to it. Holmes admits that it initiated the distribution to improve its sales and name recognition among Louisiana residents. Holmes also has a significant presence in Louisiana, with 13 stores and over $100 million in annual sales in the State. The distribution of catalogs to approximately 400,000 Louisiana customers was directly aimed at expanding and enhancing its Louisiana business. There is “nexus” aplenty here. [Judgment affirmed.]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main constitutional issue in this case?</w:t>
      </w:r>
    </w:p>
    <w:p w:rsidR="00A86150" w:rsidRDefault="00F714D4">
      <w:pPr>
        <w:numPr>
          <w:ilvl w:val="0"/>
          <w:numId w:val="7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four prongs to test whether a tax violates the Constitution, as laid out in</w:t>
      </w:r>
      <w:r>
        <w:rPr>
          <w:rStyle w:val="apple-converted-space"/>
          <w:rFonts w:ascii="Calibri" w:hAnsi="Calibri" w:cs="Calibri"/>
          <w:color w:val="333333"/>
          <w:sz w:val="20"/>
          <w:szCs w:val="20"/>
        </w:rPr>
        <w:t> </w:t>
      </w:r>
      <w:r>
        <w:rPr>
          <w:rStyle w:val="Emphasis"/>
          <w:rFonts w:ascii="Calibri" w:hAnsi="Calibri" w:cs="Calibri"/>
          <w:color w:val="333333"/>
          <w:sz w:val="20"/>
          <w:szCs w:val="20"/>
        </w:rPr>
        <w:t>Complete Auto?</w:t>
      </w:r>
    </w:p>
    <w:p w:rsidR="00A86150" w:rsidRDefault="00F714D4">
      <w:pPr>
        <w:numPr>
          <w:ilvl w:val="0"/>
          <w:numId w:val="7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this case hold for the proposition that a state may levy any tax upon a foreign corporation?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29.5</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the normal operations of business, a corporation can expand in one of four ways: (1) purchase of assets, (2) merger, (3) consolidation, and (4) purchase of another corporation’s stock.</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purchase of assets occurs when one corporation purchases some or all of the assets of another corporation. When assets are purchased, the purchasing corporation is not generally liable for the debts of the corporation whose assets were sold. There are several generally recognized exceptions, such as when the asset purchase is fraudulent or to avoid creditors. Some states have added additional exceptions, such as in cases involving products liability.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merger, the acquired company is absorbed into the acquiring company and goes out of business. The acquiring corporation assumes the other company’s debts. Unless the articles of incorporation say otherwise, a majority of directors and shareholders of both corporations must approve the merger. There are two main types of merger: a cash merger and a noncash merger. A consolidation is virtually the same as a merger, except that the resulting entity is a new corporation.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may take over another company by purchasing a controlling interest of its stock, commonly referred to as a takeover. This is accomplished by appealing directly to the target company’s shareholders. In the case of a large publicly held corporation, the appeal is known as a tender offer, which is not an offer but an invitation to shareholders to tender their stock at a stated price. A leveraged buyout involves using the target corporation’s assets as security for a loan used to purchase the target.</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shareholder has the right to fair value for his stock if he dissents from a plan to merge, consolidate, or sell all or substantially all of the corporate assets, referred to as appraisal rights. If there is disagreement over the value, the shareholder has the right to a court appraisal. When one company acquires 90 percent of the stock of another, it may merge with the target through a short-form merger, which eliminates the requirement of consent of shareholders and the target company’s board.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federal regulations are implicated in corporate expansion, particularly the Williams Act. States may impose conditions on admission of a foreign corporation to do business of a purely local nature but not if its business is exclusively interstate in character, which would violate the Commerce Clause. Among the requirements are obtaining a certificate of authority from the secretary of state and maintaining a registered office with a registered agent. But certain activities do not constitute doing business, such as filing lawsuits and collecting debts, and may be carried on even if the corporation is not licensed to do business in a state. Under long-arm statutes, state courts have jurisdiction over foreign corporations as long as the corporations have minimum contacts in the state. States may also tax corporate activities as long as the tax does not unduly burden interstate commerce.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Dissolution is the legal termination of a corporation’s existence, as distinguished from liquidation, the process of paying debts and distributing assets. A corporation may be dissolved by shareholders if they unanimously agree in writing, or by majority vote of the directors and shareholders. A corporation may also be dissolved involuntarily on one of five grounds, including failure to file an annual report or to pay taxes. Shareholders may sue for judicial liquidation on a showing that corporate assets are being wasted or directors or officers are acting illegally or fraudulently.</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7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Preston Corporation sold all of its assets to Adam Corporation in exchange for Adam stock. Preston then distributed the stock to its shareholders, without paying a debt of $150,000 owed to a major supplier, Corey. Corey, upon discovery that Preston is now an empty shell, attempts to recover the debt from Adam. What is the result? Why?</w:t>
      </w:r>
    </w:p>
    <w:p w:rsidR="00A86150" w:rsidRDefault="00F714D4">
      <w:pPr>
        <w:numPr>
          <w:ilvl w:val="0"/>
          <w:numId w:val="72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1 be different if Adam and Preston had merged? Why?</w:t>
      </w:r>
    </w:p>
    <w:p w:rsidR="00A86150" w:rsidRDefault="00F714D4">
      <w:pPr>
        <w:numPr>
          <w:ilvl w:val="0"/>
          <w:numId w:val="7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1 be different if Gorey had a products-liability claim against Preston? Why? What measures might you suggest to Adam to prevent potential losses from such claims?</w:t>
      </w:r>
    </w:p>
    <w:p w:rsidR="00A86150" w:rsidRDefault="00F714D4">
      <w:pPr>
        <w:numPr>
          <w:ilvl w:val="0"/>
          <w:numId w:val="7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assuming that Preston and Adam had merged, what are the rights of Graham, a shareholder who opposed the merger? Explain the procedure for enforcing his rights.</w:t>
      </w:r>
    </w:p>
    <w:p w:rsidR="00A86150" w:rsidRDefault="00F714D4">
      <w:pPr>
        <w:numPr>
          <w:ilvl w:val="0"/>
          <w:numId w:val="7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bus driver from Massachusetts was injured when his seat collapsed while he was driving his bus through Maine. He brought suit in Massachusetts against the Ohio corporation that manufactured the seat. The Ohio corporation did not have an office in Massachusetts but occasionally sent a sales representative there and delivered parts to the state. Assuming that process was served on the company at its Ohio office, would a Massachusetts court have jurisdiction over the Ohio corporation? Why?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723"/>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merger, the acquired company</w:t>
      </w:r>
    </w:p>
    <w:p w:rsidR="00A86150" w:rsidRDefault="00F714D4">
      <w:pPr>
        <w:pStyle w:val="ListParagraph"/>
        <w:numPr>
          <w:ilvl w:val="0"/>
          <w:numId w:val="7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goes out of existence</w:t>
      </w:r>
    </w:p>
    <w:p w:rsidR="00A86150" w:rsidRDefault="00F714D4">
      <w:pPr>
        <w:pStyle w:val="ListParagraph"/>
        <w:numPr>
          <w:ilvl w:val="0"/>
          <w:numId w:val="7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stays in existence</w:t>
      </w:r>
    </w:p>
    <w:p w:rsidR="00A86150" w:rsidRDefault="00F714D4">
      <w:pPr>
        <w:pStyle w:val="ListParagraph"/>
        <w:numPr>
          <w:ilvl w:val="0"/>
          <w:numId w:val="7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consolidated into a new corporation</w:t>
      </w:r>
    </w:p>
    <w:p w:rsidR="00A86150" w:rsidRDefault="00F714D4">
      <w:pPr>
        <w:pStyle w:val="ListParagraph"/>
        <w:numPr>
          <w:ilvl w:val="0"/>
          <w:numId w:val="7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does none of the above</w:t>
      </w:r>
    </w:p>
    <w:p w:rsidR="00A86150" w:rsidRDefault="00F714D4">
      <w:pPr>
        <w:pStyle w:val="para"/>
        <w:numPr>
          <w:ilvl w:val="0"/>
          <w:numId w:val="7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 by an acquiring company to buy shareholders’ stock at a stipulated price is called</w:t>
      </w:r>
    </w:p>
    <w:p w:rsidR="00A86150" w:rsidRDefault="00F714D4">
      <w:pPr>
        <w:pStyle w:val="ListParagraph"/>
        <w:numPr>
          <w:ilvl w:val="0"/>
          <w:numId w:val="72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appraisal</w:t>
      </w:r>
    </w:p>
    <w:p w:rsidR="00A86150" w:rsidRDefault="00F714D4">
      <w:pPr>
        <w:pStyle w:val="ListParagraph"/>
        <w:numPr>
          <w:ilvl w:val="0"/>
          <w:numId w:val="72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short-form merger</w:t>
      </w:r>
    </w:p>
    <w:p w:rsidR="00A86150" w:rsidRDefault="00F714D4">
      <w:pPr>
        <w:pStyle w:val="ListParagraph"/>
        <w:numPr>
          <w:ilvl w:val="0"/>
          <w:numId w:val="72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tender offer</w:t>
      </w:r>
    </w:p>
    <w:p w:rsidR="00A86150" w:rsidRDefault="00F714D4">
      <w:pPr>
        <w:pStyle w:val="ListParagraph"/>
        <w:numPr>
          <w:ilvl w:val="0"/>
          <w:numId w:val="72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7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legal termination of a corporation’s existence is called</w:t>
      </w:r>
    </w:p>
    <w:p w:rsidR="00A86150" w:rsidRDefault="00F714D4">
      <w:pPr>
        <w:pStyle w:val="ListParagraph"/>
        <w:numPr>
          <w:ilvl w:val="0"/>
          <w:numId w:val="7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liquidation</w:t>
      </w:r>
    </w:p>
    <w:p w:rsidR="00A86150" w:rsidRDefault="00F714D4">
      <w:pPr>
        <w:pStyle w:val="ListParagraph"/>
        <w:numPr>
          <w:ilvl w:val="0"/>
          <w:numId w:val="7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bankruptcy</w:t>
      </w:r>
    </w:p>
    <w:p w:rsidR="00A86150" w:rsidRDefault="00F714D4">
      <w:pPr>
        <w:pStyle w:val="ListParagraph"/>
        <w:numPr>
          <w:ilvl w:val="0"/>
          <w:numId w:val="7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extinguishment</w:t>
      </w:r>
    </w:p>
    <w:p w:rsidR="00A86150" w:rsidRDefault="00F714D4">
      <w:pPr>
        <w:pStyle w:val="ListParagraph"/>
        <w:numPr>
          <w:ilvl w:val="0"/>
          <w:numId w:val="7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dissolution</w:t>
      </w:r>
    </w:p>
    <w:p w:rsidR="00A86150" w:rsidRDefault="00F714D4">
      <w:pPr>
        <w:pStyle w:val="para"/>
        <w:numPr>
          <w:ilvl w:val="0"/>
          <w:numId w:val="7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most important constitutional provision relating to a state’s ability to tax foreign corporations is</w:t>
      </w:r>
    </w:p>
    <w:p w:rsidR="00A86150" w:rsidRDefault="00F714D4">
      <w:pPr>
        <w:pStyle w:val="ListParagraph"/>
        <w:numPr>
          <w:ilvl w:val="0"/>
          <w:numId w:val="7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Commerce Clause</w:t>
      </w:r>
    </w:p>
    <w:p w:rsidR="00A86150" w:rsidRDefault="00F714D4">
      <w:pPr>
        <w:pStyle w:val="ListParagraph"/>
        <w:numPr>
          <w:ilvl w:val="0"/>
          <w:numId w:val="7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First Amendment</w:t>
      </w:r>
    </w:p>
    <w:p w:rsidR="00A86150" w:rsidRDefault="00F714D4">
      <w:pPr>
        <w:pStyle w:val="ListParagraph"/>
        <w:numPr>
          <w:ilvl w:val="0"/>
          <w:numId w:val="7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Due Process Clause</w:t>
      </w:r>
    </w:p>
    <w:p w:rsidR="00A86150" w:rsidRDefault="00F714D4">
      <w:pPr>
        <w:pStyle w:val="ListParagraph"/>
        <w:numPr>
          <w:ilvl w:val="0"/>
          <w:numId w:val="7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Privileges and Immunities Clause</w:t>
      </w:r>
    </w:p>
    <w:p w:rsidR="00A86150" w:rsidRDefault="00F714D4">
      <w:pPr>
        <w:pStyle w:val="para"/>
        <w:numPr>
          <w:ilvl w:val="0"/>
          <w:numId w:val="7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act that is considered to be a corporation’s “transacting business” in a state is</w:t>
      </w:r>
    </w:p>
    <w:p w:rsidR="00A86150" w:rsidRDefault="00F714D4">
      <w:pPr>
        <w:pStyle w:val="ListParagraph"/>
        <w:numPr>
          <w:ilvl w:val="0"/>
          <w:numId w:val="7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collecting debts</w:t>
      </w:r>
    </w:p>
    <w:p w:rsidR="00A86150" w:rsidRDefault="00F714D4">
      <w:pPr>
        <w:pStyle w:val="ListParagraph"/>
        <w:numPr>
          <w:ilvl w:val="0"/>
          <w:numId w:val="7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holding directors’ meetings</w:t>
      </w:r>
    </w:p>
    <w:p w:rsidR="00A86150" w:rsidRDefault="00F714D4">
      <w:pPr>
        <w:pStyle w:val="ListParagraph"/>
        <w:numPr>
          <w:ilvl w:val="0"/>
          <w:numId w:val="7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filing lawsuits</w:t>
      </w:r>
    </w:p>
    <w:p w:rsidR="00A86150" w:rsidRDefault="00F714D4">
      <w:pPr>
        <w:pStyle w:val="ListParagraph"/>
        <w:numPr>
          <w:ilvl w:val="0"/>
          <w:numId w:val="7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7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7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7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7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30</w:t>
      </w:r>
    </w:p>
    <w:p w:rsidR="00A86150" w:rsidRDefault="0081777E">
      <w:pPr>
        <w:pStyle w:val="Heading1"/>
        <w:shd w:val="clear" w:color="auto" w:fill="FFFFFF"/>
        <w:spacing w:before="0" w:line="240" w:lineRule="atLeast"/>
        <w:jc w:val="center"/>
        <w:textAlignment w:val="baseline"/>
      </w:pPr>
      <w:r>
        <w:pict>
          <v:rect id="_x0000_i1149"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Employment Law</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734"/>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How common-law employment at will is modified by common-law doctrine, federal statutes, and state statutes</w:t>
      </w:r>
    </w:p>
    <w:p w:rsidR="00A86150" w:rsidRDefault="00F714D4">
      <w:pPr>
        <w:numPr>
          <w:ilvl w:val="0"/>
          <w:numId w:val="734"/>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Various kinds of prohibited discrimination under Title VII and examples of each kind</w:t>
      </w:r>
    </w:p>
    <w:p w:rsidR="00A86150" w:rsidRDefault="00F714D4">
      <w:pPr>
        <w:numPr>
          <w:ilvl w:val="0"/>
          <w:numId w:val="734"/>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various other protections for employees imposed by federal statute, including the Age Discrimination in Employment Act (ADEA) and the Americans with Disabilities Act (ADA)</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next chapter, we will examine the laws that govern the relationship between the employer and the employee who belongs, or wants to belong, to a union. Although federal labor law is confined to that relationship, laws dealing with the employment relationship—both state and federal—are far broader than that. Because most employees do not belong to unions, a host of laws dealing with the many faces of discrimination shapes employers’ power over and duties to their employees. Beyond the issue of discrimination, the law also governs a number of other issues, such as the extent to which an employer may terminate the relationship itself. We examine these issues later in this chapter.</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Even before statutes governing collective bargaining and various state and federal discrimination laws, the common law set the boundaries for employer-employee relationships. The basic rule that evolved prior to the twentieth century was “employment at will.” We will look at employment at will toward the end of this chapter. But as we go through the key statutes on employment law and employment discrimination, bear in mind that these statutes stand as an important set of exceptions to the basic common-law rule of </w:t>
      </w:r>
      <w:r>
        <w:rPr>
          <w:rStyle w:val="marginterm"/>
          <w:rFonts w:ascii="Georgia" w:hAnsi="Georgia"/>
          <w:color w:val="333333"/>
          <w:sz w:val="20"/>
          <w:szCs w:val="20"/>
        </w:rPr>
        <w:t>employment at will</w:t>
      </w:r>
      <w:r>
        <w:rPr>
          <w:rFonts w:ascii="Georgia" w:hAnsi="Georgia"/>
          <w:color w:val="333333"/>
          <w:sz w:val="21"/>
          <w:szCs w:val="21"/>
        </w:rPr>
        <w:t>. That rule holds that in the absence of a contractual agreement otherwise, an employee is free to leave employment at any time and for any reason; similarly, an employer is free to fire employees at any time and for any reason.</w:t>
      </w:r>
    </w:p>
    <w:p w:rsidR="00A86150" w:rsidRDefault="00F714D4">
      <w:pPr>
        <w:spacing w:after="240"/>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30.1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Federal Employment Discrimination Laws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0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35"/>
        </w:numPr>
        <w:shd w:val="clear" w:color="auto" w:fill="EAE9DC"/>
        <w:tabs>
          <w:tab w:val="clear" w:pos="720"/>
          <w:tab w:val="num" w:pos="162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various federal discrimination laws and how they are applied in various cases.</w:t>
      </w:r>
    </w:p>
    <w:p w:rsidR="00A86150" w:rsidRDefault="00F714D4">
      <w:pPr>
        <w:numPr>
          <w:ilvl w:val="0"/>
          <w:numId w:val="735"/>
        </w:numPr>
        <w:shd w:val="clear" w:color="auto" w:fill="EAE9DC"/>
        <w:tabs>
          <w:tab w:val="clear" w:pos="720"/>
          <w:tab w:val="num" w:pos="162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Distinguish between disparate impact and disparate treatment cases.</w:t>
      </w:r>
    </w:p>
    <w:p w:rsidR="00A86150" w:rsidRDefault="00F714D4">
      <w:pPr>
        <w:numPr>
          <w:ilvl w:val="0"/>
          <w:numId w:val="735"/>
        </w:numPr>
        <w:shd w:val="clear" w:color="auto" w:fill="EAE9DC"/>
        <w:tabs>
          <w:tab w:val="clear" w:pos="720"/>
          <w:tab w:val="num" w:pos="132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concept of affirmative action and its limits in employment law.</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we look at federal</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employment discrimination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laws, bear in mind that most states also have laws that prohibit various kinds of discriminatory practices in employment. Until the 1960s, Congress had intruded but little in the affairs of employers except in union relationships. A company could refuse to hire members of racial minorities, exclude women from promotions, or pay men more than women for the same work. But with the rise of the civil rights movement in the early 1960s, Congress (and many states) began to legislate away the employer’s frequently exercised power to discriminate. The most important statutes are Title VII of the Civil Rights Act of 1964, the Equal Pay Act of 1963, the Age Discrimination in Employment Act of 1967, and the Americans with Disabilities Act of 1990.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Title VII of the Civil Rights Act of 1964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most basic antidiscrimination law in employment is in Title VII of the federal Civil Rights Act of 1964. The key prohibited discrimination is that based on race, but Congress also included sex, religion, national origin, and color as prohibited bases for hiring, promotion, layoff, and discharge decisions. To put the Civil Rights Act in its proper context, a short history of racial discrimination in the United States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passage of the Civil Rights Act of 1964 was the culmination of a long history that dated back to slavery, the founding of the US legal system, the Civil War, and many historical and political developments over the ninety-nine years from the end of the Civil War to the passage of the act. The years prior to 1964 had seen a remarkable rise of civil disobedience, led by many in the civil rights movement but most prominently by Dr. Martin Luther King Jr. Peaceful civil disobedience was sometimes met with violence, and television cameras were there to record most of 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While the Civil War had addressed slavery and the secession of Southern states, the Thirteenth, Fourteenth, and Fifteenth Amendments, ratified just after the war, provided for equal protection under the law, guaranteed citizenship, and protected the right to vote for African Americans. The amendments also allowed Congress to enforce these provisions by enacting appropriate, specific legislation.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during the Reconstruction Era, many of the Southern states resisted the laws that were passed in Washington, DC, to bolster civil rights. To a significant extent, decisions rendered by the US Supreme Court in this era—such as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Plessy v. Ferguson</w:t>
      </w:r>
      <w:r>
        <w:rPr>
          <w:rFonts w:ascii="Georgia" w:hAnsi="Georgia" w:cs="Calibri"/>
          <w:color w:val="333333"/>
          <w:sz w:val="20"/>
          <w:szCs w:val="20"/>
          <w:lang w:val="en"/>
        </w:rPr>
        <w:t>, condoning “separate but equal” facilities for different races—restricted the utility of these new federal laws. The states effectively controlled the public treatment of African Americans, and a period of neglect set in that lasted until after World War II. The state laws essentially mandated segregated facilities (restaurants, hotels, schools, water fountains, public bathrooms) that were usually inferior for blacks.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Along with these Jim Crow laws in the South, the Ku Klux Klan was very strong, and lynchings (hangings without any sort of public due process) by the Klan and others were designed to limit the civil and economic rights of the former slaves. The hatred of blacks from that era by many whites in America has only gradually softened since 1964. Even as the civil rights bill was being debated in Congress in 1964, some Young Americans for Freedom in the right wing of the GOP would clandestinely chant “Be a man, join the Klan” and sing “We will hang Earl Warren from a sour apple tree,” to the tune of “Battle Hymn of the Republic,” in anger over the Chief Justice’s presiding over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Brown v. Board of Education</w:t>
      </w:r>
      <w:r>
        <w:rPr>
          <w:rFonts w:ascii="Georgia" w:hAnsi="Georgia" w:cs="Calibri"/>
          <w:color w:val="333333"/>
          <w:sz w:val="20"/>
          <w:szCs w:val="20"/>
          <w:lang w:val="en"/>
        </w:rPr>
        <w:t>, which reversed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Plessy v. Ferguson</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just a few years earlier, the public service and heroism of many black military units and individuals in World War II had created a perceptual shift in US society; men of many races who had served together in the war against the Axis powers (fascism in Europe and the Japanese emperor’s rule in the Pacific) began to understand their common humanity. Major migrations of blacks from the South to industrial cities of the North also gave impetus to the civil rights movement.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Bills introduced in Congress regarding employment policy brought the issue of civil rights to the attention of representatives and senators. In 1945, 1947, and 1949, the House of Representatives voted to abolish the poll tax. The poll tax was a method used in many states to confine voting rights to those who could pay a tax, and often, blacks could not. The Senate did not go along, but these bills signaled a growing interest in protecting civil rights through federal action. The executive branch of government, by presidential order, likewise became active by ending discrimination in the nation’s military forces and in federal employment and work done under government contract.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Supreme Court gave impetus to the civil rights movement in its reversal of the “separate but equal” doctrine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Brown v. Board of Education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decision. In its 1954 decision, the Court said, “To separate black children from others of similar age and qualifications solely because of their race generates a feeling of inferiority as to their status in the community that may affect their hearts and minds in a way never to be undone.…We conclude that in the field of public education the doctrine of separate but equal has no place. Separate educational facilities are inherently unequal.”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decision meant that white and black children could not be forced to attend separate public schools. By itself, however, this decision did not create immediate gains, either in public school desegregation or in the desegregation of other public facilities. There were memorable standoffs between federal agents and state officials in Little Rock, Arkansas, for example; the Democratic governor of Arkansas personally blocked young black students from entering Little Rock’s Central High School, and it was only President Eisenhower’s order to have federal marshals accompany the students that forced integration. The year was 1957.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resistance to public school integration was widespread, and other public facilities were not governed by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Brown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ruling. Restaurants, hotels, and other public facilities were still largely segregated. Segregation kept blacks from using public city buses, park facilities, and restrooms on an equal basis with whites. Along with inferior schools, workplace practices throughout the South and also in many Northern cities sharply limited African Americans’ ability to advance economically. Civil disobedience began to grow.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bus protests in Montgomery, Alabama, were particularly effective. Planned by civil rights leaders, Rosa Parks’s refusal to give up her seat to a white person and sit at the back of the public bus led to a boycott of the Montgomery bus system by blacks and, later, a boycott of white businesses in Montgomery. There were months of confrontation and some violence; finally, the city agreed to end its long-standing rules on segregated seating on buses.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were also protests at lunch counters and other protests on public buses, where groups of Northern protesters—Freedom Riders—sometimes met with violence. In 1962, James Meredith’s attempt to enroll as the first African American at the University of Mississippi generated extreme hostility; two people were killed and 375 were injured as the state resisted Meredith’s admission. The murders of civil rights workers Medgar Evers and William L. Moore added to the inflamed sentiments, and whites in Birmingham, Alabama, killed four young black girls who were attending Sunday school when their church was bombed.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events were all covered by the nation’s news media, whose photos showed beatings of protesters and the use of fire hoses on peaceful protesters. Social tensions were reaching a postwar high by 1964. According to the government, there were nearly one thousand civil rights demonstrations in 209 cities in a three-month period beginning May 1963. Representatives and senators could not ignore the impact of social protest. But the complicated political history of the Civil Rights Act of 1964 also tells us that the legislative result was anything but a foregone conclusion.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Title VII of the Civil Rights Act of 1964, Congress for the first time outlawed discrimination in employment based on race, religion, sex, or national origin:. Title VII declares: “It shall be an unlawful employment practice for an employer to fail or refuse to hire or to discharge any individual, or otherwise to discriminate against any individual with respect to his compensation, terms, conditions, or privileges of employment, because of such individual’s race, color, religion, sex, or national origin.” Title VII applies to (1) employers with fifteen or more employees whose business affects interstate commerce, (2) all employment agencies, (3) labor unions with fifteen or more members, (4) state and local governments and their agencies, and (5) most federal government employment.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1984, the Supreme Court said that Title VII applies to partnerships as well as corporations when ruling that it is illegal to discriminatorily refuse to promote a female lawyer to partnership status in a law firm. This applies, by implication, to other fields, such as accounting.</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remedy for unlawful discrimination is back pay and hiring, reinstatement, or promotion.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Title VII established the Equal Employment Opportunity Commission (EEOC) to investigate violations of the act. A victim of discrimination who wishes to file suit must first file a complaint with the EEOC to permit that agency to attempt conciliation of the dispute. The EEOC has filed a number of lawsuits to prove statistically that a company has systematically discriminated on one of the forbidden bases. The EEOC has received perennial criticism for its extreme slowness in filing suits and for failure to handle the huge backlog of complaints with which it has had to wrestle.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courts have come to recognize two major types of Title VII cases:</w:t>
      </w:r>
    </w:p>
    <w:p w:rsidR="00A86150" w:rsidRDefault="00F714D4">
      <w:pPr>
        <w:pStyle w:val="para"/>
        <w:numPr>
          <w:ilvl w:val="0"/>
          <w:numId w:val="736"/>
        </w:numPr>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Cases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disparate treatment</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this type of lawsuit, the plaintiff asserts that because of race, sex, religion, or national origin, he or she has been treated less favorably than others within the organization. To prevail in a disparate treatment suit, the plaintiff must show that the company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intended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discriminate because of one of the factors the law forbids to be considered. Thus in</w:t>
      </w:r>
      <w:r>
        <w:rPr>
          <w:rStyle w:val="Emphasis"/>
          <w:rFonts w:ascii="Georgia" w:hAnsi="Georgia" w:cs="Calibri"/>
          <w:color w:val="333333"/>
          <w:sz w:val="20"/>
          <w:szCs w:val="20"/>
          <w:lang w:val="en"/>
        </w:rPr>
        <w:t>McDonnell Douglas Corp. v. Green</w:t>
      </w:r>
      <w:r>
        <w:rPr>
          <w:rFonts w:ascii="Georgia" w:hAnsi="Georgia" w:cs="Calibri"/>
          <w:color w:val="333333"/>
          <w:sz w:val="20"/>
          <w:szCs w:val="20"/>
          <w:lang w:val="en"/>
        </w:rPr>
        <w:t>, the Supreme Court held that the plaintiff had shown that the company intended to discriminate by refusing to rehire him because of his race.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general, there are two types of disparate treatment cases: (1) pattern-and-practice cases, in which the employee asserts that the employer systematically discriminates on the grounds of race, religion, sex, or national origin; and (2) reprisal or retaliation cases, in which the employee must show that the employer discriminated against him or her because that employee asserted his or her Title VII rights.</w:t>
      </w:r>
    </w:p>
    <w:p w:rsidR="00A86150" w:rsidRDefault="00F714D4">
      <w:pPr>
        <w:pStyle w:val="para"/>
        <w:numPr>
          <w:ilvl w:val="0"/>
          <w:numId w:val="736"/>
        </w:numPr>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Cases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disparate impact</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this second type of Title VII case, the employee need not show that the employer intended to discriminate but only that the effect, or impact, of the employer’s action was discriminatory. Usually, this impact will be upon an entire class of employees. The plaintiff must demonstrate that the reason for the employer’s conduct (such as refusal to promote) was not job related. Disparate impact cases often arise out of practices that appear to be neutral or nondiscriminatory on the surface, such as educational requirements and tests administered to help the employer choose the most qualified candidate. In the seminal case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Griggs v. Duke Power Co.</w:t>
      </w:r>
      <w:r>
        <w:rPr>
          <w:rFonts w:ascii="Georgia" w:hAnsi="Georgia" w:cs="Calibri"/>
          <w:color w:val="333333"/>
          <w:sz w:val="20"/>
          <w:szCs w:val="20"/>
          <w:lang w:val="en"/>
        </w:rPr>
        <w:t>, the Supreme Court held that under Title VII, an employer is not free to use any test it pleases; the test must bear a genuine relationship to job performance.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Griggs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stands for the proposition that Title VII “prohibits employment practices that have discriminatory effects as well as those that are intended to discriminate.”</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30.1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A Checklist of Employment Law</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4572000"/>
            <wp:effectExtent l="0" t="0" r="0" b="0"/>
            <wp:docPr id="161" name="Picture 40" descr="http://images.flatworldknowledge.com/mayerlawentrep/mayerlawentrep-fig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mayerlawentrep/mayerlawentrep-fig50_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Discrimination Based on Religion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employer who systematically refuses to hire Catholics, Jews, Buddhists, or members of any other religious group engages in unlawful disparate treatment under Title VII. But refusal to deal with someone because of his or her religion is not the only type of violation under the law. Title VII defines religion as including religious observances and practices as well as belief and requires the employer to “reasonably accommodate to an employee’s or prospective employee’s religious observance or practice” unless the employer can demonstrate that a reasonable accommodation would work an “undue hardship on the conduct of the employer’s business.” Thus a company that refused even to consider permitting a devout Sikh to wear his religiously prescribed turban on the job would violate Title VII.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the company need not make an accommodation that would impose more than a minimal cost. For example, an employee in an airline maintenance department, open twenty-four hours a day, wished to avoid working on his Sabbath. The employee belonged to a union, and under the collective bargaining agreement, a rotation system determined by seniority would have put the worker into a work shift that fell on his Sabbath. The Supreme Court held that the employer was not required to pay premium wages to someone whom the seniority system would not require to work on that day and could discharge the employee if he refused the assignment.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Title VII permits religious organizations to give preference in employment to individuals of the same religion. Obviously, a synagogue looking for a spiritual leader would hire a rabbi and not a priest.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Sex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refusal to hire or promote a woman simply because she is female is a clear violation of Title VII. Under the Pregnancy Act of 1978, Congress declared that discrimination because of pregnancy is a form of sex discrimination. Equal pay for equal or comparable work has also been an issue in sex (or gender) discrimination.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Barbano v. Madison County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30.4.1 "Disparate Treatment: Burdens of Proof"</w:t>
      </w:r>
      <w:r>
        <w:rPr>
          <w:rFonts w:ascii="Georgia" w:hAnsi="Georgia" w:cs="Calibri"/>
          <w:color w:val="333333"/>
          <w:sz w:val="20"/>
          <w:szCs w:val="20"/>
          <w:lang w:val="en"/>
        </w:rPr>
        <w:t>), presents a straightforward case of sex discrimination. In that case, notice how the plaintiff has the initial burden of proving discriminatory intent and how the burden then shifts to the defendant to show a plausible, nondiscriminatory reason for its hiring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late 1970s brought another problem of sex discrimination to the fore:</w:t>
      </w:r>
      <w:r>
        <w:rPr>
          <w:rStyle w:val="marginterm"/>
          <w:rFonts w:ascii="Georgia" w:hAnsi="Georgia" w:cs="Calibri"/>
          <w:color w:val="333333"/>
          <w:sz w:val="20"/>
          <w:szCs w:val="20"/>
          <w:lang w:val="en"/>
        </w:rPr>
        <w:t>sexual harassment</w:t>
      </w:r>
      <w:r>
        <w:rPr>
          <w:rFonts w:ascii="Georgia" w:hAnsi="Georgia" w:cs="Calibri"/>
          <w:color w:val="333333"/>
          <w:sz w:val="20"/>
          <w:szCs w:val="20"/>
          <w:lang w:val="en"/>
        </w:rPr>
        <w:t>. There is much fear and ignorance about sexual harassment among both employers and employees. Many men think they cannot compliment a woman on her appearance without risking at least a warning by the human resources department. Many employers have spent significant time and money trying to train employees about sexual harassment, so as to avoid lawsuits. Put simply, sexual harassment involves unwelcome sexual advances, requests for sexual favors, and other verbal or physical conduct of a sexual nature.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two major categories of sexual harassment: (1) quid pro quo and (2) hostile work environment.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Quid pro quo</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comes from the Latin phrase “one thing in return for another.” If any part of a job is made conditional on sexual activity, there is quid pro quo sexual harassment. Here, one person’s power over another is essential; a coworker, for example, is not usually in a position to make sexual demands on someone at his same level, unless he has special influence with a supervisor who has power to hire, fire, promote, or change work assignments. A supervisor, on the other hand, typically has those powers or the power to influence those kinds of changes. For example, when the male foreman says to the female line worker, “I can get you off of the night shift if you’ll sleep with me,” there is quid pro quo sexual harassment.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Harris v. Forklift Systems, Inc</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Meritor v. Vinson</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we see examples of hostile work environment. Hostile work environment claims are more frequent than quid pro quo claims and so are more worrisome to management. An employee has a valid claim of sexual harassment if sexual talk, imagery, or behavior becomes so pervasive that it interferes with the employee’s ability to work to her best capacity. On occasion, courts have found that offensive jokes, if sufficiently frequent and pervasive in the workplace, can create a hostile work environment. Likewise, comments about body parts or public displays of pornographic pictures can also create a hostile work environment. In short, the plaintiff can be detrimentally offended and hindered in the workplace even if there are no measurable psychological injuries.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landmark hostile work environment case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Meritor v. Vinson</w:t>
      </w:r>
      <w:r>
        <w:rPr>
          <w:rFonts w:ascii="Georgia" w:hAnsi="Georgia" w:cs="Calibri"/>
          <w:color w:val="333333"/>
          <w:sz w:val="20"/>
          <w:szCs w:val="20"/>
          <w:lang w:val="en"/>
        </w:rPr>
        <w:t>, the Supreme Court held that Title VII’s ban on sexual harassment encompasses more than the trading of sexual favors for employment benefits. Unlawful sexual harassment also includes the creation of a hostile or offensive working environment, subjecting both the offending employee and the company to damage suits even if the victim was in no danger of being fired or of losing a promotion or raise.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recalling</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Harris v. Forklift Systems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Chapter 1 "Introduction to Law and Legal Systems"</w:t>
      </w:r>
      <w:r>
        <w:rPr>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1.6 "A Sample Case"</w:t>
      </w:r>
      <w:r>
        <w:rPr>
          <w:rFonts w:ascii="Georgia" w:hAnsi="Georgia" w:cs="Calibri"/>
          <w:color w:val="333333"/>
          <w:sz w:val="20"/>
          <w:szCs w:val="20"/>
          <w:lang w:val="en"/>
        </w:rPr>
        <w:t>), we see that the “reasonable person” standard is declared by the court as follows: “So long as the environment would reasonably be perceived, and is perceived, as hostile or abusive there is no need for it also to be psychologically injurious.”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Duncan v. General Motors Corporation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30.4.2 "Title VII and Hostile Work Environment"</w:t>
      </w:r>
      <w:r>
        <w:rPr>
          <w:rFonts w:ascii="Georgia" w:hAnsi="Georgia" w:cs="Calibri"/>
          <w:color w:val="333333"/>
          <w:sz w:val="20"/>
          <w:szCs w:val="20"/>
          <w:lang w:val="en"/>
        </w:rPr>
        <w:t>),</w:t>
      </w:r>
      <w:r>
        <w:rPr>
          <w:rStyle w:val="Emphasis"/>
          <w:rFonts w:ascii="Georgia" w:hAnsi="Georgia" w:cs="Calibri"/>
          <w:color w:val="333333"/>
          <w:sz w:val="20"/>
          <w:szCs w:val="20"/>
          <w:lang w:val="en"/>
        </w:rPr>
        <w:t>Harris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used as a precedent to deny relief to a woman who was sexually harassed, because the court believed the conditions were not severe or pervasive enough to unreasonably interfere with her work.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Sex discrimination in terms of wages and benefits is common enough that a number of sizeable class action lawsuits have been brought. A class action lawsuit is generally initiated by one or more people who believe that they, along with a group of other people, have been wronged in similar ways. Class actions for sexual harassment have been successful in the past. On June 11, 1998, the EEOC reached a $34 million settlement with Mitsubishi over allegations of widespread sexual harassment at the Normal, Illinois, auto plant. The settlement involved about five hundred women who split the $34 million, although only seven received the maximum $300,000 allowed by law. The others received amounts ranging from $8,000 to $225,000.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Class action lawsuits involve specific plaintiffs (called class plaintiffs or class representatives) who are named in the class action lawsuit to assert the claims of the unnamed or absent members of the class; thus all those with a common complaint need not file their own separate lawsuit. From the point of view of plaintiffs who may have lost only a few thousand dollars annually as a result of the discrimination, a class action is advantageous: almost no lawyer would take a complicated civil case that had a potential gain of only a few thousand dollars. But if there are thousands of plaintiffs with very similar claims, the judgment could be well into the millions. Defendants can win the procedural battle by convincing a court that the proposed class of plaintiffs does not present common questions of law or of fact.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Wal-Mart class action case decided by the Supreme Court in 2011, three named plaintiffs (Dukes, Arana, and Kwapnoski) represented a proposed class of 1.5 million current or former Wal-Mart employees. The plaintiffs’ attorneys asked the trial court in 2001 to certify as a class all women employed at any Wal-Mart domestic retail store at any time since December of 1998. As the case progressed through the judicial system, the class grew in size. If the class was certified, and discrimination proven, Wal-Mart could have been liable for over $1 billion in back pay. So Wal-Mart argued that as plaintiffs, the cases of the 1.5 million women did not present common questions of law or of fact—that is, that the claims were different enough that the Court should not allow a single class action lawsuit to present such differing kinds of claims. Initially, a federal judge disagreed, finding the class sufficiently coherent for purposes of federal civil procedure. The US Court of Appeals for the Ninth Circuit upheld the trial judge on two occasions.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the US Supreme Court agreed with Wal-Mart. In the majority opinion, Justice Scalia discussed the commonality condition for class actions.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Quite obviously, the mere claim by employees of the same company that they have suffered a Title VII injury, or even a disparate impact Title VII injury, gives no cause to believe that all their claims can productively be litigated at once. Their claims must depend upon a common contention—for example, the assertion of discriminatory bias on the part of the same supervisor. That common contention, moreover, must be of such a nature that it is capable of classwide resolution—which means that determination of its truth or falsity will resolve an issue that is central to the validity of each one of the claims in one stroke.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Finding that there was no common contention, the Supreme Court reversed the lower courts. Many commentators, and four dissenting Justices, believed that the majority opinion has created an unnecessarily high hurdle for class action plaintiffs in Title VII 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Discrimination Based on Race, Color, and National Origin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Title VII was primarily enacted to prohibit employment discrimination based on race, color, and national origin. Race refers to broad categories such as black, Caucasian, Asian, and Native American. Color simply refers to the color of a person’s skin, and national origin refers to the country of the person’s ancestry.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Exceptions to Title VII</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Merit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Employers are allowed to select on merit and promote on merit without offending title VII’s requirements. Merit decisions are usually based on work, educational experience, and ability tests. All requirements, however, must be job related. For example, the ability to lift heavy cartons of sixty pounds or more is appropriate for certain warehouse jobs but is not appropriate for all office workers. The ability to do routine maintenance (electrical, plumbing, construction) is an appropriate requirement for maintenance work but not for a teaching position. Requiring someone to have a high school degree, as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Griggs vs. Duke Power Co.</w:t>
      </w:r>
      <w:r>
        <w:rPr>
          <w:rFonts w:ascii="Georgia" w:hAnsi="Georgia" w:cs="Calibri"/>
          <w:color w:val="333333"/>
          <w:sz w:val="20"/>
          <w:szCs w:val="20"/>
          <w:lang w:val="en"/>
        </w:rPr>
        <w:t>, is not appropriate as a qualification for common labor.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Seniority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Employers may also maintain seniority systems that reward workers who have been with the company for a long time. Higher wages, benefits, and choice of working hours or vacation schedules are examples of rewards that provide employees with an incentive to stay with the company. If they are not the result of intentional discrimination, they are lawful. Where an employer is dealing with a union, it is typical to see seniority systems in place.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Bona Fide Occupational Qualification (BFOQ)</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certain kinds of jobs, employers may impose</w:t>
      </w:r>
      <w:r>
        <w:rPr>
          <w:rStyle w:val="marginterm"/>
          <w:rFonts w:ascii="Georgia" w:hAnsi="Georgia" w:cs="Calibri"/>
          <w:color w:val="333333"/>
          <w:sz w:val="20"/>
          <w:szCs w:val="20"/>
          <w:lang w:val="en"/>
        </w:rPr>
        <w:t>bona fide occupational qualifications (BFOQs)</w:t>
      </w:r>
      <w:r>
        <w:rPr>
          <w:rFonts w:ascii="Georgia" w:hAnsi="Georgia" w:cs="Calibri"/>
          <w:color w:val="333333"/>
          <w:sz w:val="20"/>
          <w:szCs w:val="20"/>
          <w:lang w:val="en"/>
        </w:rPr>
        <w:t>. Under the express terms of Title VII, however, a bona fide (good faith) occupational qualification of race or color is never allowed. In the area of religion, as noted earlier, a group of a certain religious faith that is searching for a new spiritual leader can certainly limit its search to those of the same religion. With regard to sex (gender), allowing women to be locker-room attendants only in a women’s gym is a valid BFOQ. One important test that the courts employ in evaluating an employer’s BFOQ claims is the “essence of the business” test.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Diaz v. Pan American World Airways, Inc.</w:t>
      </w:r>
      <w:r>
        <w:rPr>
          <w:rFonts w:ascii="Georgia" w:hAnsi="Georgia" w:cs="Calibri"/>
          <w:color w:val="333333"/>
          <w:sz w:val="20"/>
          <w:szCs w:val="20"/>
          <w:lang w:val="en"/>
        </w:rPr>
        <w:t>, the airline maintained a policy of exclusively hiring females for its flight attendant positions.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essence of the business test was established with the court’s finding that “discrimination based on sex is valid only when the essence of the business operation would be undermined by not hiring members of one sex exclusively.” Although the court acknowledged that females might be better suited to fulfill the required duties of the position, this was not enough to fulfill the essence of the business test: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primary function of an airline is to transport passengers safely from one point to another. While a pleasant environment, enhanced by the obvious cosmetic effect that female stewardesses provide as well as…their apparent ability to perform the non-mechanical functions of the job in a more effective manner than most men, may all be important, they are tangential to the essence of the business involved. No one has suggested that having male stewards will so seriously affect the operation of an airline as to jeopardize or even minimize its ability to provide safe transportation from one place to another.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reason that airlines now use the gender-neutral term</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flight attendant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direct result of Title VII. In the 1990s, Hooters had some difficulty convincing the EEOC and certain male plaintiffs that only women could be hired as waitstaff in its restaurants. With regard to national origin, directors of movies and theatrical productions would be within their Title VII BFOQ rights to restrict the roles of fictional Asians to those actors whose national origin was Asian, but could also permissibly hire Caucasian actors made up in “yellow face.”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Defenses in Sexual Harassment Cases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1977 term, the US Supreme Court issued two decisions that provide an affirmative defense in some sexual harassment cases.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Faragher v. City of Boca Raton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Burlington Industries, Inc. v. Ellerth</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female employees sued for sexual harassment. In each case, they proved that their supervisors had engaged in unconsented-to touching as well as verbal sexual harassment. In both cases, the plaintiff quit her job and, after going through the EEOC process, got a right-to-sue letter and in fact sued for sexual harassment. In</w:t>
      </w:r>
      <w:r>
        <w:rPr>
          <w:rStyle w:val="Emphasis"/>
          <w:rFonts w:ascii="Georgia" w:hAnsi="Georgia" w:cs="Calibri"/>
          <w:color w:val="333333"/>
          <w:sz w:val="20"/>
          <w:szCs w:val="20"/>
          <w:lang w:val="en"/>
        </w:rPr>
        <w:t>Faragher</w:t>
      </w:r>
      <w:r>
        <w:rPr>
          <w:rFonts w:ascii="Georgia" w:hAnsi="Georgia" w:cs="Calibri"/>
          <w:color w:val="333333"/>
          <w:sz w:val="20"/>
          <w:szCs w:val="20"/>
          <w:lang w:val="en"/>
        </w:rPr>
        <w:t>, the employer had never disseminated the policy against sexual harassment to its employees. But in the second case,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Burlington Industries</w:t>
      </w:r>
      <w:r>
        <w:rPr>
          <w:rFonts w:ascii="Georgia" w:hAnsi="Georgia" w:cs="Calibri"/>
          <w:color w:val="333333"/>
          <w:sz w:val="20"/>
          <w:szCs w:val="20"/>
          <w:lang w:val="en"/>
        </w:rPr>
        <w:t>, the employer had a policy that was made known to employees. Moreover, a complaints system had been established that was not used by the female employee.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Both opinions rejected the notion of strict or automatic liability for employers when agents (employees) engage in sexual harassment. But the employer can have a valid defense to liability if it can prove (1) that it exercised reasonable care to prevent and correct any sexual harassment behaviors and (2) that the plaintiff employee unreasonably failed to take advantage of any preventive or corrective opportunities provided by the employer or to otherwise avoid harm. As with all affirmative defenses, the employer has the burden of proving this defense.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Affirmative Action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Affirmative action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mentioned in the statutory language of Title VII, as courts have the power to order affirmative action as a remedy for the effects of past discriminatory actions. In addition to court-ordered affirmative action, employers may voluntarily use an affirmative action plan to remedy the effects of past practices or to achieve diversity within the workforce to reflect the diversity in their community.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Johnson v. Santa Clara County Transportation Agency</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agency had an affirmative action plan. A woman was promoted from within to the position of dispatcher, even though a male candidate had a slightly higher score on a test that was designed to measure aptitude for the job. The man brought a lawsuit alleging sex discrimination. The Court found that voluntary affirmative action was not reverse discrimination in this case, but employers should be careful in hiring and firing and layoff decisions versus promotion decisions. It is in the area of promotions that affirmative action is more likely to be upheld.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government contracts, President Lyndon Johnson’s Executive Order 11246 prohibits private discrimination by federal contractors. This is important, because one-third of all US workers are employed by companies that do business with the federal government. Because of this executive order, many companies that do business with the government have adopted voluntary affirmative action programs. In 1995, the Supreme Court limited the extent to which the government could require contractors to establish affirmative action programs. The Court said that such programs are permissible only if they serve a “compelling national interest” and are “narrowly tailored” so that they minimize the harm to white males. To make a requirement for contractors, the government must show that the programs are needed to remedy past discrimination, that the programs have time limits, and that nondiscriminatory alternatives are not available.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Age Discrimination in Employment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Age Discrimination in Employment Act (ADEA) of 1967 (amended in 1978 and again in 1986) prohibits discrimination based on age, and recourse to this law has been growing at a faster rate than any other federal antibias employment law. In particular, the act protects workers over forty years of age and prohibits forced retirement in most jobs because of age. Until 1987, federal law had permitted mandatory retirement at age seventy, but the 1986 amendments that took effect January 1, 1987, abolished the age ceiling except for a few jobs, such as firefighters, police officers, tenured university professors, and executives with annual pensions exceeding $44,000. Like Title VII, the law has a BFOQ exception—for example, employers may set reasonable age limitations on certain high-stress jobs requiring peak physical condition.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important differences between the ADEA and Title VII, as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Gross v. FBL Financial Services, Inc.</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30.4.3 "Age Discrimination: Burden of Persuasion"</w:t>
      </w:r>
      <w:r>
        <w:rPr>
          <w:rFonts w:ascii="Georgia" w:hAnsi="Georgia" w:cs="Calibri"/>
          <w:color w:val="333333"/>
          <w:sz w:val="20"/>
          <w:szCs w:val="20"/>
          <w:lang w:val="en"/>
        </w:rPr>
        <w:t>) makes clear. It is now more difficult to prove an age discrimination claim than a claim under Title VII.</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Disabilities: Discrimination against the Handicapped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1990 Americans with Disabilities Act (ADA) prohibits employers from discriminating on the basis of disability. A disabled person is someone with a physical or mental impairment that substantially limits a major life activity or someone who is regarded as having such an impairment. This definition includes people with mental illness, epilepsy, visual impairment, dyslexia, and AIDS. It also covers anyone who has recovered from alcoholism or drug addiction. It specifically does not cover people with sexual disorders, pyromania, kleptomania, exhibitionism, or compulsive gambling.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Employers cannot disqualify an employee or job applicant because of disability as long as he or she can perform the essential functions of the job, with reasonable accommodation. Reasonable accommodation might include installing ramps for a wheelchair, establishing more flexible working hours, creating or modifying job assignments, and the like.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Reasonable accommodation means that there is no undue hardship for the employer. The law does not offer uniform standards for identifying what may be an undue hardship other than the imposition on the employer of a “significant difficulty or expense.” Cases will differ: the resources and situation of each particular employer relative to the cost or difficulty of providing the accommodation will be considered; relative cost, rather than some definite dollar amount, will be the issue.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with other areas of employment discrimination, job interviewers cannot ask questions about an applicant’s disabilities before making a job offer; the interviewer may only ask whether the applicant can perform the work. Requirements for a medical exam are a violation of the ADA unless the exam is job related and required of all applicants for similar jobs. Employers may, however, use drug testing, although public employers are to some extent limited by the Fourth Amendment requirements of reasonableness.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ADA’s definition of disability is very broad. However, the Supreme Court has issued several important decisions that narrow the definition of what constitutes a disability under the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kinds of narrowing decisions stand out: one deals with “correctable conditions,” and the other deals with repetitive stress injuries. In 1999, the Supreme Court reviewed a case that raised an issue of whether severe nearsightedness (which can be corrected with lenses) qualifies as a disability under the ADA.</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Supreme Court ruled that disability under the ADA will be measured according to how a person functions with corrective drugs or devices and not how the person functions without them.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Orr v. Wal-Mart Stores, Inc.</w:t>
      </w:r>
      <w:r>
        <w:rPr>
          <w:rFonts w:ascii="Georgia" w:hAnsi="Georgia" w:cs="Calibri"/>
          <w:color w:val="333333"/>
          <w:sz w:val="20"/>
          <w:szCs w:val="20"/>
          <w:lang w:val="en"/>
        </w:rPr>
        <w:t>, a federal appellate court held that a pharmacist who suffered from diabetes did not have a cause of action against Wal-Mart under the ADA as long as the condition could be corrected by insulin.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other narrowing decision deals with repetitive stress injuries. For example, carpal tunnel syndrome—or any other repetitive stress injury—could constitute a disability under the ADA. By compressing a nerve in the wrist through repetitive use, carpal tunnel syndrome causes pain and weakness in the hand. In 2002, the Supreme Court determined that while an employee with carpal tunnel syndrome could not perform all the manual tasks assigned to her, her condition did not constitute a disability under the ADA because it did not “extensively limit” her major life activities.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30.4.4 "Disability Discrimination"</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Equal Pay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Equal Pay Act of 1963 protects both men and women from pay discrimination based on sex. The act covers all levels of private sector employees and state and local government employees but not federal workers. The act prohibits disparity in pay for jobs that require equal skill and equal effort. Equal skill means equal experience, and equal effort means comparable mental and/or physical exertion. The act prohibits disparity in pay for jobs that require equal responsibility, such as equal supervision and accountability, or similar working conditions.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making their determinations, courts will look at the stated requirements of a job as well as the actual requirements of the job. If two jobs are judged to be equal and similar, the employer cannot pay disparate wages to members of different sexes. Along with the EEOC enforcement, employees can also bring private causes of action against an employer for violating this act. There are four criteria that can be used as defenses in justifying differentials in wages: seniority, merit, quantity or quality of product, and any factor other than sex. The employer will bear the burden of proving any of these defenses.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defense based on merit will require that there is some clearly measurable standard that justifies the differential. In terms of quantity or quality of product, there may be a commission structure, piecework structure, or quality-control-based payment system that will be permitted. Factors “other than sex” do not include so-called market forces.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Glenn v. General Motors Corp.</w:t>
      </w:r>
      <w:r>
        <w:rPr>
          <w:rFonts w:ascii="Georgia" w:hAnsi="Georgia" w:cs="Calibri"/>
          <w:color w:val="333333"/>
          <w:sz w:val="20"/>
          <w:szCs w:val="20"/>
          <w:lang w:val="en"/>
        </w:rPr>
        <w:t>, the US Court of Appeals for the Eleventh Circuit rejected General Motor’s argument that it was justified in paying three women less than their male counterparts on the basis of “the market force theory” that women will work for less than a man.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[17]</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Starting with employment at will as a common-law doctrine, we see many modifications by statute, particularly after 1960. Title VII of the Civil Rights Act of 1964 is the most significant, for it prohibits employers engaged in interstate commerce from discriminating on the basis of race, color, sex, religion, or national origin.</w:t>
      </w:r>
    </w:p>
    <w:p w:rsidR="00A86150" w:rsidRDefault="00F714D4">
      <w:pPr>
        <w:pStyle w:val="para"/>
        <w:shd w:val="clear" w:color="auto" w:fill="ECF9E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Sex discrimination, especially sexual harassment, has been a particularly fertile source of litigation. There are many defenses to Title VII claims: the employer may have a merit system or a seniority system in place, or there may be bona fide occupational qualifications in religion, gender, or national origin. In addition to Title VII, federal statutes limiting employment discrimination are the ADEA, the ADA, and the Equal Pay Act.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3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Go to the EEOC website. Describe the process by which an employee or ex-employee who wants to make a Title VII claim obtains a right-to-sue letter from the EEOC.</w:t>
      </w:r>
    </w:p>
    <w:p w:rsidR="00A86150" w:rsidRDefault="00F714D4">
      <w:pPr>
        <w:numPr>
          <w:ilvl w:val="0"/>
          <w:numId w:val="73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Again, looking at the EEOC website, find the statistical analysis of Title VII claims brought to the EEOC. What kind of discrimination is most frequent?</w:t>
      </w:r>
    </w:p>
    <w:p w:rsidR="00A86150" w:rsidRDefault="00F714D4">
      <w:pPr>
        <w:numPr>
          <w:ilvl w:val="0"/>
          <w:numId w:val="73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According to the EEOC website, what is “retaliation”? How frequent are retaliation claims relative to other kinds of claims?</w:t>
      </w:r>
    </w:p>
    <w:p w:rsidR="00A86150" w:rsidRDefault="00F714D4">
      <w:pPr>
        <w:numPr>
          <w:ilvl w:val="0"/>
          <w:numId w:val="73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Greg Connolly is a member of the Church of God and believes that premarital sex and abortion are sinful. He works as a pharmacist for Wal-Mart, and at many times during the week, he is the only pharmacist available to fill prescriptions. One product sold at his Wal-Mart is the morning-after pill (RU 468). Based on his religious beliefs, he tells his employer that he will refuse to fill prescriptions for the morning-after pill. Must Wal-Mart make a reasonable accommodation to his religious beliefs?</w:t>
      </w:r>
    </w:p>
    <w:p w:rsidR="00A86150" w:rsidRDefault="0081777E">
      <w:pPr>
        <w:spacing w:after="0"/>
        <w:jc w:val="center"/>
        <w:divId w:val="678193464"/>
      </w:pPr>
      <w:r>
        <w:pict>
          <v:rect id="_x0000_i1150"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See CongressLink, “Major Features of the Civil Rights Act of 1964,” at</w:t>
      </w:r>
      <w:hyperlink r:id="rId95" w:tgtFrame="_blank" w:history="1">
        <w:r>
          <w:rPr>
            <w:rStyle w:val="Hyperlink"/>
            <w:rFonts w:ascii="Calibri" w:hAnsi="Calibri" w:cs="Calibri"/>
            <w:color w:val="2689C6"/>
            <w:sz w:val="20"/>
            <w:szCs w:val="20"/>
          </w:rPr>
          <w:t>http://www.congresslink.org/print_basics_histmats_civilrights64text.htm</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Hishon v. King &amp; Spalding</w:t>
      </w:r>
      <w:r>
        <w:rPr>
          <w:rFonts w:ascii="Calibri" w:hAnsi="Calibri" w:cs="Calibri"/>
          <w:color w:val="333333"/>
          <w:sz w:val="20"/>
          <w:szCs w:val="20"/>
        </w:rPr>
        <w:t>, 467 U.S. 69 (1984).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McDonnell Douglas Corp. v. Green</w:t>
      </w:r>
      <w:r>
        <w:rPr>
          <w:rFonts w:ascii="Calibri" w:hAnsi="Calibri" w:cs="Calibri"/>
          <w:color w:val="333333"/>
          <w:sz w:val="20"/>
          <w:szCs w:val="20"/>
        </w:rPr>
        <w:t>, 411 U.S. 792 (1973).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Griggs v. Duke Power Co.</w:t>
      </w:r>
      <w:r>
        <w:rPr>
          <w:rFonts w:ascii="Calibri" w:hAnsi="Calibri" w:cs="Calibri"/>
          <w:color w:val="333333"/>
          <w:sz w:val="20"/>
          <w:szCs w:val="20"/>
        </w:rPr>
        <w:t>, 401 U.S. 424 (1971).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Trans World Airlines v. Hardison</w:t>
      </w:r>
      <w:r>
        <w:rPr>
          <w:rFonts w:ascii="Calibri" w:hAnsi="Calibri" w:cs="Calibri"/>
          <w:color w:val="333333"/>
          <w:sz w:val="20"/>
          <w:szCs w:val="20"/>
        </w:rPr>
        <w:t>, 432 U.S. 63 (1977).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 Systems, Inc.</w:t>
      </w:r>
      <w:r>
        <w:rPr>
          <w:rFonts w:ascii="Calibri" w:hAnsi="Calibri" w:cs="Calibri"/>
          <w:color w:val="333333"/>
          <w:sz w:val="20"/>
          <w:szCs w:val="20"/>
        </w:rPr>
        <w:t>, 510 U.S. 17 (1993).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Meritor v. Vinson</w:t>
      </w:r>
      <w:r>
        <w:rPr>
          <w:rFonts w:ascii="Calibri" w:hAnsi="Calibri" w:cs="Calibri"/>
          <w:color w:val="333333"/>
          <w:sz w:val="20"/>
          <w:szCs w:val="20"/>
        </w:rPr>
        <w:t>, 477 U.S. 57 (1986).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564 U.S. ___ (2011).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Diaz v. Pan American World Airways, Inc.</w:t>
      </w:r>
      <w:r>
        <w:rPr>
          <w:rFonts w:ascii="Calibri" w:hAnsi="Calibri" w:cs="Calibri"/>
          <w:color w:val="333333"/>
          <w:sz w:val="20"/>
          <w:szCs w:val="20"/>
        </w:rPr>
        <w:t>, 442 F.2d 385 (5th Cir. 1971).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Style w:val="Emphasis"/>
          <w:rFonts w:ascii="Calibri" w:hAnsi="Calibri" w:cs="Calibri"/>
          <w:color w:val="333333"/>
          <w:sz w:val="20"/>
          <w:szCs w:val="20"/>
        </w:rPr>
        <w:t>Diaz v. Pan American World Airways, Inc.</w:t>
      </w:r>
      <w:r>
        <w:rPr>
          <w:rFonts w:ascii="Calibri" w:hAnsi="Calibri" w:cs="Calibri"/>
          <w:color w:val="333333"/>
          <w:sz w:val="20"/>
          <w:szCs w:val="20"/>
        </w:rPr>
        <w:t>, 442 F.2d 385 (5th Cir. 1971).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Faragher v. City of Boca Raton</w:t>
      </w:r>
      <w:r>
        <w:rPr>
          <w:rFonts w:ascii="Calibri" w:hAnsi="Calibri" w:cs="Calibri"/>
          <w:color w:val="333333"/>
          <w:sz w:val="20"/>
          <w:szCs w:val="20"/>
        </w:rPr>
        <w:t>, 524 U.S. 775 (1998).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Burlington Industries v. Ellerth</w:t>
      </w:r>
      <w:r>
        <w:rPr>
          <w:rFonts w:ascii="Calibri" w:hAnsi="Calibri" w:cs="Calibri"/>
          <w:color w:val="333333"/>
          <w:sz w:val="20"/>
          <w:szCs w:val="20"/>
        </w:rPr>
        <w:t>, 524 U.S. 742 (1988).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Johnson v. Santa Clara County Transportation Agency</w:t>
      </w:r>
      <w:r>
        <w:rPr>
          <w:rFonts w:ascii="Calibri" w:hAnsi="Calibri" w:cs="Calibri"/>
          <w:color w:val="333333"/>
          <w:sz w:val="20"/>
          <w:szCs w:val="20"/>
        </w:rPr>
        <w:t>, 480 U.S. 616 (1987).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Style w:val="Emphasis"/>
          <w:rFonts w:ascii="Calibri" w:hAnsi="Calibri" w:cs="Calibri"/>
          <w:color w:val="333333"/>
          <w:sz w:val="20"/>
          <w:szCs w:val="20"/>
        </w:rPr>
        <w:t>Adarand Constructors, Inc. v. Pena</w:t>
      </w:r>
      <w:r>
        <w:rPr>
          <w:rFonts w:ascii="Calibri" w:hAnsi="Calibri" w:cs="Calibri"/>
          <w:color w:val="333333"/>
          <w:sz w:val="20"/>
          <w:szCs w:val="20"/>
        </w:rPr>
        <w:t>, 515 U.S. 200 (1995).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Style w:val="Emphasis"/>
          <w:rFonts w:ascii="Calibri" w:hAnsi="Calibri" w:cs="Calibri"/>
          <w:color w:val="333333"/>
          <w:sz w:val="20"/>
          <w:szCs w:val="20"/>
        </w:rPr>
        <w:t>Sutton v. United Airlines, Inc.</w:t>
      </w:r>
      <w:r>
        <w:rPr>
          <w:rFonts w:ascii="Calibri" w:hAnsi="Calibri" w:cs="Calibri"/>
          <w:color w:val="333333"/>
          <w:sz w:val="20"/>
          <w:szCs w:val="20"/>
        </w:rPr>
        <w:t>, 527 U.S. 471 (1999).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Style w:val="Emphasis"/>
          <w:rFonts w:ascii="Calibri" w:hAnsi="Calibri" w:cs="Calibri"/>
          <w:color w:val="333333"/>
          <w:sz w:val="20"/>
          <w:szCs w:val="20"/>
        </w:rPr>
        <w:t>Orr v. Wal-Mart Stores, Inc.</w:t>
      </w:r>
      <w:r>
        <w:rPr>
          <w:rFonts w:ascii="Calibri" w:hAnsi="Calibri" w:cs="Calibri"/>
          <w:color w:val="333333"/>
          <w:sz w:val="20"/>
          <w:szCs w:val="20"/>
        </w:rPr>
        <w:t>, 297 F.3d 720 (8th Cir. 2002).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Style w:val="Emphasis"/>
          <w:rFonts w:ascii="Calibri" w:hAnsi="Calibri" w:cs="Calibri"/>
          <w:color w:val="333333"/>
          <w:sz w:val="20"/>
          <w:szCs w:val="20"/>
        </w:rPr>
        <w:t>Glenn v. General Motors Corp.</w:t>
      </w:r>
      <w:r>
        <w:rPr>
          <w:rFonts w:ascii="Calibri" w:hAnsi="Calibri" w:cs="Calibri"/>
          <w:color w:val="333333"/>
          <w:sz w:val="20"/>
          <w:szCs w:val="20"/>
        </w:rPr>
        <w:t>, 841 F.2d 1567 (1988).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30.2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Employment at Will</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39"/>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is meant by employment at will under common law.</w:t>
      </w:r>
    </w:p>
    <w:p w:rsidR="00A86150" w:rsidRDefault="00F714D4">
      <w:pPr>
        <w:numPr>
          <w:ilvl w:val="0"/>
          <w:numId w:val="739"/>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kinds of common-law (judicially created) exceptions to the employment-at-will doctrine, and provide examples.</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At common law, an employee without a contract guaranteeing a job for a specific period was an employee at will and could be fired at any time and for any reason, or even for no reason at all. The various federal statutes we have just examined have made inroads on the at-will doctrine. Another federal statute, the Occupational Safety and Health Act, prohibits employers from discharging employees who exercise their rights under that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courts and legislatures in more than forty states have made revolutionary changes in the at-will doctrine. They have done so under three theories: tort, contract, and duty of good faith and fair dealing. We will first consider the tort of wrongful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Courts have created a major exception to the employment-at-will rule by allowing the tort of wrongful discharge.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Wrongful discharge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firing a worker for a bad reason. What is a bad reason? A bad reason can be (1) discharging an employee for refusing to violate a law, (2) discharging an employee for exercising a legal right, (3) discharging an employee for performing a legal duty, and (4) discharging an employee in a way that violates public policy.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Discharging an Employee for Refusing to Violate a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employers will not want employees to testify truthfully at trial. In one case, a nurse refused a doctor’s order to administer a certain anesthetic when she believed it was wrong for that particular patient; the doctor, angry at the nurse for refusing to obey him, then administered the anesthetic himself. The patient soon stopped breathing. The doctor and others could not resuscitate him soon enough, and he suffered permanent brain damage. When the patient’s family sued the hospital, the hospital told the nurse she would be in trouble if she testified. She did testify according to her oath in the court of law (i.e., truthfully), and after several months of harassment, was finally fired on a pretext. The hospital was held liable for the tort of wrongful discharge. As a general rule, you should not fire an employee for refusing to break the law.</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Discharging an Employee for Exercising a Legal Right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Bob Berkowitz files a claim for workers’ compensation for an accident at Pacific Gas &amp; Electric, where he works and where the accident that injured him took place. He is fired for doing so, because the employer does not want to have its workers’ comp premiums increased. In this case, the right exercised by Berkowitz is supported by public policy: he has a legal right to file the claim, and if he can establish that his discharge was caused by his filing the claim, he will prove the tort of wrongful discharge.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Discharging an Employee for Performing a Legal Duty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Courts have long held that an employee may not be fired for serving on a jury. This is so even though courts do recognize that many employers have difficulty replacing employees called for jury duty. Jury duty is an important civic obligation, and employers are not permitted to undermine it.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Discharging an Employee in a Way That Violates Public Policy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is probably the most controversial basis for a tort of wrongful discharge. There is an inherent vagueness in the phrase “basic social rights, duties, or responsibilities.” This is similar to the exception in contract law: the courts will not enforce contract provisions that violate public policy. (For the most part, public policy is found in statutes and in cases.) But what constitutes public policy is an important decision for state courts.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Wagenseller v. Scottsdale Memorial Hospital</w:t>
      </w:r>
      <w:r>
        <w:rPr>
          <w:rFonts w:ascii="Georgia" w:hAnsi="Georgia" w:cs="Calibri"/>
          <w:color w:val="333333"/>
          <w:sz w:val="20"/>
          <w:szCs w:val="20"/>
          <w:lang w:val="en"/>
        </w:rPr>
        <w: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example, a nurse who refused to “play along” with her coworkers on a rafting trip was discharged. The group of coworkers had socialized at night, drinking alcohol; when the partying was near its peak, the plaintiff refused to be part of a group that bared their buttocks to the tune of “Moon River” (a composition by Henry Mancini that was popular in the 1970s). The court, at great length, considered that “mooning” was a misdemeanor under Arizona law and that therefore her employer could not discharge her for refusing to violate a state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Other courts have gone so far as to include professional oaths and codes as part of public policy.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Rocky Mountain Hospital and Medical Services v. Diane Mariani</w:t>
      </w:r>
      <w:r>
        <w:rPr>
          <w:rFonts w:ascii="Georgia" w:hAnsi="Georgia" w:cs="Calibri"/>
          <w:color w:val="333333"/>
          <w:sz w:val="20"/>
          <w:szCs w:val="20"/>
          <w:lang w:val="en"/>
        </w:rPr>
        <w:t>, the Colorado Supreme Court reviewed a trial court decision to refuse relief to a certified public accountant who was discharged when she refused to violate her professional code.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(Her employer had repeatedly required her to come up with numbers and results that did not reflect the true situation, using processes that were not in accord with her training and the code.) The court of appeals had reversed the trial court, and the Supreme Court had to decide if the professional code of Colorado accountants could be considered to be part of public policy. Given that accountants were licensed by the state on behalf of the public, and that the Board of Accountancy had published a code for accounting professionals and required an oath before licensing, the court noted the following: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Colorado State Board of Accountancy is established pursuant to section 12-2-103, 5A C.R.S. (1991). The Board has responsibility for making appropriate rules of professional conduct, in order to establish and maintain a high standard of integrity in the profession of public accounting. § 12-2-104, 5A C.R.S. (1991). These rules of professional conduct govern every person practicing as a certified public accountant. Id. Failure to abide by these rules may result in professional discipline. § 12-2-123, 5A C.R.S. (1991). The rules of professional conduct for accountants have an important public purpose. They ensure the accurate reporting of financial information to the public. They allow the public and the business community to rely with confidence on financial reporting. Rule 7.1, 3 C.C.R. 705-1 (1991). In addition, they ensure that financial information will be reported consistently across many businesses. The legislature has endorsed these goals in section 12-2-101, 5A C.R.S.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went on to note that the stated purpose of the licensing and registration of certified public accountants was to “provide for the maintenance of high standards of professional conduct by those so licensed and registered as certified public accountants.” Further, the specific purpose of Rule 7.1 provided a clear mandate to support an action for wrongful discharge. Rule 7.1 is entitled “Integrity and Objectivity” and states, “A certificate holder shall not in the performance of professional services knowingly misrepresent facts, nor subordinate his judgment to others.” The fact that Mariani’s employer asked her to knowingly misrepresent facts was a sufficient basis in public policy to make her discharge wrongful.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Contract Modification of Employment at Will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Contract law can modify employment at will. Oral promises made in the hiring process may be enforceable even though the promises are not approved by top management. Employee handbooks may create implied contracts that specify personnel processes and statements that the employees can be fired only for a “just cause” or only after various warnings, notice, hearing, or other procedures.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Good Faith and Fair Dealing Standard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few states, among them Massachusetts and California, have modified the at-will doctrine in a far-reaching way by holding that every employer has entered into an implied covenant of good faith and fair dealing with its employees. That means, the courts in these states say, that it is “bad faith” and therefore unlawful to discharge employees to avoid paying commissions or pensions due them. Under this implied covenant of fair dealing, any discharge without good cause—such as incompetence, corruption, or habitual tardiness—is actionable. This is not the majority view, as the case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30.4.4 "Disability Discrimination"</w:t>
      </w:r>
      <w:r>
        <w:rPr>
          <w:rFonts w:ascii="Georgia" w:hAnsi="Georgia" w:cs="Calibri"/>
          <w:color w:val="333333"/>
          <w:sz w:val="20"/>
          <w:szCs w:val="20"/>
          <w:lang w:val="en"/>
        </w:rPr>
        <w:t>makes clear.</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Although employment at will is still the law, numerous exceptions have been established by judicial decision. Employers can be liable for the tort of wrongful discharge if they discharge an employee for refusing to violate a law, for exercising a legal right or performing a legal duty, or in a way that violates basic public policy.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4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Richard Mudd, an employee of Compuserve, is called for jury duty in Wayne County, Michigan. His immediate supervisor, Harvey Lorie, lets him know that he “must” avoid jury duty at all costs. Mudd tells the judge of his circumstances and his need to be at work, but the judge refuses to let Mudd avoid jury duty. Mudd spends the next two weeks at trial. He sends regular e-mails and texts to Lorie during this time, but on the fourth day gets a text message from Lorie that says, “Don’t bother to come back.” When he does return, Lorie tells him he is fired. Does Mudd have a cause of action for the tort of wrongful discharge?</w:t>
      </w:r>
    </w:p>
    <w:p w:rsidR="00A86150" w:rsidRDefault="00F714D4">
      <w:pPr>
        <w:numPr>
          <w:ilvl w:val="0"/>
          <w:numId w:val="74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Olga Monge was a schoolteacher in her native Costa Rica. She moved to New Hampshire and attended college in the evenings to earn US teaching credentials. At night, she worked at the Beebe Rubber Company after caring for her husband and three children during the day. When she applied for a better job at the plant, the foreman offered to promote her if she would be “nice” and go out on a date with him. She refused, and he assigned her to a lower-wage job, took away her overtime, made her clean the washrooms, and generally ridiculed her. She finally collapsed at work, and he fired her. Does Monge have any cause of action?</w:t>
      </w:r>
    </w:p>
    <w:p w:rsidR="00A86150" w:rsidRDefault="0081777E">
      <w:pPr>
        <w:spacing w:after="0"/>
        <w:jc w:val="center"/>
        <w:divId w:val="1187333938"/>
      </w:pPr>
      <w:r>
        <w:pict>
          <v:rect id="_x0000_i1151"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Wagenseller v. Scottsdale Memorial Hospital</w:t>
      </w:r>
      <w:r>
        <w:rPr>
          <w:rFonts w:ascii="Calibri" w:hAnsi="Calibri" w:cs="Calibri"/>
          <w:color w:val="333333"/>
          <w:sz w:val="20"/>
          <w:szCs w:val="20"/>
        </w:rPr>
        <w:t>, 147 Ariz. 370; 710 P.2d 1025 (1085).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Rocky Mountain Hospital and Medical Services v. Diane Mariani</w:t>
      </w:r>
      <w:r>
        <w:rPr>
          <w:rFonts w:ascii="Calibri" w:hAnsi="Calibri" w:cs="Calibri"/>
          <w:color w:val="333333"/>
          <w:sz w:val="20"/>
          <w:szCs w:val="20"/>
        </w:rPr>
        <w:t>, 916 P.2d 519 (Colo. 1996).</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30.3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Other Employment-Related Laws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w:t>
      </w:r>
    </w:p>
    <w:p w:rsidR="00A86150" w:rsidRDefault="00F714D4">
      <w:pPr>
        <w:numPr>
          <w:ilvl w:val="0"/>
          <w:numId w:val="741"/>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various federal and state statutes that affect employers in the areas of plant closings, pensions, workers’ compensation, use of polygraphs, and worker safety.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Federal Plant-Closing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prime source of new jobs across the United States is the opening of new industrial plants—which accounted for millions of jobs a year during the 1970s and 1980s. But for every 110 jobs thus created, nearly 100 were lost annually in plant closings during that period. In the mid-1980s alone, 2.2 million plant jobs were lost each year. As serious as those losses were for the national economy, they were no less serious for the individuals who were let go. Surveys in the 1980s showed that large numbers of companies provided little or no notice to employees that their factories were to be shut down and their jobs eliminated. Nearly a quarter of businesses with more than 100 employees provided no specific notice to their employees that their particular work site would be closed or that they would suffer mass layoffs. More than half provided two weeks’ notice or less.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programs to support dislocated workers depend heavily on the giving of advance notice, a national debate on the issue in the late 1980s culminated in 1988 in Congress’s enactment of the Worker Adjustment and Retraining Notification (WARN) Act, the formal name of the federal plant-closing act. Under this law, businesses with 100 or more employees must give employees or their local bargaining unit, along with the local city or county government, at least sixty days’ notice whenever (1) at least 50 employees in a single plant or office facility would lose their jobs or face long-term layoffs or a reduction of more than half their working hours as the result of a shutdown and (2) a shutdown would require long-term layoffs of 500 employees or at least a third of the workforce. An employer who violates the act is liable to employees for back pay that they would have received during the notice period and may be liable to other fines and penalties.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employer is exempted from having to give notice if the closing is caused by business circumstances that were not reasonably foreseeable as of the time the notice would have been required. An employer is also exempted if the business is actively seeking capital or business that if obtained, would avoid or postpone the shutdown and the employer, in good faith, believes that giving notice would preclude the business from obtaining the needed capital or business.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Employee Polygraph Protection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Studies calling into question the reliability of various forms of lie detectors have led at least half the states and, in 1988, Congress to legislate against their use by private businesses. The Employee Polygraph Protection Act forbids private employers from using lie detectors (including such devices as voice stress analyzers) for any reason. Neither employees nor applicants for jobs may be required or even asked to submit to them. (The act has some exceptions for public employers, defense and intelligence businesses, private companies in the security business, and manufacturers of controlled substances.)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Use of polygraphs, machines that record changes in the subject’s blood pressure, pulse, and other physiological phenomena, is strictly limited. They may be used in conjunction with an investigation into such crimes as theft, embezzlement, and industrial espionage, but in order to require the employee to submit to polygraph testing, the employer must have “reasonable suspicion” that the employee is involved in the crime, and there must be supporting evidence for the employer to discipline or discharge the employee either on the basis of the polygraph results or on the employee’s refusal to submit to testing. The federal polygraph law does not preempt state laws, so if a state law absolutely bars an employer from using one, the federal law’s limited authorization will be unavailable.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Occupational Safety and Health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 heavily industrialized society, workplace safety is a major concern. Hundreds of studies for more than a century have documented the gruesome toll taken by hazardous working conditions in mines, on railroads, and in factories from tools, machines, treacherous surroundings, and toxic chemicals and other substances. Studies in the late 1960s showed that more than 14,000 workers were killed and 2.2 million were disabled annually—at a cost of more than $8 billion and a loss of more than 250 million worker days. Congress responded in 1970 with the Occupational Safety and Health Act, the primary aim of which is “to assure so far as possible every working man and woman in the Nation safe and healthful working conditions.”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imposes on each employer a general duty to furnish a place of employment free from recognized hazards likely to cause death or serious physical harm to employees. It also gives the secretary of labor the power to establish national health and safety standards. The standard-making power has been delegated to the Occupational Safety and Health Administration (OSHA), an agency within the US Department of Labor. The agency has the authority to inspect workplaces covered by the act whenever it receives complaints from employees or reports about fatal or multiple injuries. The agency may assess penalties and proceed administratively to enforce its standards. Criminal provisions of the act are enforced by the Justice Department.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During its first two decades, OSHA was criticized for not issuing standards very quickly: fewer than thirty national workplace safety standards were issued by 1990. But not all safety enforcement is in the hands of the federal government: although OSHA standards preempt similar state standards, under the act the secretary may permit the states to come up with standards equal to or better than federal standards and may make grants to the states to cover half the costs of enforcement of the state safety standards.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Employee Retirement Income Security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More than half the US workforce is covered by private pension plans for retirement. One 1988 estimate put the total held in pension funds at more than $1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trillion</w:t>
      </w:r>
      <w:r>
        <w:rPr>
          <w:rFonts w:ascii="Georgia" w:hAnsi="Georgia" w:cs="Calibri"/>
          <w:color w:val="333333"/>
          <w:sz w:val="20"/>
          <w:szCs w:val="20"/>
          <w:lang w:val="en"/>
        </w:rPr>
        <w:t>, costing the federal Treasury nearly $60 billion annually in tax write-offs. As the size of the private pension funds increased dramatically in the 1960s, Congress began to hear shocking stories of employees defrauded out of pension benefits, deprived of a lifetime’s savings through various ruses (e.g., by long vesting provisions and by discharges just before retirement). To put an end to such abuses, Congress, in 1974, enacted the Employee Retirement Income Security Act (ERISA).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general, ERISA governs the vesting of employees’ pension rights and the funding of pension plans. Within five years of beginning employment, employees are entitled to vested interests in retirement benefits contributed on their behalf by individual employers. Multiemployer pension plans must vest their employees’ interests within ten years. A variety of pension plans must be insured through a federal agency, the Pension Benefit Guaranty Corporation, to which employers must pay annual premiums. The corporation may assume financial control of underfunded plans and may sue to require employers to make up deficiencies. The act also requires pension funds to disclose financial information to beneficiaries, permits employees to sue for benefits, governs the standards of conduct of fund administrators, and forbids employers from denying employees their rights to pensions. The act largely preempts state law governing employee benefits.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Fair Labor Standards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midst of the Depression, Congress enacted at President Roosevelt’s urging a national minimum wage law, the Fair Labor Standards Act of 1938 (FLSA). The act prohibits most forms of child labor and established a scale of minimum wages for the regular workweek and a higher scale for overtime. (The original hourly minimum was twenty-five cents, although the administrator of the Wage and Hour Division of the US Department of Labor, a position created by the act, could raise the minimum rate industry by industry.) The act originally was limited to certain types of work: that which was performed in transporting goods in interstate commerce or in producing goods for shipment in interstate commerce.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Employers quickly learned that they could limit the minimum wage by, for example, separating the interstate and intrastate components of their production. Within the next quarter century, the scope of the FLSA was considerably broadened, so that it now covers all workers in businesses that do a particular dollar-volume of goods that move in interstate commerce, regardless of whether a particular employee actually works in the interstate component of the business. It now covers between 80 and 90 percent of all persons privately employed outside of agriculture, and a lesser but substantial percentage of agricultural workers and state and local government employees. Violations of the act are investigated by the administrator of the Wage and Hour Division, who has authority to negotiate back pay on the employee’s behalf. If no settlement is reached, the Labor Department may sue on the employee’s behalf, or the employee, armed with a notice of the administrator’s calculations of back wages due, may sue in federal or state court for back pay. Under the FLSA, a successful employee will receive double the amount of back wages due.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Workers’ Compensation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Since the beginning of the twentieth century, work-related injuries or illnesses have been covered under state workers’ compensation laws that provide a set amount of weekly compensation for disabilities caused by accidents and illnesses suffered on the job. The compensation plans also pay hospital and medical expenses necessary to treat workers who are injured by, or become ill from, their work. In assuring workers of compensation, the plans eliminate the hazards and uncertainties of lawsuits by eliminating the need to prove fault. Employers fund the compensation plans by paying into statewide plans or purchasing insurance.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Other State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it may appear that most employment law is federal, employment discrimination is largely governed by state law because Congress has so declared it. The Civil Rights Act of 1964 tells federal courts to defer to state agencies to enforce antidiscrimination provisions of parallel state statutes with remedies similar to those of the federal law. Moreover, many states have gone beyond federal law in banning certain forms of discrimination. Thus well before enactment of the Americans with Disabilities Act, more than forty states prohibited such discrimination in private employment. More than a dozen states ban employment discrimination based on marital status, a category not covered by federal law. Two states have laws that protect those that may be considered “overweight.” Two states and more than seventy counties or municipalities ban employment discrimination on the basis of sexual orientation; most large companies have offices or plants in at least one of these jurisdictions. By contrast, federal law has no statutory law dealing with sexual orientation.</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There are a number of important federal employment laws collective bargaining or discrimination. These include the federal plant-closing act, the Employee Polygraph Protection Act, the Occupational Safety and Health Act, the Employee Retirement Income Security Act, and the Fair Labor Standards Act. At the state level, workers’ compensation laws preempt common-law claims against employers for work-related injuries, and state equal opportunity employment laws provide remedies for certain kinds of workplace discrimination that have no parallel at the federal level.</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4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United Artists is a corporation doing business in Texas. United Pension Fund is a defined-contribution employee pension benefit plan sponsored by United Artists for employees. Each employee has his or her own individual pension account, but plan assets are pooled for investment purposes. The plan is administered by the board of trustees. From 1977 to 1986, seven of the trustees made a series of loans to themselves from the plan. These trustees did not (1) require the borrowers to submit a written application for the loans, (2) assess the prospective borrower’s ability to repay loans, (3) specify a period in which the loans were to be repaid, or (4) call the loans when they remained unpaid. The trustees also charged less than fair-market-value interest for the loans. The secretary of labor sued the trustees, alleging that they had breached their fiduciary duty in violation of ERISA. Who won?</w:t>
      </w:r>
      <w:r>
        <w:rPr>
          <w:rStyle w:val="apple-converted-space"/>
          <w:rFonts w:ascii="Calibri" w:hAnsi="Calibri"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numPr>
          <w:ilvl w:val="0"/>
          <w:numId w:val="74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Arrow Automotive Industries remanufactures and distributes automobile and truck parts. Its operating plants produce identical product lines. The company is planning to open a new facility in Santa Maria, California. The employees at the Arrow plant in Hudson, Massachusetts, are represented by a union, the United Automobile, Aerospace, and Agricultural Implement Workers of America. The Hudson plant has a history of unprofitable operations. The union called a strike when the existing collective bargaining agreement expired and a new agreement could not be reached. After several months, the board of directors of the company voted to close the striking plant. The closing would give Arrow a 24 percent increase in gross profits and free capital and equipment for the new Santa Maria plant. In addition, the existing customers of the Hudson plant could be serviced by the Spartanburg, South Carolina, plant, which is currently being underutilized. What would have to be done if the plant-closing act applied to the situation?</w:t>
      </w:r>
      <w:r>
        <w:rPr>
          <w:rStyle w:val="apple-converted-space"/>
          <w:rFonts w:ascii="Calibri" w:hAnsi="Calibri" w:cs="Calibri"/>
          <w:color w:val="2689C6"/>
          <w:sz w:val="20"/>
          <w:szCs w:val="20"/>
          <w:lang w:val="en"/>
        </w:rPr>
        <w:t> </w:t>
      </w:r>
      <w:r>
        <w:rPr>
          <w:rFonts w:ascii="Calibri" w:hAnsi="Calibri" w:cs="Calibri"/>
          <w:color w:val="2689C6"/>
          <w:sz w:val="20"/>
          <w:szCs w:val="20"/>
          <w:vertAlign w:val="superscript"/>
          <w:lang w:val="en"/>
        </w:rPr>
        <w:t>[2]</w:t>
      </w:r>
    </w:p>
    <w:p w:rsidR="00A86150" w:rsidRDefault="0081777E">
      <w:pPr>
        <w:spacing w:after="0"/>
        <w:jc w:val="center"/>
        <w:divId w:val="2059282897"/>
      </w:pPr>
      <w:r>
        <w:pict>
          <v:rect id="_x0000_i1152"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Mc Laughlin v. Rowley</w:t>
      </w:r>
      <w:r>
        <w:rPr>
          <w:rFonts w:ascii="Calibri" w:hAnsi="Calibri" w:cs="Calibri"/>
          <w:color w:val="333333"/>
          <w:sz w:val="20"/>
          <w:szCs w:val="20"/>
        </w:rPr>
        <w:t>, 69 F.Supp. 1333 (N.D. Tex. 1988).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Arrow Automotive Industries, Inc. v. NLRB</w:t>
      </w:r>
      <w:r>
        <w:rPr>
          <w:rFonts w:ascii="Calibri" w:hAnsi="Calibri" w:cs="Calibri"/>
          <w:color w:val="333333"/>
          <w:sz w:val="20"/>
          <w:szCs w:val="20"/>
        </w:rPr>
        <w:t>, 853 F.2d 233 (4th Cir. 1989).</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30.4</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Disparate Treatment: Burdens of Proof</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Barbano v. Madison County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922 F.2d 139 (2d Cir. 1990)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Factual Background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Madison County (New York State) Veterans Service Agency, the position of director became vacant. The County Board of Supervisors created a committee of five men to hold interviews for the position. The committee interviewed Maureen E. Barbano and four others. When she entered the interview room, she heard someone say, “Oh, another woman.” At the beginning of the interview, Donald Greene said he would not consider “some woman” for the position. Greene also asked Barbano some personal questions about her family plans and whether her husband would mind if she transported male veterans. Ms. Barbano answered that the questions were irrelevant and discriminatory. However, Greene replied that the questions were relevant because he did not want to hire a woman who would get pregnant and quit. Another committee member, Newbold, agreed that the questions were relevant, and no committee member said the questions were not relevant.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 interviewers rebuked Greene or objected to the questions, and none of them told Barbano that she need not answer them. Barbano did state that if she decided to have a family she would take no more time off than medically necessary. Greene once again asked whether Barbano’s husband would object to her “running around the country with men” and said he would not want his wife to do it. Barbano said she was not his wife. The interview concluded after Barbano asked some questions about insurance.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interviewing several other candidates, the board hired a man. Barbano sued the county for sex discrimination in violation of Title VII, and the district court held in her favor. She was awarded $55,000 in back pay, prejudgment interest, and attorney’s fees. Madison County appealed the judgment of Federal District Judge McAvoy; Barbano cross-appealed, asking for additional damages.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then found that Barbano had established a prima facie case of discrimination under Title VII, thus bringing into issue the appellants’ purported reasons for not hiring her. The appellants provided four reasons why they chose Wagner over Barbano, which the district court rejected either as unsupported by the record or as a pretext for discrimination in light of Barbano’s interview. The district court then found that because of Barbano’s education and experience in social services, the appellants had failed to prove that absent the discrimination, they still would not have hired Barbano. Accordingly, the court awarded Barbano back pay, prejudgment interest, and attorney’s fees. Subsequently, the court denied Barbano’s request for front pay and a mandatory injunction ordering her appointment as director upon the next vacancy. This appeal and cross-appeal followed.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From the Opinion of FEINBERG, CIRCUIT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argue that the district court erred in finding that Greene’s statements during the interview showed that the Board discriminated in making the hiring decision, and that there was no direct evidence of discrimination by the Board, making it improper to require that appellants prove that they would not have hired Barbano absent the discrimination. Barbano in turn challenges the adequacy of the relief awarded to her by the district court.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outset, we note that Judge McAvoy’s opinion predated Price Waterhouse v. Hopkins, 490 U.S. 228, 109 S. Ct. 1775, 104 L. Ed. 2d 268 (1990), in which the Supreme Court made clear that a “pretext” case should be analyzed differently from a “mixed motives” case.</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109 S. Ct. at 1788-89. Judge McAvoy, not having the benefit of the Court’s opinion in Price Waterhouse, did not clearly distinguish between the two types of cases in analyzing the alleged discrimination. For purposes of this appeal, we do not think it is crucial how the district court categorized the case. Rather, we need only concern ourselves with whether the district court’s findings of fact are supported by the record and whether the district court applied the proper legal standards in light of its factual findings.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case is one of pretext or mixed motives, the plaintiff bears the burden of persuasion on the issue of whether gender played a part in the employment decision.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 v. Hopkins, at 1788</w:t>
      </w:r>
      <w:r>
        <w:rPr>
          <w:rFonts w:ascii="Georgia" w:hAnsi="Georgia" w:cs="Calibri"/>
          <w:color w:val="333333"/>
          <w:sz w:val="20"/>
          <w:szCs w:val="20"/>
        </w:rPr>
        <w:t>. Appellants contend that Barbano did not sustain her burden of proving discrimination because the only evidence of discrimination involved Greene’s statements during the interview, and Greene was an elected official over whom the other members of the Board exercised no control. Thus, appellants maintain, since the hiring decision was made by the 19-member board, evidence of discrimination by one member does not establish that the Board discriminated in making the hiring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that discrimination by one individual does not necessarily imply that a collective decision-making body of which the individual is a member also discriminated. However, the record before us supports the district court’s finding that the Board discriminated in making the hiring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there is little doubt that Greene’s statements during the interview were discriminatory. He said he would not consider “some woman” for the position. His questioning Barbano about whether she would get pregnant and quit was also discriminatory, since it was unrelated to a bona fide occupational qualification. King v. Trans World Airlines, 738 F.2d 255, 258 n.2 (8th Cir. 1984). Similarly, Greene’s questions about whether Barbano’s husband would mind if she had to “run around the country with men,” and that he would not want his wife to do it, were discriminatory, since once again the questions were unrelated to bona fide occupational qualifications.</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at 1786.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the import of Greene’s discriminatory questions was substantial, since apart from one question about her qualifications, none of the interviewers asked Barbano about other areas that allegedly formed the basis for selecting a candidate. Thus, Greene’s questioning constituted virtually the entire interview, and so the district court properly found that the interview itself was discriminatory.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given the discriminatory tenor of the interview, and the acquiescence of the other Committee members to Greene’s line of questioning, it follows that the judge could find that those present at the interview, and not merely Greene, discriminated against Barbano. Judge McAvoy pointed out that the Chairman of the Committee, Newbold, thought Greene’s discriminatory questions were relevant. Significantly, Barbano protested that Greene’s questions were discriminatory, but no one agreed with her or told her that she need not answer. Indeed, no one even attempted to steer the interview in another direction. This knowing and informed toleration of discriminatory statements by those participating in the interview constitutes evidence of discrimination by all those present. That each member was independently elected to the Board does not mean that the Committee itself was unable to control the course of the interview. The Committee had a choice of how to conduct the interview, and the court could find that the Committee exercised that choice in a plainly discriminatory fashion.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discrimination directly affected the hiring decision. At the end of the interviewing process, the interviewers evaluated the candidates, and on that basis submitted a recommendation as to which candidate to hire for the position. “Evaluation does not occur in a vacuum. By definition, when evaluating a candidate to fill a vacant position, one compares that candidate against other eligible candidates.” Berl v. County of Westchester, 849 F.2d 712, 715 (2d Cir. 1988). Appellants stipulated that Barbano was qualified for the position. Again, because Judge McAvoy could find that the evaluation of Barbano was biased by gender discrimination, the judge could also find that the Committee’s recommendation to hire Wagner, which was the result of a weighing of the relative merits of Barbano, Wagner and the other eligible candidates, was necessarily tainted by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in turn unanimously accepted the Committee’s recommendation to hire Wagner, and so the Board’s hiring decision was made in reliance upon a discriminatory recommendation. The Supreme Court in Hopkins v. Price Waterhouse found that a collective decision-making body can discriminate by relying upon discriminatory recommendations, and we are persuaded that the reasoning in that case applies here as well.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Hopkins’ case against Price Waterhouse, Ann Hopkins, a candidate for partnership at the accounting firm of Price Waterhouse, alleged that she was refused admission as a partner because of sex discrimination. Hopkins’s evidence of discrimination consisted largely of evaluations made by various partners. Price Waterhouse argued that such evidence did not prove that its internal Policy Board, which was the effective decision-maker as to partnership in that case, had discriminated. The Court rejected that argument and found the evidence did establish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Hopkins showed that the partnership solicited evaluations from all of the firm’s partners; that it generally relied very heavily on such evaluations in making its decision; that some of the partners’ comments were the product of [discrimination]; and that the firm in no way disclaimed reliance on those particular comments, either in Hopkins’ case or in the past. Certainly, a plausible—and, one might say, inevitable—conclusion to draw from this set of circumstances is that the Policy Board in making its decision did in fact take into account all of the partners’ comments, including the comments that were motivated by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Hopkins</w:t>
      </w:r>
      <w:r>
        <w:rPr>
          <w:rFonts w:ascii="Georgia" w:hAnsi="Georgia" w:cs="Calibri"/>
          <w:color w:val="333333"/>
          <w:sz w:val="20"/>
          <w:szCs w:val="20"/>
        </w:rPr>
        <w:t>, at 1794.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very significant sense, Barbano presents an even stronger case of discrimination because the only recommendation the Board relied upon here was discriminatory, whereas in Price Waterhouse, not all of the evaluations used in the decision-making process were discriminatory. On the other hand, it is true that the discriminatory content of some of the evaluations in Price Waterhouse was apparent from reading them, whereas here, the recommendation was embodied in a resolution to the Board and a reading of the resolution would not reveal that it was tainted by discrimination. Nonetheless, the facts in this case show that the Board was put on notice before making the appointment that the Committee’s recommendation was biased by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Barbano was a member of the public in attendance at the Board meeting in March 1980 when the Board voted to appoint Wagner. Before the Board adopted the resolution appointing Wagner, Barbano objected and asked the Board if male applicants were asked the questions she was asked during the interview. At this point, the entire Board membership was alerted to the possibility that the Committee had discriminated against Barbano during her interview. The Committee members did not answer the question, except for Newbold, who evaded the issue by stating that he did not ask such questions. The Board’s ability to claim ignorance at this point was even further undermined by the fact that the Chairman of the Board, Callahan, was present at many of the interviews, including Barbano’s, in his role as Chairman of the Board. Callahan did not refute Barbano’s allegations, implying that they were worthy of credence, and none of the Board members even questioned Callahan on the matter.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clear that those present understood Barbano was alleging that she had been subjected to discrimination during her interview. John Patane, a member of the Board who had not interviewed Barbano, asked Barbano whether she was implying that Madison County was not an equal opportunity employer. Barbano said yes. Patane said the County already had their “token woman.” Callahan apologized to Barbano for “any improper remarks that may have been made,” but an apology for discrimination does not constitute an attempt to eliminate the discrimination from the hiring decision. Even though the Board was aware of possible improprieties, it made no investigation whatsoever into the allegations and did not disclaim any reliance upon the discrimination. In short, the circumstances show the Board was willing to rely on the Committee’s recommendation even if Barbano had been discriminated against during her interview. On these facts, it was not clearly erroneous for the district court to conclude that Barbano sustained her burden of proving discrimination by the Board.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 The Employer’s Burden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found that Barbano carried her burden of proving discrimination, the district court then placed the burden on appellants to prove by a preponderance of the evidence that, absent the discrimination, they would not have hired Barbano for the position. Appellants argue that this burden is only placed on an employer if the plaintiff proves discrimination by direct evidence, and since Barbano’s evidence of discrimination was merely circumstantial, the district court erred by placing the burden of proof on them. Appellants, however, misapprehend the nature of Barbano’s proof and thus the governing legal standard.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burden is properly placed on the defendant “once the plaintiff establishes by direct evidence that an illegitimate factor played a motivating or substantial role in an employment decision.” Grant v. Hazelett Strip-Casting Corp., 880 F.2d 1564, 1568 (2d Cir. 1989). Thus, the key inquiry on this aspect of the case is whether the evidence is direct, that is, whether it shows that the impermissible criterion played some part in the decision-making process. See</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at 1791;</w:t>
      </w:r>
      <w:r>
        <w:rPr>
          <w:rStyle w:val="apple-converted-space"/>
          <w:rFonts w:ascii="Georgia" w:hAnsi="Georgia" w:cs="Calibri"/>
          <w:color w:val="333333"/>
          <w:sz w:val="20"/>
          <w:szCs w:val="20"/>
        </w:rPr>
        <w:t> </w:t>
      </w:r>
      <w:r>
        <w:rPr>
          <w:rStyle w:val="Emphasis"/>
          <w:rFonts w:ascii="Georgia" w:hAnsi="Georgia" w:cs="Calibri"/>
          <w:color w:val="333333"/>
          <w:sz w:val="20"/>
          <w:szCs w:val="20"/>
        </w:rPr>
        <w:t>Grant</w:t>
      </w:r>
      <w:r>
        <w:rPr>
          <w:rFonts w:ascii="Georgia" w:hAnsi="Georgia" w:cs="Calibri"/>
          <w:color w:val="333333"/>
          <w:sz w:val="20"/>
          <w:szCs w:val="20"/>
        </w:rPr>
        <w:t>, 880 F.2d at 1569. If plaintiff provides such evidence, the fact-finder must then determine whether the evidence shows that the impermissible criterion played a motivating or substantial part in the hiring decision. Grant, 880 F.2d at 1569.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found above, the evidence shows that Barbano’s gender was clearly a factor in the hiring decision. That the discrimination played a substantial role in that decision is shown by the importance of the recommendation to the Board. As Rafte testified, the Board utilizes a committee system, and so the Board “usually accepts” a committee’s recommendation, as it did here when it unanimously voted to appoint Wagner. Had the Board distanced itself from Barbano’s allegations of discrimination and attempted to ensure that it was not relying upon illegitimate criteria in adopting the Committee’s recommendation, the evidence that discrimination played a substantial role in the Board’s decision would be significantly weakened. The Board showed no inclination to take such actions, however, and in adopting the discriminatory recommendation allowed illegitimate criteria to play a substantial role in the hiring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thus properly required appellants to show that the Board would not have hired Barbano in the absence of discrimination. “The employer has not yet been shown to be a violator, but neither is it entitled to the…presumption of good faith concerning its employment decisions. At this point the employer may be required to convince the fact-finder that, despite the smoke, there is no fire.”</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at 1798-99 (O’Connor, J., concurring).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Judge McAvoy noted in his opinion that appellants claimed they chose Wagner over Barbano because he was better qualified in the following areas: (1) interest in veterans’ affairs; (2) experience in the military; (3) tactfulness; and (4) experience supervising an office. The judge found that the evidence before him supported only appellants’ first and second reasons for refusing to hire Barbano, but acknowledged that the Committee members “were enamored with Wagner’s military record and involvement with veterans’ organizations.” However, neither of these is listed as a job requirement in the job description, although the district court found that membership in a veterans’ organization may indicate an interest in veterans’ affairs. Nonetheless, the district court found that given Barbano’s “education and experience in social services,” appellants failed to carry their burden of proving by a preponderance of the evidence that, absent discrimination, they would not have hired Barbano.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properly held appellants to a preponderance of the evidence standard.</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109 S. Ct. at 1795.…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hiring decision in 1980, Barbano had been a Social Welfare Examiner for Madison County for the three previous years. In this position, she determined the eligibility of individuals for public assistance, medicaid or food stamps, and would then issue or deny the individual’s application based on all federal, state and local regulations pertaining to the program from which the individual was seeking assistance. Barbano was thus familiar with the operation of public assistance programs, knew how to fill out forms relating to benefits and had become familiar with a number of welfare agencies that could be of use to veterans. Barbano was also working towards an Associate Degree in Human Services at the time. Rafte testified that Barbano’s resume was “very impressive.” Moreover, Barbano, unlike Wagner, was a resident of Madison County, and according to Rafte, a candidate’s residency in the county was considered to be an advantage. Finally, Barbano had also enlisted in the United States Marine Corps in 1976, but during recruit training had been given a vaccine that affected her vision. She had received an honorable discharge shortly thereafter.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Wagner had nine years experience as an Air Force Personnel Supervisor, maintaining personnel records, had received a high school equivalency diploma and took several extension classes in management. He had been honorably discharged from the Air Force in 1965 with the rank of Staff Sergeant. Wagner was a member of the American Legion, and his application for the position included recommendations from two American Legion members. However, for the six years prior to his appointment as Director, Wagner’s sole paid employment was as a school bus driver and part-time bartender at the American Legion. Wagner admitted that before he was hired he had no knowledge of federal, state and local laws, rules and regulations pertaining to veterans’ benefits and services, or knowledge of the forms, methods and procedures used to process veteran benefits claims. Wagner also had not maintained liaison with welfare agencies and was unfamiliar with the various welfare agencies that existed in the county.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sure, both candidates were qualified for the Director’s position, and it is not our job—nor was it the district court’s—to decide which one was preferable. However, there is nothing to indicate that Judge McAvoy misconceived his function in this phase of the case, which was to decide whether appellants failed to prove by a preponderance of the evidence that they would not have hired Barbano even if they had not discriminated against her. The judge found that defendants had not met that burden. We must decide whether that finding was clearly erroneous, and we cannot say that it was.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Madison County contended that Barbano needed to provide “direct evidence” of discrimination that had played a motivating or substantial part in the decision. What would such evidence look like? Is it likely that most plaintiffs who are discriminated against because of their gender would be able to get “direct evidence” that gender was a motivating or substantial factor?</w:t>
      </w:r>
    </w:p>
    <w:p w:rsidR="00A86150" w:rsidRDefault="00F714D4">
      <w:pPr>
        <w:numPr>
          <w:ilvl w:val="0"/>
          <w:numId w:val="7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“clearly erroneous” standard is applied here, as it is in many cases where appellate courts review trial court determinations. State the test, and say why the appellate court believed that the trial judge’s ruling was not “clearly erroneous.”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Title VII and Hostile Work Environment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v. General Motors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300 F.3d 928 (8th Cir. 2002)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OPINION BY HANSEN, Circuit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Junior College District of St. Louis (the College) arranged for Diana Duncan to provide in-house technical training at General Motors Corporation’s (GMC) manufacturing facility in Wentzville, Missouri. Throughout her tenure at GMC, Duncan was subjected to unwelcome attention by a GMC employee, James Booth, which culminated in Duncan’s resignation. Duncan subsequently filed this suit under Title VII of the Civil Rights Act and the Missouri Human Rights Act, see 42 U.S.C. §§ 2000e-2000e-17; Mo. Rev. Stat. §§ 213.010-213.137,</w:t>
      </w:r>
      <w:r>
        <w:rPr>
          <w:rFonts w:ascii="Georgia" w:hAnsi="Georgia" w:cs="Calibri"/>
          <w:color w:val="333333"/>
          <w:sz w:val="15"/>
          <w:szCs w:val="15"/>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alleging that she was sexually harassed and constructively discharged. A jury found in favor of Duncan and awarded her $4600 in back pay, $700,000 in emotional distress damages on her sexual harassment claim, and $300,000 in emotional distress damages on her constructive discharge claim. GMC appeals from the district court’s denial of its post trial motion for judgment as a matter of law, and the district court’s award of attorneys’ fees attendant to the post trial motion. We reverse.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Diana Duncan worked as a technical training clerk in the high-tech area at GMC as part of the College’s Center for Business, Industry, and Labor program from August 1994 until May 1997. Duncan provided in-house training support to GMC employees.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first learned about the College’s position at GMC from Booth, a United Auto Workers Union technology training coordinator for GMC. Booth frequented the country club where Duncan worked as a waitress and a bartender. Booth asked Duncan if she knew anyone who had computer and typing skills and who might be interested in a position at GMC. Duncan expressed interest in the job. Booth brought the pre-employment forms to Duncan at the country club, and he forwarded her completed forms to Jerry Reese, the manager of operations, manufacturing, and training for the College. Reese arranged to interview Duncan at GMC. Reese, Booth, and Ed Ish, who was Booth’s management counterpart in the high-tech area of the GMC plant, participated in the interview. Duncan began work at GMC in August 1994.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weeks after Duncan began working at GMC, Booth requested an off-site meeting with her at a local restaurant. Booth explained to Duncan that he was in love with a married coworker and that his own marriage was troubled. Booth then propositioned Duncan by asking her if she would have a relationship with him. Duncan rebuffed his advance and left the restaurant. The next day Duncan mentioned the incident to the paint department supervisor Joe Rolen, who had no authority over Booth. Duncan did not report Booth’s conduct to either Reese (her supervisor) at the College or Ish (Booth’s management counterpart) at GMC. However, she did confront Booth, and he apologized for his behavior. He made no further such “propositions.” Duncan stated that Booth’s manner toward her after she declined his advance became hostile, and he became more critical of her work. For example, whenever she made a typographical error, he told her that she was incompetent and that he should hire a “Kelly Services” person to replace her. Duncan admitted that Booth’s criticisms were often directed at other employees as well, including male coworkers.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testified to numerous incidents of Booth’s inappropriate behavior. Booth directed Duncan to create a training document for him on his computer because it was the only computer with the necessary software. The screen saver that Booth had selected to use on his computer was a picture of a naked woman. Duncan testified to four or five occasions when Booth would unnecessarily touch her hand when she handed him the telephone. In addition, Booth had a planter in his office that was shaped like a slouched man wearing a sombrero. The planter had a hole in the front of the man’s pants that allowed for a cactus to protrude. The planter was in plain view to anyone entering Booth’s office. Booth also kept a child’s pacifier that was shaped like a penis in his office that he occasionally showed to his coworkers and specifically to Duncan on two occasions.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1995, Duncan requested a pay increase and told Booth that she would like to be considered for an illustrator’s position. Booth said that she would have to prove her artistic ability by drawing his planter. Duncan objected, particularly because previous applicants for the position were required to draw automotive parts and not his planter. Ultimately, Duncan learned that she was not qualified for the position because she did not possess a college degree.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Additionally in 1995, Booth and a College employee created a “recruitment” poster that was posted on a bulletin board in the high-tech area. The poster portrayed Duncan as the president and CEO of the Man Hater’s Club of America. It listed the club’s membership qualifications as: “Must always be in control of: (1) Checking, Savings, all loose change, etc.; (2) (Ugh) Sex; (3) Raising children our way!; (4) Men must always do household chores; (5) Consider T.V. Dinners a gourmet meal.”…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5, 1997, Booth asked Duncan to type a draft of the beliefs of the “He-Men Women Hater’s Club.” The beliefs included the following: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—Constitutional Amendment, the 19th, giving women [the] right to vote should be repealed. Real He-Men indulge in a lifestyle of cursing, using tools, handling guns, driving trucks, hunting and of course, drinking beer.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—Women really do have coodies [sic] and they can spread.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—Women [are] the cause of 99.9 per cent of stress in men.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—Sperm has a right to live.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great chiefs of the world are men.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—Prostitution should be legalized.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refused to type the beliefs and resigned two days later.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testified that she complained to anyone who would listen to her about Booth’s behavior, beginning with paint department supervisor Joe Rolen after Booth propositioned her in 1994. Duncan testified that between 1994 and 1997 she complained several times to Reese at the College about Booth’s behavior, which would improve at least in the short term after she spoke with Reese.…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filed a charge of sex discrimination with the Equal Employment Opportunity Commission (EEOC) on October 30, 1997. The EEOC issued Duncan a right to sue notice on April 17, 1998. Alleging sexual harassment and constructive discharge, Duncan filed suit against the College and GMC under both Title VII of the Civil Rights Act and the Missouri Human Rights Act. Duncan settled with the College prior to trial. After the jury found in Duncan’s favor on both counts against GMC, GMC filed a post-trial motion for judgment as a matter of law or, alternatively, for a new trial. The district court denied the motion. The district court also awarded Duncan attorneys’ fees in conjunction with GMC’s post-trial motion. GMC appeals.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Hostile Work Environment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GMC argues that it was entitled to judgment as a matter of law on Duncan’s hostile work environment claim because she failed to prove a prima facie case. We agree.…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undisputed that Duncan satisfies the first two elements of her prima facie case: she is a member of a protected group and Booth’s attention was unwelcome. We also conclude that the harassment was based on sex.…Although there is some evidence in the record that indicates some of Booth’s behavior, and the resulting offensive and disagreeable atmosphere, was directed at both male and female employees, GMC points to ten incidents when Booth’s behavior was directed at Duncan alone. GMC concedes that five of these ten incidents could arguably be based on sex: (1) Booth’s proposition for a “relationship”; (2) Booth’s touching of Duncan’s hand; (3) Booth’s request that Duncan sketch his planter; (4) the Man Hater’s Club poster; and (5) Booth’s request that Duncan type the He-Men Women Haters beliefs. “A plaintiff in this kind of case need not show…that only women were subjected to harassment, so long as she shows that women were the primary target of such harassment.” We conclude that a jury could reasonably find that Duncan and her gender were the overriding themes of these incidents. The evidence is sufficient to support the jury finding that the harassment was based on sex.</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however, with GMC’s assertion that the alleged harassment was not so severe or pervasive as to alter a term, condition, or privilege of Duncan’s employment.…To clear the high threshold of actionable harm, Duncan has to show that “the workplace is permeated with discriminatory intimidation, ridicule, and insult.” Harris v. Forklift Systems, Inc., 510 U.S. 17, 21, 126 L. Ed. 2d 295, 114 S. Ct. 367 (1993) (internal quotations omitted). “Conduct that is not severe or pervasive enough to create an objectively hostile or abusive work environment—an environment that a reasonable person would find hostile or abusive—is beyond Title VII’s purview.” Oncale, 523 U.S. at 81 (internal quotation omitted). Thus, the fourth part of a hostile environment claim includes both objective and subjective components: an environment that a reasonable person would find hostile and one that the victim actually perceived as abusive. Harris, 510 U.S. at 21-22. In determining whether the conduct is sufficiently severe or pervasive, we look to the totality of the circumstances, including the “frequency of the discriminatory conduct; its severity; whether it is physically threatening or humiliating, or a mere offensive utterance; and whether it unreasonably interferes with an employee’s work performance.”…These standards are designed to “filter out complaints attacking the ordinary tribulations of the workplace, such as the sporadic use of abusive language, gender-related jokes, and occasional teasing.” Faragher v. City of Boca Raton, 524 U.S. 775, 788, 141 L. Ed. 2d 662, 118 S. Ct. 2275 (1998) (internal quotations omitted).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presented at trial illustrates that Duncan was upset and embarrassed by the posting of the derogatory poster and was disturbed by Booth’s advances and his boorish behavior; but, as a matter of law, she has failed to show that these occurrences in the aggregate were so severe and extreme that a reasonable person would find that the terms or conditions of Duncan’s employment had been altered.…Numerous cases have rejected hostile work environment claims premised upon facts equally or more egregious than the conduct at issue here. See, e.g., Shepherd v. Comptroller of Pub. Accounts, 168 F.3d 871, 872, 874 (5th Cir.) (holding that several incidents over a two-year period, including the comment “your elbows are the same color as your nipples,” another comment that plaintiff had big thighs, repeated touching of plaintiff’s arm, and attempts to look down the plaintiff’s dress, were insufficient to support hostile work environment claim), cert. denied, 528 U.S. 963, 145 L. Ed. 2d 308, 120 S. Ct. 395 (1999); Adusumilli v. City of Chicago, 164 F.3d 353, 357, 361-62 (7th Cir. 1998) (holding conduct insufficient to support hostile environment claim when employee teased plaintiff, made sexual jokes aimed at her, told her not to wave at police officers “because people would think she was a prostitute,” commented about low-necked tops, leered at her breasts, and touched her arm, fingers, or buttocks on four occasions), cert. denied, 528 U.S. 988, 145 L. Ed. 2d 367, 120 S. Ct. 450 (1999); Black v. Zaring Homes,, Inc., 104 F.3d 822, 823-24, 826 (6th Cir.) (reversing jury verdict and holding behavior merely offensive and insufficient to support hostile environment claim when employee reached across plaintiff, stating “nothing I like more in the morning than sticky buns” while staring at her suggestively; suggested to plaintiff that parcel of land be named “Hootersville,” “Titsville,” or “Twin Peaks”; and asked “weren’t you there Saturday night dancing on the tables?” while discussing property near a biker bar), cert. denied, 522 U.S. 865, 139 L. Ed. 2d 114, 118 S. Ct. 172 (1997); Weiss v. Coca-Cola Bottling Co., 990 F.2d 333, 337 (7th Cir. 1993) (holding no sexual harassment when plaintiff’s supervisor asked plaintiff for dates, asked about her personal life, called her a “dumb blond,” put his hand on her shoulder several times, placed “I love you” signs at her work station, and attempted to kiss her twice at work and once in a bar).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Booth’s actions were boorish, chauvinistic, and decidedly immature, but we cannot say they created an objectively hostile work environment permeated with sexual harassment. Construing the evidence in the light most favorable to Duncan, she presented evidence of four categories of harassing conduct based on her sex: a single request for a relationship, which was not repeated when she rebuffed it, four or five isolated incidents of Booth briefly touching her hand, a request to draw a planter, and teasing in the form of a poster and beliefs for an imaginary club. It is apparent that these incidents made Duncan uncomfortable, but they do not meet the standard necessary for actionable sexual harassment. It is worth noting that Duncan fails to even address this component of her prima facie case in her brief. We conclude as a matter of law that she did not show a sexually harassing hostile environment sufficiently severe or pervasive so as to alter the conditions of her employment, a failure that dooms Duncan’s hostile work environment claim. See Meritor Sav. Bank, FSB v. Vinson, 477 U.S. 57, 67, 91 L. Ed. 2d 49, 106 S. Ct. 2399 (1986).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we reverse the district court’s denial of judgment as a matter of law. Because GMC should have prevailed on its post-trial motion, the award of attorneys’ fees is likewise vacated.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RICHARD S. ARNOLD, Circuit Judge, dissenting.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concludes that the harassment suffered by Ms. Duncan was not so severe or pervasive as to alter a term, condition, or privilege of her employment, and that, therefore, GMC is entitled to judgment as a matter of law on her hostile-work environment and constructive-discharge claims. I respectfully disagree.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Ms. Duncan was subjected to a long series of incidents of sexual harassment in her workplace, going far beyond “gender-related jokes and occasional teasing.” Faragher v. City of Boca Raton, 524 U.S. 775, 788 (1988). When the evidence is considered in the light most favorable to her, and she is given the benefit of all reasonable inferences, there is “substantial evidence to sustain the cause of action.” Stockmen’s Livestock Market, Inc. v. Norwest Bank of Sioux City, 135 F.3d 1236, 1240 (8th Cir. 1998) In Ms. Duncan’s case, a jury reached the conclusion that Mr. Booth’s offensive behavior created a hostile work environment. I believe this determination was reasonable and supported by ample evidence.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Ms. Duncan was subjected to a sexual advance by her supervisor within days of beginning her job. This proposition occurred during work hours and was a direct request for a sexual relationship. The Court characterizes this incident as a “single request,” (but) [t]his description minimizes the effect of the sexual advance on Ms. Duncan’s working conditions. During the months immediately following this incident, Mr. Booth became hostile to Ms. Duncan, increased his criticism of her work, and degraded her professional capabilities in front of her peers. Significantly, there is no suggestion that this hostile behavior occurred</w:t>
      </w:r>
      <w:r>
        <w:rPr>
          <w:rStyle w:val="Emphasis"/>
          <w:rFonts w:ascii="Georgia" w:hAnsi="Georgia" w:cs="Calibri"/>
          <w:color w:val="333333"/>
          <w:sz w:val="20"/>
          <w:szCs w:val="20"/>
        </w:rPr>
        <w:t>before</w:t>
      </w:r>
      <w:r>
        <w:rPr>
          <w:rStyle w:val="apple-converted-space"/>
          <w:rFonts w:ascii="Georgia" w:hAnsi="Georgia" w:cs="Calibri"/>
          <w:color w:val="333333"/>
          <w:sz w:val="20"/>
          <w:szCs w:val="20"/>
        </w:rPr>
        <w:t> </w:t>
      </w:r>
      <w:r>
        <w:rPr>
          <w:rFonts w:ascii="Georgia" w:hAnsi="Georgia" w:cs="Calibri"/>
          <w:color w:val="333333"/>
          <w:sz w:val="20"/>
          <w:szCs w:val="20"/>
        </w:rPr>
        <w:t>Ms. Duncan refused his request for sex. From this evidence, a jury could easily draw the inference that Mr. Booth changed his attitude about Ms. Duncan’s work because she rejected his sexual advance.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this sexual overture was not an isolated incident. It was only the beginning of a string of degrading actions that Mr. Booth directed toward Ms. Duncan based on her sex. This inappropriate behavior took many forms, from physical touching to social humiliation to emotional intimidation. For example, Mr. Booth repeatedly touched Ms. Duncan inappropriately on her hand. He publicly singled her out before her colleagues as a “Man Hater” who “must always be in control of” sex. He required her to choose between drawing a vulgar planter displayed in his office or not being considered for a promotion, an unfair choice that would likely intimidate a reasonable person from seeking further career advancement.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cites cases in which our sister Circuits have rejected hostile-work environment claims premised upon facts that the Court determines to be “equally or more egregious” than the conduct at issue here. I do not agree that Ms. Duncan experienced less severe harassment than those plaintiffs. For example, in Weiss v. Coca-Cola Bottling Co., 990 F.2d 333 (7th Cir. 1993), the plaintiff did not allege that her work duties or evaluations were different because of her sex. This is not the situation Ms. Duncan faced. She was given specific tasks of a sexually charged nature, such as typing up the minutes of the “He-Man Women Hater’s Club.” Performing this “function” was presented to her as a required duty of her job.</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Ms. Duncan was subjected to allegations that she was professionally “incompetent because of her sex.”…She adduced evidence of this factor when she testified that after she rejected his sexual advance, Mr. Booth became more critical of her work. With the request for her to draw the planter for a promotion, Ms. Duncan also faced “conduct that would prevent her from succeeding in the workplace,” a fact that Ms. Shepherd could not point to in her case. Additionally, Ms. Duncan was “propositioned” to sleep with her employer…a claim not made by Ms. Shepherd.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note that in Ms. Duncan’s case the harassing acts were directed specifically at her. The Court in Black v. Zaring Homes, 104 F.3d 822, 826 (6th Cir.), cert. denied, 522 U.S. 865, 139 L. Ed. 2d 114, 118 S. Ct. 172 (1997), stated that the lack of specific comments to the plaintiff supported the conclusion that the defendant’s conduct was not severe enough to create actionable harm. By contrast, in the present case, a jury could reasonably conclude that Ms. Duncan felt particularly humiliated and degraded by Mr. Booth’s behavior because she alone was singled out for this harassment.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own Court’s Title VII jurisprudence suggests that Ms. Duncan experienced enough offensive conduct to constitute sexual harassment. For example, in Breeding v. Arthur J. Gallagher and Co. we reversed a grant of summary judgment to an employer, stating that a supervisor who “fondled his genitals [**25] in front of” a female employee and “used lewd and sexually inappropriate language” could create an environment severe enough to be actionable under Title VII. 164 F.3d 1151, 1159 (8th Cir. 1999). In Rorie v. United Parcel Service, we concluded that a work environment in which “a supervisor pats a female employee on the back, brushes up against her, and tells her she smells good” could be found by a jury to be a hostile work environment. 151 F.3d 757, 762 (8th Cir. 1998). Is it clear that the women in these cases suffered harassment greater than Ms. Duncan? I think not.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acknowledged that “there is no bright line between sexual harassment and merely unpleasant conduct, so a jury’s decision must generally stand unless there is trial error.” Hathaway v. Runyon, 132 F.3d 1214, 1221 (8th Cir. 1998). We have also ruled that “once there is evidence of improper conduct and subjective offense, the determination of whether the conduct rose to the level of abuse is largely in the hands of the jury.” Howard v. Burns Bros., Inc., 149 F.3d 835, 840 (8th Cir. 1998). The Court admits that Ms. Duncan took subjective offense to Mr. Booth’s behavior and characterizes Mr. Booth’s behavior as “boorish, chauvinistic, and decidedly immature.” Thus, the Court appears to agree that Mr. Booth’s behavior was “improper conduct.” I believe the Court errs in deciding as a matter of law that the jury did not act reasonably in concluding that Ms. Duncan faced severe or pervasive harassment that created a hostile work environment.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I dissent from the Court’s conclusion that Ms. Duncan did not present sufficient evidence to survive judgment as a matter of law on her hostile work-environment and constructive-discharge claims.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opinion is more persuasive to you—the majority opinion or the dissenting opinion?</w:t>
      </w:r>
    </w:p>
    <w:p w:rsidR="00A86150" w:rsidRDefault="00F714D4">
      <w:pPr>
        <w:numPr>
          <w:ilvl w:val="0"/>
          <w:numId w:val="7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“Numerous cases have rejected hostile work environment claims premised upon facts equally or more egregious than the conduct at issue here.” By what standard or criteria does the majority opinion conclude that Duncan’s experiences were no worse than those mentioned in the other cases?</w:t>
      </w:r>
    </w:p>
    <w:p w:rsidR="00A86150" w:rsidRDefault="00F714D4">
      <w:pPr>
        <w:numPr>
          <w:ilvl w:val="0"/>
          <w:numId w:val="7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Should the majority on the appeals court substitute its judgment for that of the jury?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Age Discrimination: Burden of Persuasion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Gross v. FBL Financial Services, Inc.</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557 U.S. ___ (2009)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CLARENCE THOMAS delivered the opinion of the court.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Jack Gross began working for respondent FBL Financial Group, Inc. (FBL), in 1971. As of 2001, Gross held the position of claims administration director. But in 2003, when he was 54 years old, Gross was reassigned to the position of claims project coordinator. At that same time, FBL transferred many of Gross’ job responsibilities to a newly created position—claims administration manager. That position was given to Lisa Kneeskern, who had previously been supervised by Gross and who was then in her early forties. Although Gross (in his new position) and Kneeskern received the same compensation, Gross considered the reassignment a demotion because of FBL’s reallocation of his former job responsibilities to Kneeskern.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April 2004, Gross filed suit in District Court, alleging that his reassignment to the position of claims project coordinator violated the ADEA, which makes it unlawful for an employer to take adverse action against an employee “because of such individual’s age.” 29 U. S. C. §623(a). The case proceeded to trial, where Gross introduced evidence suggesting that his reassignment was based at least in part on his age. FBL defended its decision on the grounds that Gross’ reassignment was part of a corporate restructuring and that Gross’ new position was better suited to his skills.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close of trial, and over FBL’s objections, the District Court instructed the jury that it must return a verdict for Gross if he proved, by a preponderance of the evidence, that FBL “demoted [him] to claims projec[t] coordinator” and that his “age was a motivating factor” in FBL’s decision to demote him. The jury was further instructed that Gross’ age would qualify as a “‘motivating factor,’ if [it] played a part or a role in [FBL]’s decision to demote [him].” The jury was also instructed regarding FBL’s burden of proof. According to the District Court, the “verdict must be for [FBL]…if it has been proved by the preponderance of the evidence that [FBL] would have demoted [Gross] regardless of his age.”</w:t>
      </w:r>
      <w:r>
        <w:rPr>
          <w:rStyle w:val="apple-converted-space"/>
          <w:rFonts w:ascii="Georgia" w:hAnsi="Georgia" w:cs="Calibri"/>
          <w:color w:val="333333"/>
          <w:sz w:val="20"/>
          <w:szCs w:val="20"/>
        </w:rPr>
        <w:t> </w:t>
      </w:r>
      <w:r>
        <w:rPr>
          <w:rStyle w:val="Emphasis"/>
          <w:rFonts w:ascii="Georg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The jury returned a verdict for Gross, awarding him $46,945 in lost compensation. FBL challenged the jury instructions on appeal. The United States Court of Appeals for the Eighth Circuit reversed and remanded for a new trial, holding that the jury had been incorrectly instructed under the standard established in</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490 U. S. 228 (1989). In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this Court addressed the proper allocation of the burden of persuasion in cases brought under Title VII of the Civil Rights Act of 1964, when an employee alleges that he suffered an adverse employment action because of both permissible and impermissible considerations—</w:t>
      </w:r>
      <w:r>
        <w:rPr>
          <w:rStyle w:val="Emphasis"/>
          <w:rFonts w:ascii="Georgia" w:hAnsi="Georgia" w:cs="Calibri"/>
          <w:color w:val="333333"/>
          <w:sz w:val="20"/>
          <w:szCs w:val="20"/>
        </w:rPr>
        <w:t>i.e.</w:t>
      </w:r>
      <w:r>
        <w:rPr>
          <w:rFonts w:ascii="Georgia" w:hAnsi="Georgia" w:cs="Calibri"/>
          <w:color w:val="333333"/>
          <w:sz w:val="20"/>
          <w:szCs w:val="20"/>
        </w:rPr>
        <w:t>, a “mixed-motives” case. 490 U. S., at 232, 244–247 (plurality opinion).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decision was splintered. Four Justices joined a plurality opinion, and three Justices dissented. Six Justices ultimately agreed that if a Title VII plaintiff shows that discrimination was a “motivating” or a “ ‘substantial’ “ factor in the employer’s action, the burden of persuasion should shift to the employer to show that it would have taken the same action regardless of that impermissible consideration. Justice O’Connor further found that to shift the burden of persuasion to the employer, the employee must present “direct evidence that an illegitimate criterion was a substantial factor in the [employment]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Gross conceded that he had not presented direct evidence of discrimination, the Court of Appeals held that the District Court should not have given the mixed-motives instruction.</w:t>
      </w:r>
      <w:r>
        <w:rPr>
          <w:rStyle w:val="apple-converted-space"/>
          <w:rFonts w:ascii="Georgia" w:hAnsi="Georgia" w:cs="Calibri"/>
          <w:color w:val="333333"/>
          <w:sz w:val="20"/>
          <w:szCs w:val="20"/>
        </w:rPr>
        <w:t> </w:t>
      </w:r>
      <w:r>
        <w:rPr>
          <w:rStyle w:val="Emphasis"/>
          <w:rFonts w:ascii="Georg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Rather, Gross should have been held to the burden of persuasion applicable to typical, non-mixed-motives claims; the jury thus should have been instructed only to determine whether Gross had carried his burden of “prov[ing] that age was the determining factor in FBL’s employment action.”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555 U.S. ___ (2008), and now vacate the decision of the Court of Appeals.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have asked us to decide whether a plaintiff must “present direct evidence of discrimination in order to obtain a mixed-motive instruction in a non-Title VII discrimination case.” Before reaching this question, however, we must first determine whether the burden of persuasion ever shifts to the party defending an alleged mixed-motives discrimination claim brought under the ADEA. We hold that it does not.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relies on this Court’s decisions construing Title VII for his interpretation of the ADEA. Because Title VII is materially different with respect to the relevant burden of persuasion, however, these decisions do not control our construction of the ADEA.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a plurality of the Court and two Justices concurring in the judgment determined that once a “plaintiff in a Title VII case proves that [the plaintiff’s membership in a protected class] played a motivating part in an employment decision, the defendant may avoid a finding of liability only by proving by a preponderance of the evidence that it would have made the same decision even if it had not taken [that factor] into account.” 490 U. S., at 258; see also</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Fonts w:ascii="Georgia" w:hAnsi="Georgia" w:cs="Calibri"/>
          <w:color w:val="333333"/>
          <w:sz w:val="20"/>
          <w:szCs w:val="20"/>
        </w:rPr>
        <w:t>, at 259–260 (opinion of White, J.);</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Fonts w:ascii="Georgia" w:hAnsi="Georgia" w:cs="Calibri"/>
          <w:color w:val="333333"/>
          <w:sz w:val="20"/>
          <w:szCs w:val="20"/>
        </w:rPr>
        <w:t>, at 276 (opinion of O’Connor, J.). But as we explained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Desert Palace, Inc.</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Costa</w:t>
      </w:r>
      <w:r>
        <w:rPr>
          <w:rFonts w:ascii="Georgia" w:hAnsi="Georgia" w:cs="Calibri"/>
          <w:color w:val="333333"/>
          <w:sz w:val="20"/>
          <w:szCs w:val="20"/>
        </w:rPr>
        <w:t>, 539 U. S. 90, 94–95 (2003), Congress has since amended Title VII by explicitly authorizing discrimination claims in which an improper consideration was “a motivating factor” for an adverse employment decision. See 42 U. S. C. §2000e–2(m) (providing that “an unlawful employment practice is established when the complaining party demonstrates that race, color, religion, sex, or national origin was</w:t>
      </w:r>
      <w:r>
        <w:rPr>
          <w:rStyle w:val="apple-converted-space"/>
          <w:rFonts w:ascii="Georgia" w:hAnsi="Georgia" w:cs="Calibri"/>
          <w:color w:val="333333"/>
          <w:sz w:val="20"/>
          <w:szCs w:val="20"/>
        </w:rPr>
        <w:t> </w:t>
      </w:r>
      <w:r>
        <w:rPr>
          <w:rStyle w:val="Emphasis"/>
          <w:rFonts w:ascii="Georgia" w:hAnsi="Georgia" w:cs="Calibri"/>
          <w:color w:val="333333"/>
          <w:sz w:val="20"/>
          <w:szCs w:val="20"/>
        </w:rPr>
        <w:t>a motivating factor</w:t>
      </w:r>
      <w:r>
        <w:rPr>
          <w:rStyle w:val="apple-converted-space"/>
          <w:rFonts w:ascii="Georgia" w:hAnsi="Georgia" w:cs="Calibri"/>
          <w:color w:val="333333"/>
          <w:sz w:val="20"/>
          <w:szCs w:val="20"/>
        </w:rPr>
        <w:t> </w:t>
      </w:r>
      <w:r>
        <w:rPr>
          <w:rFonts w:ascii="Georgia" w:hAnsi="Georgia" w:cs="Calibri"/>
          <w:color w:val="333333"/>
          <w:sz w:val="20"/>
          <w:szCs w:val="20"/>
        </w:rPr>
        <w:t>for any employment practice, even though other factors also motivated the practice” (emphasis added))…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never held that this burden-shifting framework applies to ADEA claims. And, we decline to do so now. When conducting statutory interpretation, we “must be careful not to apply rules applicable under one statute to a different statute without careful and critical examination.” Unlike Title VII, the ADEA’s text does not provide that a plaintiff may establish discrimination by showing that age was simply a motivating factor. Moreover, Congress neglected to add such a provision to the ADEA when it amended Title VII to add §§2000e–2(m) and 2000e–5(g)(2)(B), even though it contemporaneously amended the ADEA in several ways.…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cannot ignore Congress’ decision to amend Title VII’s relevant provisions but not make similar changes to the ADEA. When Congress amends one statutory provision but not another, it is presumed to have acted intentionally.…As a result, the Court’s interpretation of the ADEA is not governed by Title VII decisions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Desert Palace</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inquiry therefore must focus on the text of the ADEA to decide whether it authorizes a mixed-motives age discrimination claim. It does not. “Statutory construction must begin with the language employed by Congress and the assumption that the ordinary meaning of that language accurately expresses the legislative purpose.”…The ADEA provides, in relevant part, that “[i]t shall be unlawful for an employer…to fail or refuse to hire or to discharge any individual or otherwise discriminate against any individual with respect to his compensation, terms, conditions, or privileges of employment,</w:t>
      </w:r>
      <w:r>
        <w:rPr>
          <w:rStyle w:val="apple-converted-space"/>
          <w:rFonts w:ascii="Georgia" w:hAnsi="Georgia" w:cs="Calibri"/>
          <w:color w:val="333333"/>
          <w:sz w:val="20"/>
          <w:szCs w:val="20"/>
        </w:rPr>
        <w:t> </w:t>
      </w:r>
      <w:r>
        <w:rPr>
          <w:rStyle w:val="Emphasis"/>
          <w:rFonts w:ascii="Georgia" w:hAnsi="Georgia" w:cs="Calibri"/>
          <w:color w:val="333333"/>
          <w:sz w:val="20"/>
          <w:szCs w:val="20"/>
        </w:rPr>
        <w:t>because of</w:t>
      </w:r>
      <w:r>
        <w:rPr>
          <w:rStyle w:val="apple-converted-space"/>
          <w:rFonts w:ascii="Georgia" w:hAnsi="Georgia" w:cs="Calibri"/>
          <w:color w:val="333333"/>
          <w:sz w:val="20"/>
          <w:szCs w:val="20"/>
        </w:rPr>
        <w:t> </w:t>
      </w:r>
      <w:r>
        <w:rPr>
          <w:rFonts w:ascii="Georgia" w:hAnsi="Georgia" w:cs="Calibri"/>
          <w:color w:val="333333"/>
          <w:sz w:val="20"/>
          <w:szCs w:val="20"/>
        </w:rPr>
        <w:t>such individual’s age.” 29 U. S. C. §623(a)(1) (emphasis added).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words “because of” mean “by reason of: on account of.” Webster’s Third New International Dictionary 194 (1966); see also Oxford English Dictionary 746 (1933) (defining “because of” to mean “By reason</w:t>
      </w:r>
      <w:r>
        <w:rPr>
          <w:rStyle w:val="apple-converted-space"/>
          <w:rFonts w:ascii="Georgia" w:hAnsi="Georgia" w:cs="Calibri"/>
          <w:color w:val="333333"/>
          <w:sz w:val="20"/>
          <w:szCs w:val="20"/>
        </w:rPr>
        <w:t> </w:t>
      </w:r>
      <w:r>
        <w:rPr>
          <w:rStyle w:val="Emphasis"/>
          <w:rFonts w:ascii="Georgia" w:hAnsi="Georgia" w:cs="Calibri"/>
          <w:color w:val="333333"/>
          <w:sz w:val="20"/>
          <w:szCs w:val="20"/>
        </w:rPr>
        <w:t>of</w:t>
      </w:r>
      <w:r>
        <w:rPr>
          <w:rFonts w:ascii="Georgia" w:hAnsi="Georgia" w:cs="Calibri"/>
          <w:color w:val="333333"/>
          <w:sz w:val="20"/>
          <w:szCs w:val="20"/>
        </w:rPr>
        <w:t>, on account</w:t>
      </w:r>
      <w:r>
        <w:rPr>
          <w:rStyle w:val="apple-converted-space"/>
          <w:rFonts w:ascii="Georgia" w:hAnsi="Georgia" w:cs="Calibri"/>
          <w:color w:val="333333"/>
          <w:sz w:val="20"/>
          <w:szCs w:val="20"/>
        </w:rPr>
        <w:t> </w:t>
      </w:r>
      <w:r>
        <w:rPr>
          <w:rStyle w:val="Emphasis"/>
          <w:rFonts w:ascii="Georgia" w:hAnsi="Georgia" w:cs="Calibri"/>
          <w:color w:val="333333"/>
          <w:sz w:val="20"/>
          <w:szCs w:val="20"/>
        </w:rPr>
        <w:t>of</w:t>
      </w:r>
      <w:r>
        <w:rPr>
          <w:rFonts w:ascii="Georgia" w:hAnsi="Georgia" w:cs="Calibri"/>
          <w:color w:val="333333"/>
          <w:sz w:val="20"/>
          <w:szCs w:val="20"/>
        </w:rPr>
        <w:t>” (italics in original)); The Random House Dictionary of the English Language 132 (1966) (defining “because” to mean “by reason; on account”). Thus, the ordinary meaning of the ADEA’s requirement that an employer took adverse action “because of” age is that age was the “reason” that the employer decided to act.…To establish a disparate-treatment claim under the plain language of the ADEA, therefore, a plaintiff must prove that age was the “but-for” cause of the employer’s adverse decision.…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follows, then, that under §623(a)(1), the plaintiff retains the burden of persuasion to establish that age was the “but-for” cause of the employer’s adverse action. Indeed, we have previously held that the burden is allocated in this manner in ADEA cases. See</w:t>
      </w:r>
      <w:r>
        <w:rPr>
          <w:rStyle w:val="apple-converted-space"/>
          <w:rFonts w:ascii="Georgia" w:hAnsi="Georgia" w:cs="Calibri"/>
          <w:color w:val="333333"/>
          <w:sz w:val="20"/>
          <w:szCs w:val="20"/>
        </w:rPr>
        <w:t> </w:t>
      </w:r>
      <w:r>
        <w:rPr>
          <w:rStyle w:val="Emphasis"/>
          <w:rFonts w:ascii="Georgia" w:hAnsi="Georgia" w:cs="Calibri"/>
          <w:color w:val="333333"/>
          <w:sz w:val="20"/>
          <w:szCs w:val="20"/>
        </w:rPr>
        <w:t>Kentucky Retirement Systems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EEOC</w:t>
      </w:r>
      <w:r>
        <w:rPr>
          <w:rFonts w:ascii="Georgia" w:hAnsi="Georgia" w:cs="Calibri"/>
          <w:color w:val="333333"/>
          <w:sz w:val="20"/>
          <w:szCs w:val="20"/>
        </w:rPr>
        <w:t>, 554 U. S. ____. And nothing in the statute’s text indicates that Congress has carved out an exception to that rule for a subset of ADEA cases. Where the statutory text is “silent on the allocation of the burden of persuasion,” we “begin with the ordinary default rule that plaintiffs bear the risk of failing to prove their claims.”</w:t>
      </w:r>
      <w:r>
        <w:rPr>
          <w:rStyle w:val="Emphasis"/>
          <w:rFonts w:ascii="Georgia" w:hAnsi="Georgia" w:cs="Calibri"/>
          <w:color w:val="333333"/>
          <w:sz w:val="20"/>
          <w:szCs w:val="20"/>
        </w:rPr>
        <w:t>Schaffer</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Weast</w:t>
      </w:r>
      <w:r>
        <w:rPr>
          <w:rFonts w:ascii="Georgia" w:hAnsi="Georgia" w:cs="Calibri"/>
          <w:color w:val="333333"/>
          <w:sz w:val="20"/>
          <w:szCs w:val="20"/>
        </w:rPr>
        <w:t>, 546 U. S. 49, 56 (2005)…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Hence, the burden of persuasion necessary to establish employer liability is the same in alleged mixed-motives cases as in any other ADEA disparate-treatment action. A plaintiff must prove by a preponderance of the evidence (which may be direct or circumstantial), that age was the “but-for” cause of the challenged employer decision.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reject petitioner’s contention that our interpretation of the ADEA is controlled by</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which initially established that the burden of persuasion shifted in alleged mixed-motives Title VII claims. In any event, it is far from clear that the Court would have the same approach were it to consider the question today in the first instance.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the deficiencies of</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in retrospect, it has become evident in the years since that case was decided that its burden-shifting framework is difficult to apply. For example, in cases tried to a jury, courts have found it particularly difficult to craft an instruction to explain its burden-shifting framework.…Thus, even if</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was doctrinally sound, the problems associated with its application have eliminated any perceivable benefit to extending its framework to ADEA claims.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IV</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that a plaintiff bringing a disparate-treatment claim pursuant to the ADEA must prove, by a preponderance of the evidence, that age was the “but-for” cause of the challenged adverse employment action. The burden of persuasion does not shift to the employer to show that it would have taken the action regardless of age, even when a plaintiff has produced some evidence that age was one motivating factor in that decision. Accordingly, we vacate the judgment of the Court of Appeals and remand the case for further proceedings consistent with this opinion.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practical effect of this decision? Will plaintiffs with age-discrimination cases find it harder to win after</w:t>
      </w:r>
      <w:r>
        <w:rPr>
          <w:rStyle w:val="apple-converted-space"/>
          <w:rFonts w:ascii="Calibri" w:hAnsi="Calibri" w:cs="Calibri"/>
          <w:color w:val="333333"/>
          <w:sz w:val="20"/>
          <w:szCs w:val="20"/>
        </w:rPr>
        <w:t> </w:t>
      </w:r>
      <w:r>
        <w:rPr>
          <w:rStyle w:val="Emphasis"/>
          <w:rFonts w:ascii="Calibri" w:hAnsi="Calibri" w:cs="Calibri"/>
          <w:color w:val="333333"/>
          <w:sz w:val="20"/>
          <w:szCs w:val="20"/>
        </w:rPr>
        <w:t>Gross</w:t>
      </w:r>
      <w:r>
        <w:rPr>
          <w:rFonts w:ascii="Calibri" w:hAnsi="Calibri" w:cs="Calibri"/>
          <w:color w:val="333333"/>
          <w:sz w:val="20"/>
          <w:szCs w:val="20"/>
        </w:rPr>
        <w:t>?</w:t>
      </w:r>
    </w:p>
    <w:p w:rsidR="00A86150" w:rsidRDefault="00F714D4">
      <w:pPr>
        <w:numPr>
          <w:ilvl w:val="0"/>
          <w:numId w:val="7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Justice Thomas writes about it, does “but-for” cause here mean the “sole cause”? Must plaintiffs now eliminate any other possible cause in order to prevail in an ADEA lawsuit?</w:t>
      </w:r>
    </w:p>
    <w:p w:rsidR="00A86150" w:rsidRDefault="00F714D4">
      <w:pPr>
        <w:numPr>
          <w:ilvl w:val="0"/>
          <w:numId w:val="7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Based on this opinion, if the employer provides a nondiscriminatory reason for the change in the employee’s status (such as “corporate restructuring” or “better alignment of skills”), does the employer bear any burden of showing that those are not just words but that, for example, the restructuring really does make sense or that the “skills” really do line up better in the new arrangement?</w:t>
      </w:r>
    </w:p>
    <w:p w:rsidR="00A86150" w:rsidRDefault="00F714D4">
      <w:pPr>
        <w:numPr>
          <w:ilvl w:val="0"/>
          <w:numId w:val="7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plaintiff was retained at the same salary as before, how could he have a “discrimination” complaint, since he still made the same amount of money?</w:t>
      </w:r>
    </w:p>
    <w:p w:rsidR="00A86150" w:rsidRDefault="00F714D4">
      <w:pPr>
        <w:numPr>
          <w:ilvl w:val="0"/>
          <w:numId w:val="7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was decided by a 5-4 majority. A dissent was filed by Justice Stevens, and a separate dissent by Justice Breyer, joined by Justices Ginsburg and Souter. You can access those at</w:t>
      </w:r>
      <w:r>
        <w:rPr>
          <w:rStyle w:val="apple-converted-space"/>
          <w:rFonts w:ascii="Calibri" w:hAnsi="Calibri" w:cs="Calibri"/>
          <w:color w:val="333333"/>
          <w:sz w:val="20"/>
          <w:szCs w:val="20"/>
        </w:rPr>
        <w:t> </w:t>
      </w:r>
      <w:hyperlink r:id="rId96" w:tgtFrame="_blank" w:history="1">
        <w:r>
          <w:rPr>
            <w:rStyle w:val="Hyperlink"/>
            <w:rFonts w:ascii="Calibri" w:hAnsi="Calibri" w:cs="Calibri"/>
            <w:color w:val="2689C6"/>
            <w:sz w:val="20"/>
            <w:szCs w:val="20"/>
          </w:rPr>
          <w:t>http://www.law.cornell.edu/supct/pdf/08-441P.ZD1</w:t>
        </w:r>
      </w:hyperlink>
      <w:r>
        <w:rPr>
          <w:rFonts w:ascii="Calibri" w:hAnsi="Calibri" w:cs="Calibri"/>
          <w:color w:val="333333"/>
          <w:sz w:val="20"/>
          <w:szCs w:val="20"/>
        </w:rPr>
        <w:t>.</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Disability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Toyota v. Williams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534 U.S. 184 (2000)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Factual Background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Ella Williams’s job at the Toyota manufacturing plant involved using pneumatic tools. When her hands and arms began to hurt, she consulted a physician and was diagnosed with carpal tunnel syndrome. The doctor advised her not to work with any pneumatic tools or lift more than twenty pounds. Toyota shifted her to a different position in the quality control inspection operations (QCIO) department, where employees typically performed four different tasks. Initially, Williams was given two tasks, but Toyota changed its policy to require all QCIO employees to rotate through all four tasks. When she performed the “shell body audit,” she had to hold her hands and arms up around shoulder height for several hours at a time.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soon began to experience pain in her neck and shoulders. When she asked permission to do only the two tasks that she could perform without difficulty, she was refused. According to Toyota, Williams then began missing work regularly.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1997, Toyota Motor Manufacturing, Kentucky, Inc. terminated Ella Williams, citing her poor attendance record. Subsequently, claiming to be disabled from performing her automobile assembly line job by carpal tunnel syndrome and related impairments, Williams sued Toyota for failing to provide her with a reasonable accommodation as required by the Americans with Disabilities Act (ADA) of 1990.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Granting Toyota summary judgment, the district court held that Williams’s impairment did not qualify as a disability under the ADA because it had not substantially limited any major life activity and that there was no evidence that Williams had had a record of a substantially limiting impairment. In reversing, the court of appeals found that the impairments substantially limited Williams in the major life activity of performing manual tasks. Because her ailments prevented her from doing the tasks associated with certain types of manual jobs that require the gripping of tools and repetitive work with hands and arms extended at or above shoulder levels for extended periods of time, the appellate court concluded that Williams demonstrated that her manual disability involved a class of manual activities affecting the ability to perform tasks at work.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SANDRA DAY O’CONNOR delivered the unanimous opinion of the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it enacted the ADA in 1990, Congress found that some 43 million Americans have one or more physical or mental disabilities. If Congress intended everyone with a physical impairment that precluded the performance of some isolated, unimportant, or particularly difficult manual task to qualify as disabled, the number of disabled Americans would surely have been much higher. We therefore hold that to be substantially limited in performing manual tasks, an individual must have an impairment that prevents or severely restricts the individual from doing activities that are of central importance to most people’s daily lives. The impairments impact must also be permanent or long-term.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addressing the major life activity of performing manual tasks, the central inquiry must be whether the claimant is unable to perform the variety of tasks central to most people’s daily lives, not whether the claimant is unable to perform the tasks associated with her specific job. In this case, repetitive work with hands and arms extended at or above shoulder levels for extended periods of time is not an important part of most people’s daily lives. The court, therefore, should not have considered respondent’s inability to do such manual work in or specialized assembly line job as sufficient proof that she was substantially limited in performing manual tasks.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same time, the Court of Appeals appears to have disregarded the very type of evidence that it should have focused upon. It treated as irrelevant “[t]he fact that [respondent] can…ten[d] to her personal hygiene [and] carr[y]out personal or household chores.” Yet household chores, bathing, and brushing one’s teeth are among the types of manual tasks of central importance to people’s daily lives, and should have been part of the assessment of whether respondent was substantially limited in performing manual tasks.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noted that at the time respondent sought an accommodation from petitioner, she admitted that she was able to do the manual tasks required by her original two jobs in QCIO. In addition, according to respondent’s deposition testimony, even after her condition worsened, she could still brush her teeth, wash her face, bathe, tend her flower garden, fix breakfast, do laundry, and pick up around the house. The record also indicates that her medical conditions caused her to avoid sweeping, to quit dancing, to occasionally seek help dressing, and to reduce how often she plays with her children, gardens, and drives long distances. But these changes in her life did not amount to such severe restrictions in the activities that are of central importance to most people’s daily lives that they establish a manual task disability as a matter of law. On this record, it was therefore inappropriate for the Court of Appeals to grant partial summary judgment to respondent on the issue of whether she was substantially limited in performing manual tasks, and its decision to do so must be reversed.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we reverse the Court of Appeals’ judgment granting partial summary judgment to respondent and remand the case for further proceedings consistent with this opinion.</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court’s most important “finding of fact” relative to hands and arms? How does this relate to the statutory language that Congress created in the ADA?</w:t>
      </w:r>
    </w:p>
    <w:p w:rsidR="00A86150" w:rsidRDefault="00F714D4">
      <w:pPr>
        <w:numPr>
          <w:ilvl w:val="0"/>
          <w:numId w:val="7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is remanded to the lower courts “for further proceedings consistent with this opinion.” In practical terms, what does that mean for this case?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30.5</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past forty-eight years, Title VII of the Civil Rights Act of 1964 has prohibited employment discrimination based on race, religion, sex, or national origin. Any employment decision, including hiring, promotion, and discharge, based on one of these factors is unlawful and subjects the employer to an award of back pay, promotion, or reinstatement. The Equal Employment Opportunity Commission (EEOC) may file suits, as may the employee—after the commission screens the complaint.</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major types of discrimination suits are those for disparate treatment (in which the employer intended to discriminate) and disparate impact (in which, regardless of intent, the impact of a particular non-job-related practice has a discriminatory effect). In matters of religion, the employer is bound not only to refrain from discrimination based on an employee’s religious beliefs or preferences but also to accommodate the employee’s religious practices to the extent that the accommodation does not impose an undue hardship on the business.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 discrimination, besides refusal to hire a person solely on the basis of sex, includes discrimination based on pregnancy. Sexual harassment is a form of sex discrimination, and it includes the creation of a hostile or offensive working environment. A separate statute, the Equal Pay Act, mandates equal pay for men and women assigned to the same job.</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major exception to Title VII permits hiring people of a particular religion, sex, or nationality if that feature is a bona fide occupational qualification. There is no bona fide occupational qualification (BFOQ) exception for race, nor is a public stereotype a legitimate basis for a BFOQ.</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Affirmative action plans, permitting or requiring employers to hire on the basis of race to make up for past discrimination or to bring up the level of minority workers, have been approved, even though the plans may seem to conflict with Title VII. But affirmative action plans have not been permitted to overcome bona fide seniority or merit systems.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 Discrimination in Employment Act protects workers over forty from discharge solely on the basis of age. Amendments to the law have abolished the age ceiling for retirement, so that most people working for employers covered by the law cannot be forced to retire.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Americans with Disabilities Act of 1990 prohibits discrimination based on disability and applies to most jobs in the private sector.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an employer was free to fire an employee for any reason or for no reason at all. In recent years, the employment-at-will doctrine has been seriously eroded. Many state courts have found against employers on the basis of implied contracts, tortious violation of public policy, or violations of an implied covenant of good faith and fair dealing.</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antidiscrimination law, several other statutes have an impact on the employment relationship. These include the plant-closing law, the Employee Polygraph Protection Act, the Occupational Safety and Health Act, the Employee Retirement Income Security Act, and the Fair Labor Standards Act.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747"/>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Rainbow Airlines, a new air carrier headquartered in Chicago with routes from Rome to Canberra, extensively studied the psychology of passengers and determined that more than 93 percent of its passengers felt most comfortable with female flight attendants between the ages of twenty-one and thirty-four. To increase its profitability, the company issued a policy of hiring only such people for jobs in the air but opened all ground jobs to anyone who could otherwise qualify. The policy made no racial distinction, and, in fact, nearly 30 percent of the flight attendants hired were black. What violations of federal law has Rainbow committed, if any?</w:t>
      </w:r>
    </w:p>
    <w:p w:rsidR="00A86150" w:rsidRDefault="00F714D4">
      <w:pPr>
        <w:numPr>
          <w:ilvl w:val="0"/>
          <w:numId w:val="7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Tex Olafson worked for five years as a messenger for Pressure Sell Advertising Agency, a company without a unionized workforce. On his fifth anniversary with the company, Tex was called in to the president’s office, was given a 10 percent raise, and was complimented on his diligence. The following week, a new head of the messenger department was hired. He wanted to appoint his nephew to a messenger job but discovered that a company-wide hiring freeze prevented him from adding another employee to the messenger ranks. So he fired Tex and hired his nephew. What remedy, if any, does Tex have? What additional facts might change the result?</w:t>
      </w:r>
    </w:p>
    <w:p w:rsidR="00A86150" w:rsidRDefault="00F714D4">
      <w:pPr>
        <w:numPr>
          <w:ilvl w:val="0"/>
          <w:numId w:val="747"/>
        </w:numPr>
        <w:shd w:val="clear" w:color="auto" w:fill="E3EFF7"/>
        <w:tabs>
          <w:tab w:val="clear" w:pos="720"/>
          <w:tab w:val="num" w:pos="288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Ernest lost both his legs in combat in Vietnam. He has applied for a job with Excelsior Products in the company’s quality control lab. The job requires inspectors to randomly check products coming off the assembly line for defects. Historically, all inspectors have stood two-hour shifts. Ernest proposes to sit in his wheelchair. The company refuses to hire him because it says he will be less efficient. Ernest’s previous employment record shows him to be a diligent, serious worker. Does Ernest have a legal right to be hired? What additional facts might you want to know in deciding?</w:t>
      </w:r>
    </w:p>
    <w:p w:rsidR="00A86150" w:rsidRDefault="00F714D4">
      <w:pPr>
        <w:numPr>
          <w:ilvl w:val="0"/>
          <w:numId w:val="747"/>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Marlene works for Frenzied Traders, a stockbrokerage with a seat on the New York Stock Exchange. For several years, Marlene has been a floor trader, spending all day in the hurly-burly of stock trading, yelling herself hoarse. Each year, she has received a large bonus from the company. She has just told the company that she is pregnant. Citing a company policy, she is told she can no longer engage in trading because it is too tiring for pregnant women. Instead, she may take a backroom job, though the company cannot guarantee that the floor job will be open after she delivers. Marlene also wants to take six months off after her child is born. The company says it cannot afford to give her that time. It has a policy of granting paid leave to anyone recuperating from a stay in the hospital and unpaid leave for four months thereafter. What legal rights does Marlene have, and what remedies is she entitled to?</w:t>
      </w:r>
    </w:p>
    <w:p w:rsidR="00A86150" w:rsidRDefault="00F714D4">
      <w:pPr>
        <w:numPr>
          <w:ilvl w:val="0"/>
          <w:numId w:val="747"/>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Charlie Goodfellow works for Yum-burger and has always commanded respect at the local franchise for being the fastest server. One day, he undergoes a profound religious experience, converts to Sikhism, and changes his name to Sanjay Singh. The tenets of his religion require him to wear a beard and a turban. He lets his beard grow, puts on a turban, and his fellow workers tease him. When a regional vice president sees that Sanjay is not wearing the prescribed Yum-Burger uniform, he fires him. What rights of Sanjay, if any, has Yum-burger violated? What remedies are available to him?</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748"/>
        </w:numPr>
        <w:shd w:val="clear" w:color="auto" w:fill="E3EFF7"/>
        <w:tabs>
          <w:tab w:val="clear" w:pos="720"/>
          <w:tab w:val="num" w:pos="3600"/>
        </w:tabs>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Affirmative action in employment</w:t>
      </w:r>
    </w:p>
    <w:p w:rsidR="00A86150" w:rsidRDefault="00F714D4">
      <w:pPr>
        <w:pStyle w:val="ListParagraph"/>
        <w:numPr>
          <w:ilvl w:val="0"/>
          <w:numId w:val="7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 requirement of Title VII of the Civil Rights Act of 1964</w:t>
      </w:r>
    </w:p>
    <w:p w:rsidR="00A86150" w:rsidRDefault="00F714D4">
      <w:pPr>
        <w:pStyle w:val="ListParagraph"/>
        <w:numPr>
          <w:ilvl w:val="0"/>
          <w:numId w:val="7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prohibited by Title VII of the Civil Rights Act of 1964</w:t>
      </w:r>
    </w:p>
    <w:p w:rsidR="00A86150" w:rsidRDefault="00F714D4">
      <w:pPr>
        <w:pStyle w:val="ListParagraph"/>
        <w:numPr>
          <w:ilvl w:val="0"/>
          <w:numId w:val="7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 federal statute enacted by Congress</w:t>
      </w:r>
    </w:p>
    <w:p w:rsidR="00A86150" w:rsidRDefault="00F714D4">
      <w:pPr>
        <w:pStyle w:val="ListParagraph"/>
        <w:numPr>
          <w:ilvl w:val="0"/>
          <w:numId w:val="7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depends on the circumstances of each case for validity</w:t>
      </w:r>
    </w:p>
    <w:p w:rsidR="00A86150" w:rsidRDefault="00F714D4">
      <w:pPr>
        <w:pStyle w:val="para"/>
        <w:numPr>
          <w:ilvl w:val="0"/>
          <w:numId w:val="750"/>
        </w:numPr>
        <w:shd w:val="clear" w:color="auto" w:fill="E3EFF7"/>
        <w:tabs>
          <w:tab w:val="num" w:pos="360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Age Discrimination in Employment Act protects</w:t>
      </w:r>
    </w:p>
    <w:p w:rsidR="00A86150" w:rsidRDefault="00F714D4">
      <w:pPr>
        <w:pStyle w:val="ListParagraph"/>
        <w:numPr>
          <w:ilvl w:val="0"/>
          <w:numId w:val="7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workers of any age</w:t>
      </w:r>
    </w:p>
    <w:p w:rsidR="00A86150" w:rsidRDefault="00F714D4">
      <w:pPr>
        <w:pStyle w:val="ListParagraph"/>
        <w:numPr>
          <w:ilvl w:val="0"/>
          <w:numId w:val="7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workers up to age seventy</w:t>
      </w:r>
    </w:p>
    <w:p w:rsidR="00A86150" w:rsidRDefault="00F714D4">
      <w:pPr>
        <w:pStyle w:val="ListParagraph"/>
        <w:numPr>
          <w:ilvl w:val="0"/>
          <w:numId w:val="7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most workers over forty</w:t>
      </w:r>
    </w:p>
    <w:p w:rsidR="00A86150" w:rsidRDefault="00F714D4">
      <w:pPr>
        <w:pStyle w:val="ListParagraph"/>
        <w:numPr>
          <w:ilvl w:val="0"/>
          <w:numId w:val="7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 workers over seventy</w:t>
      </w:r>
    </w:p>
    <w:p w:rsidR="00A86150" w:rsidRDefault="00F714D4">
      <w:pPr>
        <w:pStyle w:val="para"/>
        <w:numPr>
          <w:ilvl w:val="0"/>
          <w:numId w:val="752"/>
        </w:numPr>
        <w:shd w:val="clear" w:color="auto" w:fill="E3EFF7"/>
        <w:tabs>
          <w:tab w:val="num" w:pos="360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Federal laws barring discrimination against the handicapped and disabled</w:t>
      </w:r>
    </w:p>
    <w:p w:rsidR="00A86150" w:rsidRDefault="00F714D4">
      <w:pPr>
        <w:pStyle w:val="ListParagraph"/>
        <w:numPr>
          <w:ilvl w:val="0"/>
          <w:numId w:val="7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apply to all disabilities</w:t>
      </w:r>
    </w:p>
    <w:p w:rsidR="00A86150" w:rsidRDefault="00F714D4">
      <w:pPr>
        <w:pStyle w:val="ListParagraph"/>
        <w:numPr>
          <w:ilvl w:val="0"/>
          <w:numId w:val="7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apply to most disabilities in private employment</w:t>
      </w:r>
    </w:p>
    <w:p w:rsidR="00A86150" w:rsidRDefault="00F714D4">
      <w:pPr>
        <w:pStyle w:val="ListParagraph"/>
        <w:numPr>
          <w:ilvl w:val="0"/>
          <w:numId w:val="7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apply to all disabilities in public employment</w:t>
      </w:r>
    </w:p>
    <w:p w:rsidR="00A86150" w:rsidRDefault="00F714D4">
      <w:pPr>
        <w:pStyle w:val="ListParagraph"/>
        <w:numPr>
          <w:ilvl w:val="0"/>
          <w:numId w:val="7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apply to most disabilities in public employment</w:t>
      </w:r>
    </w:p>
    <w:p w:rsidR="00A86150" w:rsidRDefault="00F714D4">
      <w:pPr>
        <w:pStyle w:val="para"/>
        <w:numPr>
          <w:ilvl w:val="0"/>
          <w:numId w:val="754"/>
        </w:numPr>
        <w:shd w:val="clear" w:color="auto" w:fill="E3EFF7"/>
        <w:tabs>
          <w:tab w:val="num" w:pos="360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Title VII, a bona fide occupational qualification exception may never apply to cases involving</w:t>
      </w:r>
    </w:p>
    <w:p w:rsidR="00A86150" w:rsidRDefault="00F714D4">
      <w:pPr>
        <w:pStyle w:val="ListParagraph"/>
        <w:numPr>
          <w:ilvl w:val="0"/>
          <w:numId w:val="7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racial discrimination</w:t>
      </w:r>
    </w:p>
    <w:p w:rsidR="00A86150" w:rsidRDefault="00F714D4">
      <w:pPr>
        <w:pStyle w:val="ListParagraph"/>
        <w:numPr>
          <w:ilvl w:val="0"/>
          <w:numId w:val="7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religious discrimination</w:t>
      </w:r>
    </w:p>
    <w:p w:rsidR="00A86150" w:rsidRDefault="00F714D4">
      <w:pPr>
        <w:pStyle w:val="ListParagraph"/>
        <w:numPr>
          <w:ilvl w:val="0"/>
          <w:numId w:val="7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sex discrimination</w:t>
      </w:r>
    </w:p>
    <w:p w:rsidR="00A86150" w:rsidRDefault="00F714D4">
      <w:pPr>
        <w:pStyle w:val="ListParagraph"/>
        <w:numPr>
          <w:ilvl w:val="0"/>
          <w:numId w:val="7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age discrimination</w:t>
      </w:r>
    </w:p>
    <w:p w:rsidR="00A86150" w:rsidRDefault="00F714D4">
      <w:pPr>
        <w:pStyle w:val="para"/>
        <w:numPr>
          <w:ilvl w:val="0"/>
          <w:numId w:val="756"/>
        </w:numPr>
        <w:shd w:val="clear" w:color="auto" w:fill="E3EFF7"/>
        <w:tabs>
          <w:tab w:val="num" w:pos="3600"/>
        </w:tabs>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employment-at-will doctrine derives from</w:t>
      </w:r>
    </w:p>
    <w:p w:rsidR="00A86150" w:rsidRDefault="00F714D4">
      <w:pPr>
        <w:pStyle w:val="ListParagraph"/>
        <w:numPr>
          <w:ilvl w:val="0"/>
          <w:numId w:val="7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Title VII of the Civil Rights Act of 1964</w:t>
      </w:r>
    </w:p>
    <w:p w:rsidR="00A86150" w:rsidRDefault="00F714D4">
      <w:pPr>
        <w:pStyle w:val="ListParagraph"/>
        <w:numPr>
          <w:ilvl w:val="0"/>
          <w:numId w:val="7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employment contracts</w:t>
      </w:r>
    </w:p>
    <w:p w:rsidR="00A86150" w:rsidRDefault="00F714D4">
      <w:pPr>
        <w:pStyle w:val="ListParagraph"/>
        <w:numPr>
          <w:ilvl w:val="0"/>
          <w:numId w:val="7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common law</w:t>
      </w:r>
    </w:p>
    <w:p w:rsidR="00A86150" w:rsidRDefault="00F714D4">
      <w:pPr>
        <w:pStyle w:val="ListParagraph"/>
        <w:numPr>
          <w:ilvl w:val="0"/>
          <w:numId w:val="7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liberty of contract under the Constitution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758"/>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758"/>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58"/>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758"/>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numPr>
          <w:ilvl w:val="0"/>
          <w:numId w:val="758"/>
        </w:numPr>
        <w:shd w:val="clear" w:color="auto" w:fill="E3EFF7"/>
        <w:tabs>
          <w:tab w:val="clear" w:pos="720"/>
          <w:tab w:val="num" w:pos="360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31</w:t>
      </w:r>
    </w:p>
    <w:p w:rsidR="00A86150" w:rsidRDefault="0081777E">
      <w:pPr>
        <w:pStyle w:val="Heading1"/>
        <w:shd w:val="clear" w:color="auto" w:fill="FFFFFF"/>
        <w:spacing w:before="0" w:line="240" w:lineRule="atLeast"/>
        <w:jc w:val="center"/>
        <w:textAlignment w:val="baseline"/>
      </w:pPr>
      <w:r>
        <w:pict>
          <v:rect id="_x0000_i1153"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Labor-Management Relations</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759"/>
        </w:numPr>
        <w:shd w:val="clear" w:color="auto" w:fill="EAE9DC"/>
        <w:tabs>
          <w:tab w:val="clear" w:pos="720"/>
          <w:tab w:val="num" w:pos="432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How collective bargaining was resisted for many years in the United States, and how political and economic changes resulted in legalization of labor unions</w:t>
      </w:r>
    </w:p>
    <w:p w:rsidR="00A86150" w:rsidRDefault="00F714D4">
      <w:pPr>
        <w:numPr>
          <w:ilvl w:val="0"/>
          <w:numId w:val="759"/>
        </w:numPr>
        <w:shd w:val="clear" w:color="auto" w:fill="EAE9DC"/>
        <w:tabs>
          <w:tab w:val="clear" w:pos="720"/>
          <w:tab w:val="num" w:pos="360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four major federal labor laws in the United States</w:t>
      </w:r>
    </w:p>
    <w:p w:rsidR="00A86150" w:rsidRDefault="00F714D4">
      <w:pPr>
        <w:numPr>
          <w:ilvl w:val="0"/>
          <w:numId w:val="759"/>
        </w:numPr>
        <w:shd w:val="clear" w:color="auto" w:fill="EAE9DC"/>
        <w:tabs>
          <w:tab w:val="clear" w:pos="720"/>
          <w:tab w:val="num" w:pos="288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process by which bargaining units are recognized by the National Labor Relations Board</w:t>
      </w:r>
    </w:p>
    <w:p w:rsidR="00A86150" w:rsidRDefault="00F714D4">
      <w:pPr>
        <w:numPr>
          <w:ilvl w:val="0"/>
          <w:numId w:val="759"/>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various kinds of unfair labor practices that employers might engage in, and those that unions and their members might engage in</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Over half a century, the federal law of labor relations has developed out of four basic statutes into an immense body of cases and precedent regulating the formation and governance of labor unions and the relationships among employers, unions, and union members. Like antitrust law, labor law is a complex subject that has spawned a large class of specialized practitioners. Though specialized, it is a subject that no employer of any size can ignore, for labor law has a pervasive influence on how business is conducted throughout the United States. In this chapter, we examine the basic statutory framework and the activities that it regulates.</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 is important to note at the outset that legal rights for laborers in the United States came about through physical and political struggles. The right of collective bargaining and the right to strike (and corresponding rights for employers, such as the lockout) were hard-won and incremental. The legislation described in this chapter began only after many years of labor-management strife, including judicial opposition to unions and violent and deadly confrontations between prounion workers and management.</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1806, the union of Philadelphia Journeymen Cordwainers was convicted of and bankrupted by charges of criminal conspiracy after a strike for higher wages, setting a precedent by which the US government would combat unions for years to come. Andrew Jackson became a strikebreaker in 1834 when he sent troops to the construction sites of the Chesapeake and Ohio Canal. In 1877, a general strike halted the movement of US railroads. In the following days, strike riots spread across the United States. The next week, federal troops were called out to force an end to the nationwide strike. At the Battle of the Viaduct in Chicago, federal troops (recently returned from an Indian massacre) killed thirty workers and wounded over one hundred. Numerous other violent confrontations marked the post–Civil War period in America, including the violent rail strikes of 1877, when President Rutherford B. Hayes sent troops to prevent obstruction of the mails. President Grover Cleveland used soldiers to break the Pullman strike of 1894. Not until the anthracite coal strikes in Pennsylvania in 1902 did the US government become a mediator between labor and management rather than an enforcer for industry.</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US labor historians see the first phase of the labor movement in terms of the struggles in the private sector that led to the labor legislation of the New Deal, described in</w:t>
      </w:r>
      <w:r>
        <w:rPr>
          <w:rStyle w:val="apple-converted-space"/>
          <w:rFonts w:ascii="Georgia" w:hAnsi="Georgia"/>
          <w:color w:val="333333"/>
          <w:sz w:val="21"/>
          <w:szCs w:val="21"/>
        </w:rPr>
        <w:t> </w:t>
      </w:r>
      <w:r>
        <w:rPr>
          <w:rFonts w:ascii="Georgia" w:hAnsi="Georgia"/>
          <w:color w:val="2689C6"/>
          <w:sz w:val="21"/>
          <w:szCs w:val="21"/>
        </w:rPr>
        <w:t>Section 31.1 "A Brief History of Labor Legislation"</w:t>
      </w:r>
      <w:r>
        <w:rPr>
          <w:rFonts w:ascii="Georgia" w:hAnsi="Georgia"/>
          <w:color w:val="333333"/>
          <w:sz w:val="21"/>
          <w:szCs w:val="21"/>
        </w:rPr>
        <w:t>. The second phase of the movement, post–World War II, saw less violent confrontation and more peaceful resolution of labor issues in collective bargaining. Yet right-to-work states in the southern part of the United States and globalization weakened the attractiveness of unions in the private sector. Right-to-work states provided a haven for certain kinds of manufacturing operations that wanted no part of bargaining with unions. Globalization meant that companies could (realistically) threaten to relocate outside the United States entirely. Unions in the public sector of the United States began to grow stronger relative to unions in the private sector: governments could not relocate as companies could, and over the last half century, there has been a gradual decline in private sector unionism and growth in public sector unionism.</w:t>
      </w:r>
    </w:p>
    <w:p w:rsidR="00A86150" w:rsidRDefault="00F714D4">
      <w:pPr>
        <w:spacing w:after="240"/>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31.1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A Brief History of Labor Legislation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60"/>
        </w:numPr>
        <w:shd w:val="clear" w:color="auto" w:fill="EAE9DC"/>
        <w:tabs>
          <w:tab w:val="clear" w:pos="720"/>
          <w:tab w:val="num" w:pos="216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and explain the rise of labor unions in the United States.</w:t>
      </w:r>
    </w:p>
    <w:p w:rsidR="00A86150" w:rsidRDefault="00F714D4">
      <w:pPr>
        <w:numPr>
          <w:ilvl w:val="0"/>
          <w:numId w:val="760"/>
        </w:numPr>
        <w:shd w:val="clear" w:color="auto" w:fill="EAE9DC"/>
        <w:tabs>
          <w:tab w:val="clear" w:pos="720"/>
          <w:tab w:val="num" w:pos="180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what common-law principles were used by employers and courts to resist legalized collective bargaining.</w:t>
      </w:r>
    </w:p>
    <w:p w:rsidR="00A86150" w:rsidRDefault="00F714D4">
      <w:pPr>
        <w:numPr>
          <w:ilvl w:val="0"/>
          <w:numId w:val="760"/>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Be able to put US labor law in its historical context.</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Labor and the Common Law in the Nineteenth Century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Labor unions appeared in modern form in the United States in the 1790s in Boston, New York, and Philadelphia. Early in the nineteenth century, employers began to seek injunctions against union organizing and other activities. Two doctrines were employed: (1)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common-law conspiracy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(2)</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common-law restraint of trade</w:t>
      </w:r>
      <w:r>
        <w:rPr>
          <w:rFonts w:ascii="Georgia" w:hAnsi="Georgia" w:cs="Calibri"/>
          <w:color w:val="333333"/>
          <w:sz w:val="20"/>
          <w:szCs w:val="20"/>
          <w:lang w:val="en"/>
        </w:rPr>
        <w:t>. The first doctrine held that workers who joined together were acting criminally as conspirators, regardless of the means chosen or the objectives sought.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second doctrine—common-law restraint of trade—was also a favorite theory used by the courts to enjoin unionizing and other joint employee activities. Workers who banded together to seek better wages or working conditions were, according to this theory, engaged in concerted activity that restrained trade in their labor. This theory made sense in a day in which conventional wisdom held that an employer was entitled to buy labor as cheaply as possible—the price would obviously rise if workers were allowed to bargain jointly rather than if they were required to offer their services individually on the open market.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Labor under the Antitrust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Sherman Act did nothing to change this basic judicial attitude. A number of cases decided early in the act’s history condemned labor activities as violations of the antitrust law. In particular,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Danbury Hatters’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w:t>
      </w:r>
      <w:r>
        <w:rPr>
          <w:rStyle w:val="Emphasis"/>
          <w:rFonts w:ascii="Georgia" w:hAnsi="Georgia" w:cs="Calibri"/>
          <w:color w:val="333333"/>
          <w:sz w:val="20"/>
          <w:szCs w:val="20"/>
          <w:lang w:val="en"/>
        </w:rPr>
        <w:t>Loewe v. Lawlor</w:t>
      </w:r>
      <w:r>
        <w:rPr>
          <w:rFonts w:ascii="Georgia" w:hAnsi="Georgia" w:cs="Calibri"/>
          <w:color w:val="333333"/>
          <w:sz w:val="20"/>
          <w:szCs w:val="20"/>
          <w:lang w:val="en"/>
        </w:rPr>
        <w:t>) the Supreme Court held that a “secondary boycott” against a nonunionized company violated the Sherman Act. The hatters instigated a boycott of retail stores that sold hats manufactured by a company whose workers had struck. The union was held liable for treble damages.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By 1912, labor had organized widely, and it played a pivotal role in electing Woodrow Wilson and giving him a Democratic Congress, which responded in 1914 with the Clayton Act’s “labor exemption.” Section 6 of the Clayton Act says that labor unions are not “illegal combinations or conspiracies in restraint of trade, under the antitrust laws.” Section 20 forbids courts from issuing injunctions in cases involving strikes, boycotts, and other concerted union activities (which were declared to be lawful) as long as they arose out of disputes between employer and employees over the terms of employment.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even the Clayton Act proved of little lasting value to the unions. In 1921, the Supreme Court again struck out against a secondary boycott that crippled the significance of the Clayton Act provisions. In the case, a machinists’ union staged a boycott against an employer (by whom the members were not employed) in order to pressure the employer into permitting one of its factories to be unionized. The Court ruled that the Clayton Act exemptions applied only in cases involving an employer and its own employees.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Without the ability to boycott under those circumstances, and with the threat of antitrust prosecutions or treble-damage actions, labor would be hard-pressed to unionize many companies. More antiunion decisions followed.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Moves toward Modern Labor Legislation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Collective bargaining appeared on the national scene for the first time in 1918 with the creation of the War Labor Conference Board. The National War Labor Board was empowered to mediate or reconcile labor disputes that affected industries essential to the war, but after the war, the board was abolished.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1926, Congress enacted the Railway Labor Act. This statute imposed a duty on railroads to bargain in good faith with their employees’ elected representatives. The act also established the National Mediation Board to mediate disputes that were not resolved in contract negotiations. The stage was set for more comprehensive national labor laws. These would come with the Great Depression.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Norris–La Guardia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first labor law of the Great Depression was the Norris–La Guardia Act of 1932. It dealt with the propensity of federal courts to issue preliminary injunctions, often ex parte (i.e., after hearing only the plaintiff’s argument), against union activities. Even though the permanent injunction might later have been denied, the effect of the vaguely worded preliminary injunction would have been sufficient to destroy the attempt to unionize. The Norris–La Guardia Act forbids federal courts from temporarily or permanently enjoining certain union activities, such as peaceful picketing and strikes. The act is applicable is any “labor dispute,” defined as embracing “any controversy concerning terms or conditions of employment, or concerning the association or representation of persons in negotiating, fixing, maintaining, changing, or seeking to arrange terms or conditions of employment, regardless of whether or not the disputants stand in the proximate relation of employer and employee.” This language thus permitted the secondary boycott that had been held a violation of the antitrust laws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Duplex Printing Press v. Deering.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act also bars the courts from enforcing so-called yellow-dog contracts—agreements that employees made with their employer not to join unions.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National Labor Relations Act (the Wagner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1935, Congress finally enacted a comprehensive labor statute. The National Labor Relations Act (NLRA), often called the Wagner Act after its sponsor, Senator Robert F. Wagner, declared in Section 7 that workers in interstate commerce “have the right to self-organization, to form, join or assist labor organizations, to bargain collectively through representatives of their own choosing, and to engage in concerted activities for the purpose of collective bargaining or other mutual aid or protection.” Section 8 sets out five key</w:t>
      </w:r>
      <w:r>
        <w:rPr>
          <w:rStyle w:val="marginterm"/>
          <w:rFonts w:ascii="Georgia" w:hAnsi="Georgia" w:cs="Calibri"/>
          <w:color w:val="333333"/>
          <w:sz w:val="20"/>
          <w:szCs w:val="20"/>
          <w:lang w:val="en"/>
        </w:rPr>
        <w:t>unfair labor practices</w:t>
      </w:r>
      <w:r>
        <w:rPr>
          <w:rFonts w:ascii="Georgia" w:hAnsi="Georgia" w:cs="Calibri"/>
          <w:color w:val="333333"/>
          <w:sz w:val="20"/>
          <w:szCs w:val="20"/>
          <w:lang w:val="en"/>
        </w:rPr>
        <w:t>:</w:t>
      </w:r>
    </w:p>
    <w:p w:rsidR="00A86150" w:rsidRDefault="00F714D4">
      <w:pPr>
        <w:pStyle w:val="ListParagraph"/>
        <w:numPr>
          <w:ilvl w:val="0"/>
          <w:numId w:val="76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Interference with the rights guaranteed by Section 7</w:t>
      </w:r>
    </w:p>
    <w:p w:rsidR="00A86150" w:rsidRDefault="00F714D4">
      <w:pPr>
        <w:pStyle w:val="ListParagraph"/>
        <w:numPr>
          <w:ilvl w:val="0"/>
          <w:numId w:val="76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Interference with the organization of unions, or dominance by the employer of union administration (this section thus outlaws “company unions”)</w:t>
      </w:r>
    </w:p>
    <w:p w:rsidR="00A86150" w:rsidRDefault="00F714D4">
      <w:pPr>
        <w:pStyle w:val="ListParagraph"/>
        <w:numPr>
          <w:ilvl w:val="0"/>
          <w:numId w:val="76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Discrimination against employees who belong to unions</w:t>
      </w:r>
    </w:p>
    <w:p w:rsidR="00A86150" w:rsidRDefault="00F714D4">
      <w:pPr>
        <w:pStyle w:val="ListParagraph"/>
        <w:numPr>
          <w:ilvl w:val="0"/>
          <w:numId w:val="76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Discharging or otherwise discriminating against employees who seek relief under the act</w:t>
      </w:r>
    </w:p>
    <w:p w:rsidR="00A86150" w:rsidRDefault="00F714D4">
      <w:pPr>
        <w:pStyle w:val="ListParagraph"/>
        <w:numPr>
          <w:ilvl w:val="0"/>
          <w:numId w:val="76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Refusing to bargain collectively with union representatives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procedures for forming a union to represent employees in an appropriate “bargaining unit” are set out in Section 9. Finally, the Wagner Act established the National Labor Relations Board (NLRB) as an independent federal administrative agency, with power to investigate and remedy unfair labor practices.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Supreme Court upheld the constitutionality of the act in 1937 in a series of five cases. In the first,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NLRB v. Jones &amp; Laughlin Steel Corp.</w:t>
      </w:r>
      <w:r>
        <w:rPr>
          <w:rFonts w:ascii="Georgia" w:hAnsi="Georgia" w:cs="Calibri"/>
          <w:color w:val="333333"/>
          <w:sz w:val="20"/>
          <w:szCs w:val="20"/>
          <w:lang w:val="en"/>
        </w:rPr>
        <w:t>, the Court ruled that congressional power under the Commerce Clause extends to activities that might affect the flow of interstate commerce, as labor relations certainly did.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Fonts w:ascii="Georgia" w:hAnsi="Georgia" w:cs="Calibri"/>
          <w:color w:val="333333"/>
          <w:sz w:val="20"/>
          <w:szCs w:val="20"/>
          <w:lang w:val="en"/>
        </w:rPr>
        <w:t>Through its elaborate mechanisms for establishing collective bargaining as a basic national policy, the Wagner Act has had a profound effect on interstate commerce during the last half-century.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Taft-Hartley Act (Labor-Management Relations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Wagner Act did not attempt to restrict union activities in any way. For a dozen years, opponents of unions sought some means of curtailing the breadth of opportunity opened up to unions by the Wagner Act. After failing to obtain relief in the Supreme Court, they took their case to Congress and finally succeeded after World War II when, in 1947, Congress, for the first time since 1930, had Republican majorities in both houses. Congress responded to critics of “big labor” with the Taft-Hartley Act, passed over President Truman’s veto. Taft-Hartley—known formally as the Labor-Management Relations Act—did not repeal the protections given employees and unions under the NLRA. Instead, it balanced union power with a declaration of rights of employers. In particular, Taft-Hartley lists six unfair labor practices of unions, including secondary boycotts, strikes aimed at coercing an employer to fire an employee who refuses to join a union, and so-called jurisdictional strikes over which union should be entitled to do specified jobs at the work site.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addition to these provisions, Taft-Hartley contains several others that balance the rights of unions and employers. For example, the act guarantees both employers and unions the right to present their views on unionization and collective bargaining. Like employers, unions became obligated to bargain in good faith. The act outlaws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closed shop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firm in which a worker must belong to a union), gives federal courts the power to enforce collective bargaining agreements, and permits private parties to sue for damages arising out of a secondary boycott. The act also created the Federal Mediation and Conciliation Service to cope with strikes that create national emergencies, and it declared strikes by federal employees to be unlawful. It was this provision that President Reagan invoked in 1981 to fire air traffic controllers who walked off the job for higher pay.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Landrum-Griffin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Congressional hearings in the 1950s brought to light union corruption and abuses and led in 1959 to the last of the major federal labor statutes, the Landrum-Griffin Act (Labor-Management Reporting and Disclosure Act). It established a series of controls on internal union procedures, including the method of electing union officers and the financial controls necessary to avoid the problems of corruption that had been encountered. Landrum-Griffin also restricted union picketing under various circumstances, narrowed the loopholes in Taft-Hartley’s prohibitions against secondary boycotts, and banned “hot cargo” agreements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31.3.6 "Hot Cargo Agreement"</w:t>
      </w:r>
      <w:r>
        <w:rPr>
          <w:rFonts w:ascii="Georgia" w:hAnsi="Georgia" w:cs="Calibri"/>
          <w:color w:val="333333"/>
          <w:sz w:val="20"/>
          <w:szCs w:val="20"/>
          <w:lang w:val="en"/>
        </w:rPr>
        <w: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Common-law doctrines were used in the early history of the labor movement to enjoin unionizing and other joint employee activities. These were deemed to be restraints of trade that violated antitrust laws. In addition, common-law conspiracy charges provided criminal enforcement against joint employee actions and agreements. Politically, the labor movement gained some traction in 1912 and got an antitrust-law exemption in the Clayton Act. But it was not until the Great Depression and the New Deal that the right of collective bargaining was recognized by federal statute in the National Labor Relations Act. Subsequent legislation (Taft-Hartley and Landrum-Griffin) added limits to union activities and controls over unions in their internal functions.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62"/>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Use the Internet to find stories of government-sponsored violence against union activities in the late 1900s and early part of the twentieth century. What were some of the most violent confrontations, and what caused them? Discuss why business and government were so opposed to collective bargaining.</w:t>
      </w:r>
    </w:p>
    <w:p w:rsidR="00A86150" w:rsidRDefault="00F714D4">
      <w:pPr>
        <w:numPr>
          <w:ilvl w:val="0"/>
          <w:numId w:val="762"/>
        </w:numPr>
        <w:shd w:val="clear" w:color="auto" w:fill="E3EFF7"/>
        <w:tabs>
          <w:tab w:val="clear" w:pos="720"/>
          <w:tab w:val="num" w:pos="1080"/>
        </w:tabs>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Use the Internet to find out which countries in the world have legal systems that support collective bargaining. What do these countries have in common with the United States? Does the People’s Republic of China support collective bargaining?</w:t>
      </w:r>
    </w:p>
    <w:p w:rsidR="00A86150" w:rsidRDefault="0081777E">
      <w:pPr>
        <w:spacing w:after="0"/>
        <w:jc w:val="center"/>
        <w:divId w:val="1708213365"/>
      </w:pPr>
      <w:r>
        <w:pict>
          <v:rect id="_x0000_i1154"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Loewe v. Lawlor</w:t>
      </w:r>
      <w:r>
        <w:rPr>
          <w:rFonts w:ascii="Calibri" w:hAnsi="Calibri" w:cs="Calibri"/>
          <w:color w:val="333333"/>
          <w:sz w:val="20"/>
          <w:szCs w:val="20"/>
        </w:rPr>
        <w:t>, 208 U.S. 274 (1908).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Duplex Printing Press Co. v. Deering</w:t>
      </w:r>
      <w:r>
        <w:rPr>
          <w:rFonts w:ascii="Calibri" w:hAnsi="Calibri" w:cs="Calibri"/>
          <w:color w:val="333333"/>
          <w:sz w:val="20"/>
          <w:szCs w:val="20"/>
        </w:rPr>
        <w:t>, 254 U.S. 443 (1921).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Jones &amp; Laughlin Steel Corp.</w:t>
      </w:r>
      <w:r>
        <w:rPr>
          <w:rFonts w:ascii="Calibri" w:hAnsi="Calibri" w:cs="Calibri"/>
          <w:color w:val="333333"/>
          <w:sz w:val="20"/>
          <w:szCs w:val="20"/>
        </w:rPr>
        <w:t>, 301 U.S. 1 (1937).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31.2</w:t>
      </w:r>
      <w:r>
        <w:rPr>
          <w:rStyle w:val="apple-converted-space"/>
          <w:rFonts w:ascii="Calibri" w:hAnsi="Calibri" w:cs="Calibri"/>
          <w:color w:val="333333"/>
        </w:rPr>
        <w:t> </w:t>
      </w:r>
      <w:r>
        <w:rPr>
          <w:rFonts w:ascii="Calibri" w:hAnsi="Calibri" w:cs="Calibri"/>
          <w:color w:val="333333"/>
        </w:rPr>
        <w:t>The National Labor Relations Board: Organization and Functions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A86150" w:rsidRDefault="00F714D4">
      <w:pPr>
        <w:numPr>
          <w:ilvl w:val="0"/>
          <w:numId w:val="763"/>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Explain the process that leads to recognition of bargaining units by the National Labor Relations Board.</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National Labor Relations Board (NLRB) consists of five board members, appointed by the president and confirmed by the Senate, who serve for five-year, staggered terms. The president designates one of the members as chairman. The president also appoints the general counsel, who is in charge of the board’s investigatory and prosecutorial functions and who represents the NLRB when it goes (or is taken) to court. The general counsel also oversees the thirty-three regional offices scattered throughout the country, each of which is headed by a regional director.</w:t>
      </w: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NLRB serves two primary functions: (1) it investigates allegations of unfair labor practices and provides remedies in appropriate cases, and (2) it decides in contested cases which union should serve as the exclusive bargaining agent for a particular group of employees.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Unfair Labor Practice Cases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Unfair labor practice cases are fairly common; some twenty-two thousand unfair labor practice claims were filed in 2008. Volume was considerably higher thirty years ago; about forty thousand a year was typical in the early 1980s. A charge of an unfair labor practice must be presented to the board, which has no authority to initiate cases on its own. Charges are investigated at the regional level and may result in a complaint by the regional office. A regional director’s failure to issue a complaint may be appealed to the general counsel, whose word is final (there is no possible appeal).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substantial number of charges are dismissed or withdrawn each year—sometimes as many as 70 percent. Once issued, the complaint is handled by an attorney from the regional office. Most cases, usually around 80 percent, are settled at this level. If not settled, the case will be tried before an administrative law judge, who will take evidence and recommend a decision and an order. If no one objects, the decision and order become final as the board’s opinion and order. Any party may appeal the decision to the board in Washington. The board acts on written briefs, rarely on oral argument. The board’s order may be appealed to the US court of appeals, although its findings of fact are not reviewable “if supported by substantial evidence on the record considered as a whole.” The board may also go to the court of appeals to seek enforcement of its orders.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Representation Cases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NLRB is empowered to oversee representative elections—that is, elections by employees to determine whether or not to be represented by a union. The board becomes involved if at least 30 percent of the members of a potential bargaining unit petition it to do so or if an employer petitions on being faced with a claim by a union that it exclusively represents the employees. The board determines which bargaining unit is appropriate and which employees are eligible to vote. A representative of the regional office will conduct the election itself, which is by secret ballot. The regional director may hear challenges to the election procedure to determine whether the election was valid.</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The NLRB has two primary functions: (1) it investigates allegations of unfair labor practices and provides remedies in appropriate cases, and (2) it decides in contested cases which union should serve as the exclusive bargaining agent for a particular group of employees.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764"/>
        </w:numPr>
        <w:shd w:val="clear" w:color="auto" w:fill="E3EFF7"/>
        <w:tabs>
          <w:tab w:val="clear" w:pos="720"/>
          <w:tab w:val="num" w:pos="288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the website for the NLRB. Find out how many unfair labor practice charges are filed each year. Also find out how many “have merit” according to the NLRB.</w:t>
      </w:r>
    </w:p>
    <w:p w:rsidR="00A86150" w:rsidRDefault="00F714D4">
      <w:pPr>
        <w:numPr>
          <w:ilvl w:val="0"/>
          <w:numId w:val="764"/>
        </w:numPr>
        <w:shd w:val="clear" w:color="auto" w:fill="E3EFF7"/>
        <w:tabs>
          <w:tab w:val="clear" w:pos="720"/>
          <w:tab w:val="num" w:pos="252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many of these unfair labor practice charges that “have merit” are settled through the auspices of the NLRB?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31.3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Labor and Management Rights under the Federal Labor Laws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65"/>
        </w:numPr>
        <w:shd w:val="clear" w:color="auto" w:fill="EAE9DC"/>
        <w:tabs>
          <w:tab w:val="clear" w:pos="720"/>
          <w:tab w:val="num" w:pos="28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and explain the process for the National Labor Relations Board to choose a particular union as the exclusive bargaining representative.</w:t>
      </w:r>
    </w:p>
    <w:p w:rsidR="00A86150" w:rsidRDefault="00F714D4">
      <w:pPr>
        <w:numPr>
          <w:ilvl w:val="0"/>
          <w:numId w:val="765"/>
        </w:numPr>
        <w:shd w:val="clear" w:color="auto" w:fill="EAE9DC"/>
        <w:tabs>
          <w:tab w:val="clear" w:pos="720"/>
          <w:tab w:val="num" w:pos="252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and explain the various duties that employers have in bargaining.</w:t>
      </w:r>
    </w:p>
    <w:p w:rsidR="00A86150" w:rsidRDefault="00F714D4">
      <w:pPr>
        <w:numPr>
          <w:ilvl w:val="0"/>
          <w:numId w:val="765"/>
        </w:numPr>
        <w:shd w:val="clear" w:color="auto" w:fill="EAE9DC"/>
        <w:tabs>
          <w:tab w:val="clear" w:pos="720"/>
          <w:tab w:val="num" w:pos="216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Indicate the ways in which employers may commit unfair labor practice by interfering with union activity.</w:t>
      </w:r>
    </w:p>
    <w:p w:rsidR="00A86150" w:rsidRDefault="00F714D4">
      <w:pPr>
        <w:numPr>
          <w:ilvl w:val="0"/>
          <w:numId w:val="765"/>
        </w:numPr>
        <w:shd w:val="clear" w:color="auto" w:fill="EAE9DC"/>
        <w:tabs>
          <w:tab w:val="clear" w:pos="720"/>
          <w:tab w:val="num" w:pos="180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union’s right to strike and the difference between an economic strike and a strike over an unfair labor practice.</w:t>
      </w:r>
    </w:p>
    <w:p w:rsidR="00A86150" w:rsidRDefault="00F714D4">
      <w:pPr>
        <w:numPr>
          <w:ilvl w:val="0"/>
          <w:numId w:val="765"/>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secondary boycotts and hot cargo agreements and why they are controversial.</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Choosing the Union as the Exclusive Bargaining Representative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Determining the Appropriate Union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long as a union has a valid contract with the employer, no rival union may seek an election to oust it except within sixty to ninety days before the contract expires. Nor may an election be held if an election has already been held in the bargaining unit during the preceding twelve months.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Whom does the union represent? In companies of even moderate size, employees work at different tasks and have different interests. Must the secretaries, punch press operators, drivers, and clerical help all belong to the same union in a small factory? The National Labor Relations Board (NLRB) has the authority to determine which group of employees will constitute the appropriate bargaining unit. To make its determination, the board must look at the history of collective bargaining among similar workers in the industry; the employees’ duties, wages, skills, and working conditions; the relationship between the proposed unit and the structure of the employer’s organization; and the desires of the employees themselves.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groups must be excluded from any bargaining unit—supervisory employees and independent contractors. Determining whether or not a particular employee is a supervisor is left to the discretion of the board.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Interfering with Employee Communication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conduct an organizing drive, a union must be able to communicate with the employees. But the employer has valid interests in seeing that employees and organizers do not interfere with company operations. Several different problems arise from the need to balance these interests.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problem is the protection of the employer’s property rights. May nonemployee union organizers come onto the employer’s property to distribute union literature—for example, by standing in the company’s parking lots to hand out leaflets when employees go to and from work? May organizers, whether employees or not, picket or hand out literature in private shopping centers in order to reach the public—for example, to protest a company’s policies toward its nonunion employees? The interests of both employees and employers under the NLRB are twofold: (1) the right of the employees (a) to communicate with each other or the public and (b) to hear what union organizers have to say, and (2) the employers’ (a) property rights and (b) their interest in managing the business efficiently and profitably.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rules that govern in these situations are complex, but in general they appear to provide these answers: (1) If the persons doing the soliciting are not employees, the employer may bar them from entering its private property, even if they are attempting to reach employees—assuming that the employer does not discriminate and applies a rule against use of its property equally to everyone.</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(2) If the solicitors are not employees and they are trying to reach the public, they have no right to enter the employer’s private property. (3) If the solicitors are employees who are seeking to reach the public, they have the right to distribute on the employer’s property—in a common case, in a shopping center—unless they have a convenient way to reach their audience on public property off the employer’s premises.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(4) If the solicitors are employees seeking to reach employees, the employer is permitted to limit the distribution of literature or other solicitations to avoid litter or the interruption of work, but it cannot prohibit solicitation on company property altogether.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leading case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Republic Aviation Corp. v. NLRB</w:t>
      </w:r>
      <w:r>
        <w:rPr>
          <w:rFonts w:ascii="Georgia" w:hAnsi="Georgia" w:cs="Calibri"/>
          <w:color w:val="333333"/>
          <w:sz w:val="20"/>
          <w:szCs w:val="20"/>
          <w:lang w:val="en"/>
        </w:rPr>
        <w:t>, the employer, a nonunion plant, had a standing rule against any kind of solicitation on the premises.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Thereafter, certain employees attempted to organize the plant. The employer fired one employee for soliciting on behalf of the union and three others for wearing union buttons. The Supreme Court upheld the board’s determination that the discharges constituted an unfair labor practice under Section 8(a) of the NLRA. It does not matter, the Court said, whether the employees had other means of communicating with each other or that the employer’s rule against solicitation may have no effect on the union’s attempt to organize the workers. In other words, the employer’s intent or motive is irrelevant. The only question is whether the employer’s actions might tend to interfere with the employees’ exercise of their rights under the NLRB.</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Regulating Campaign Statements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union election drive is not like a polite conversation over coffee; it is, like political campaigns, full of charges and countercharges. Employers who do not want their employees unionized may warn darkly of the effect of the union on profitability; organizers may exaggerate the company’s financial position. In a 1982 NLRB case,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NLRB v. Midland National Life Ins. Co.</w:t>
      </w:r>
      <w:r>
        <w:rPr>
          <w:rFonts w:ascii="Georgia" w:hAnsi="Georgia" w:cs="Calibri"/>
          <w:color w:val="333333"/>
          <w:sz w:val="20"/>
          <w:szCs w:val="20"/>
          <w:lang w:val="en"/>
        </w:rPr>
        <w:t>, the board said it would not set aside an election if the parties misrepresented the issues or facts but that it would do so if the statements were made in a deceptive manner—for example, through forged documents.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board also watches for threats and promises of rewards; for example, the employer might threaten to close the plant if the union succeeds.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NLRB v. Gissel Packing Co.</w:t>
      </w:r>
      <w:r>
        <w:rPr>
          <w:rFonts w:ascii="Georgia" w:hAnsi="Georgia" w:cs="Calibri"/>
          <w:color w:val="333333"/>
          <w:sz w:val="20"/>
          <w:szCs w:val="20"/>
          <w:lang w:val="en"/>
        </w:rPr>
        <w:t>, the employer stated his worries throughout the campaign that a union would prompt a strike and force the plant to close.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board ruled that the employer’s statements were an impermissible threat. To the employer’s claim that he was simply exercising his First Amendment rights, the Supreme Court held that although employers do enjoy freedom of speech, it is an unfair labor practice to threaten consequences that are not rooted in economic realities.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union campaign has become an intricate legal duel, heavily dependent on strategic considerations of law and public relations. Neither management nor labor can afford to wage a union campaign without specialized advisers who can guide the thrust and parry of the antagonists. Labor usually has such advisers because very few organizational drives are begun without outside organizers who have access to union lawyers. A business person who attempts to fight a union, like a labor organizer or an employee who attempts to organize one, takes a sizeable risk when acting alone, without competent advice. For example, an employer’s simple statement like “We will get the heating fixed” in response to a seemingly innocent question about the “drafty old building” at a meeting with employees can lead to an NLRB decision to set aside an election if the union loses, because the answer can easily be construed as a promise, and under Section 8(c) of the National Labor Relations Act (NLRA), a promise of reward or benefit during an organization campaign is an unfair labor practice by management. Few union election campaigns occur without questions, meetings, and pamphleteering carefully worked out in advance.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results of all the electioneering are worth noting. In the 1980s, some 20 percent of the total US workforce was unionized. As of 2009, the union membership rate was 12.3 percent, and more union members were public employees than private sector employees. Fairly or unfairly, public employee unions were under attack as of 2010, as their wages generally exceeded the average wages of other categories of workers.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Exclusivity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selected as the bargaining representative for an appropriate group of employees, the union has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exclusive right to bargain</w:t>
      </w:r>
      <w:r>
        <w:rPr>
          <w:rFonts w:ascii="Georgia" w:hAnsi="Georgia" w:cs="Calibri"/>
          <w:color w:val="333333"/>
          <w:sz w:val="20"/>
          <w:szCs w:val="20"/>
          <w:lang w:val="en"/>
        </w:rPr>
        <w:t>. Thereafter, individual employees may not enter into separate contracts with the employer, even if they voted against the particular union or against having a union at all. The principle of exclusivity is fundamental to the collective bargaining process. Just how basic it is can be seen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Emporium Capwell Co. v. Western Addition Community Organization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31.4.1 "Exclusivity"</w:t>
      </w:r>
      <w:r>
        <w:rPr>
          <w:rFonts w:ascii="Georgia" w:hAnsi="Georgia" w:cs="Calibri"/>
          <w:color w:val="333333"/>
          <w:sz w:val="20"/>
          <w:szCs w:val="20"/>
          <w:lang w:val="en"/>
        </w:rPr>
        <w:t>), in which one group of employees protested what they thought were racially discriminatory work assignments, barred under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collective bargaining agreement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contract between the union and the employer). Certain of the employees filed grievances with the union, which looked into the problem more slowly than the employees thought necessary. They urged that the union permit them to picket, but the union refused. They picketed anyway, calling for a consumer boycott. The employer warned them to desist, but they continued and were fired. The question was whether they were discharged for engaging in concerted activity protected under Section 7 of the NLRA.</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Duty to Bargain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Duty to Bargain in Good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NLRA holds both employer and union to a duty to “bargain in good faith.” What these words mean has long been the subject of controversy. Suppose Mr. Mardian, a company’s chief negotiator, announces to Mr. Ulasewicz, the company’s chief union negotiator, “I will sit down and talk with you, but be damned if I will agree to a penny more an hour than the people are getting now.” That is not a refusal to bargain: it is a statement of the company’s position, and only Mardian’s actual conduct during the negotiations will determine whether he was bargaining in good faith. Of course, if he refused to talk to Ulasewicz, he would have been guilty of a failure to bargain in good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Mardian has steadily insisted during the bargaining sessions that the company must have complete control over every aspect of the labor relationship, including the right to hire and fire exactly as it saw fit, the right to raise or lower wages whenever it wanted, and the right to determine which employee was to do which job. The Supreme Court has said that an employer is not obligated to accept any particular term in a proposed collective bargaining agreement and that the NLRB may not second-guess any agreement eventually reached.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However, the employer must actually engage in bargaining, and a stubborn insistence on leaving everything entirely to the discretion of management has been construed as a failure to bargain.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Mardian had responded to Ulasewicz’s request for a ten-cent-an-hour raise: “If we do that, we’ll go broke.” Suppose further that Ulasewicz then demanded, on behalf of the union, that Mardian prove his contention but that Mardian refused. Under these circumstances, the Supreme Court has ruled, the NLRB is entitled to hold that management has failed to bargain in good faith, for once having raised the issue, the employer must in good faith demonstrate veracity.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Mandatory Subjects of Bargaining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NLRB requires employers and unions to bargain over “terms and condition of employment.” Wages, hours, and working conditions—whether workers must wear uniforms, when the lunch hour begins, the type of safety equipment on hand—are well-understood terms and conditions of employment. But the statutory phrase is vague, and the cases abound with debates over whether a term insisted on by union or management is within the statutory phrase. No simple rule can be stated for determining whether a desire of union or management is mandatory or nonmandatory. The cases do suggest that management retains the right to determine the scope and direction of the enterprise, so that, for example, the decision to invest in labor-saving machinery is a nonmandatory subject—meaning that a union could not insist that an employer bargain over it, although the employer may negotiate if it desires. Once a subject is incorporated in a collective bargaining agreement, neither side may demand that it be renegotiated during the term of the agreement.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Board’s Power to Compel an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mere refusal to agree, without more, is not evidence of bad-faith bargaining. That may seem a difficult conclusion to reach in view of what has just been said. Nevertheless, the law is clear that a company may refuse to accede to a union’s demand for any reason other than an unwillingness to consider the matter in the first place. If a union negotiator cannot talk management into accepting his demand, then the union may take other actions—including strikes to try to force management to bow. It follows from this conclusion that the NLRB has no power to</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compel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agreement—even if management is guilty of negotiating in bad faith. The federal labor laws are premised on the fundamental principle that the parties are free to bargain.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Interference and Discrimination by the Employer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Union Activity on Company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employer may not issue a rule flatly prohibiting solicitation or distribution of literature during “working time” or “working hours”—a valid rule against solicitation or distribution must permit these activities during employees’ free time, such as on breaks and at meals. A rule that barred solicitation on the plant floor during actual work would be presumptively valid. However, the NLRB has the power to enjoin its enforcement if the employer used the rule to stop union soliciting but permitted employees during the forbidden times to solicit for charitable and other causes.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“Runaway Shop”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business may lawfully decide to move a factory for economic reasons, but it may not do so to discourage a union or break it apart. The removal of a plant from one location to another is known as a runaway shop. An employer’s representative who conceals from union representatives that a move is contemplated commits an unfair labor practice because the union is deprived of the opportunity to negotiate over an important part of its members’ working conditions. If a company moves a plant and it is later determined that the move was to interfere with union activity, the board may order the employer to offer affected workers employment at the new site and the cost of transportation.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Other Types of Interference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Since “interference” is not a precise term but descriptive of a purpose embodied in the law, many activities lie within its scope. These include hiring professional strikebreakers to disrupt a strike, showing favoritism toward a particular union to discourage another one, awarding or withholding benefits to encourage or discourage unionization, engaging in misrepresentations and other acts during election campaigns, spying on workers, making employment contracts with individual members of a union, blacklisting workers, attacking union activists physically or verbally, and disseminating various forms of antiunion propaganda.</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Discrimination against Union Members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Section 8(a)(3) of the NLRA, an employer may not discriminate against employees in hiring or tenure to encourage or discourage membership in a labor organization. Thus an employer may not refuse to hire a union activist and may not fire an employee who is actively supporting the union or an organizational effort if the employee is otherwise performing adequately on the job. Nor may an employer discriminate among employees seeking reinstatement after a strike or discriminatory layoff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lockout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closing of the job site to prevent employees from coming to work), hiring only those who were less vocal in their support of the union.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provision against employer discrimination in hiring prohibits certain types of compulsory unionism. Four basic types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compulsory unionism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are possible: the closed shop, the union shop, maintenance-of-membership agreements, and preferential hiring agreements. In addition, a fifth arrangement—the agency shop—while not strictly compulsory unionism, has characteristics similar to it. Section 8(a)(3) prohibits the closed shop and preferential hiring. But Section 14 permits states to enact more stringent standards and thus to outlaw the union shop, the agency shop, and maintenance of membership as well.</w:t>
      </w:r>
    </w:p>
    <w:p w:rsidR="00A86150" w:rsidRDefault="00F714D4">
      <w:pPr>
        <w:pStyle w:val="ListParagraph"/>
        <w:numPr>
          <w:ilvl w:val="0"/>
          <w:numId w:val="766"/>
        </w:numPr>
        <w:shd w:val="clear" w:color="auto" w:fill="FFFFFF"/>
        <w:spacing w:after="240" w:line="439" w:lineRule="atLeast"/>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Closed shop.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type of agreement requires a potential employee to belong to the union before being hired and to remain a member during employment. It is unlawful, because it would require an employer to discriminate on the basis of membership in deciding whether to hire.</w:t>
      </w:r>
    </w:p>
    <w:p w:rsidR="00A86150" w:rsidRDefault="00F714D4">
      <w:pPr>
        <w:pStyle w:val="ListParagraph"/>
        <w:numPr>
          <w:ilvl w:val="0"/>
          <w:numId w:val="766"/>
        </w:numPr>
        <w:shd w:val="clear" w:color="auto" w:fill="FFFFFF"/>
        <w:spacing w:after="24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Union shop</w:t>
      </w:r>
      <w:r>
        <w:rPr>
          <w:rStyle w:val="Strong"/>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 employer who enters into a union shop agreement with the union may hire a nonunion employee, but all employees who are hired must then become members of the union and remain members so long as they work at the job. Because the employer may hire anyone, a union or nonunion member, the union shop is lawful unless barred by state law.</w:t>
      </w:r>
    </w:p>
    <w:p w:rsidR="00A86150" w:rsidRDefault="00F714D4">
      <w:pPr>
        <w:pStyle w:val="ListParagraph"/>
        <w:numPr>
          <w:ilvl w:val="0"/>
          <w:numId w:val="766"/>
        </w:numPr>
        <w:shd w:val="clear" w:color="auto" w:fill="FFFFFF"/>
        <w:spacing w:after="240" w:line="439" w:lineRule="atLeast"/>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Maintenance-of-membership agreements.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These agreements require employees who are members of the union before being hired to remain as members once they are hired unless they take advantage of an “escape clause” to resign within a time fixed in the collective bargaining agreement. Workers who were not members of the union before being hired are not required to join once they are on the job. This type of agreement is lawful unless barred by state law.</w:t>
      </w:r>
    </w:p>
    <w:p w:rsidR="00A86150" w:rsidRDefault="00F714D4">
      <w:pPr>
        <w:pStyle w:val="ListParagraph"/>
        <w:numPr>
          <w:ilvl w:val="0"/>
          <w:numId w:val="766"/>
        </w:numPr>
        <w:shd w:val="clear" w:color="auto" w:fill="FFFFFF"/>
        <w:spacing w:after="240" w:line="439" w:lineRule="atLeast"/>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Preferential hiring.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 employer who accepts a preferential hiring clause agrees to hire only union members as long as the union can supply him with a sufficient number of qualified workers. These clauses are unlawful.</w:t>
      </w:r>
    </w:p>
    <w:p w:rsidR="00A86150" w:rsidRDefault="00F714D4">
      <w:pPr>
        <w:pStyle w:val="ListParagraph"/>
        <w:numPr>
          <w:ilvl w:val="0"/>
          <w:numId w:val="766"/>
        </w:numPr>
        <w:shd w:val="clear" w:color="auto" w:fill="FFFFFF"/>
        <w:spacing w:after="240" w:line="439" w:lineRule="atLeast"/>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Agency shop.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agency shop is not true compulsory unionism, for it specifically permits an employee not to belong to the union. However, it does require the employee to pay into the union the same amount required as dues of union members. The legality of an agency shop is determined by state law. If permissible under state law, it is permissible under federal law.</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Right to Strike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13 of the NLRA says that “nothing in this Act, except as specifically provided for herein, shall be construed so as either to interfere with or impede or diminish in any way the right to strike, or to affect the limitations or qualifications on that right.” The labor statutes distinguish between two types of strikes: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economic strike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the strike over an unfair labor practice. In the former, employees go on strike to try to force the employer to give in to the workers’ demands. In the latter, the strikers are protesting the employer’s committing an unfair labor practice. The importance of the distinction lies in whether the employees are entitled to regain their jobs after the strike is over. In either type of strike, an employer may hire substitute employees during the strike. When it concludes, however, a difference arises.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NLRB v. International Van Lines</w:t>
      </w:r>
      <w:r>
        <w:rPr>
          <w:rFonts w:ascii="Georgia" w:hAnsi="Georgia" w:cs="Calibri"/>
          <w:color w:val="333333"/>
          <w:sz w:val="20"/>
          <w:szCs w:val="20"/>
          <w:lang w:val="en"/>
        </w:rPr>
        <w:t>, the Supreme Court said that an employer may hire permanent employees to take over during an economic strike and need not discharge the substitute employees when it is done.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That is not true for a strike over an unfair labor practice: an employee who makes an unconditional offer to return to his job is entitled to it, even though in the meantime the employer may have replaced him.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rules do not apply to unlawful strikes. Not every walkout by workers is permissible. Their collective bargaining agreement may contain a no-strike clause barring strikes during the life of the contract. Most public employees—that is, those who work for the government—are prohibited from striking. Sit-down strikes, in which the employees stay on the work site, precluding the employer from using the facility, are unlawful. So are wildcat strikes, when a faction within the union walks out without authorization. Also unlawful are violent strikes, jurisdictional strikes, secondary strikes and boycotts, and strikes intended to force the employer to sign “hot cargo” agreements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31.3.6 "Hot Cargo Agreement"</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combat strikes, especially when many employers are involved with a single union trying to bargain for better conditions throughout an industry, an employer may resort to a lockout. Typically, the union will call a whipsaw strike, striking some of the employers but not all. The whipsaw strike puts pressure on the struck employers because their competitors are still in business. The employers who are not struck may lawfully respond by locking out all employees who belong to the multiemployer union. This is known as a defensive lockout. In several cases, the Supreme Court has ruled that an offensive lockout, which occurs when the employer, anticipating a strike, locks the employees out, is also permissible.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Secondary Boycotts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8(b)(4), added to the NLRA by the Taft-Hartley Act, prohibits workers from engaging in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secondary boycotts</w:t>
      </w:r>
      <w:r>
        <w:rPr>
          <w:rFonts w:ascii="Georgia" w:hAnsi="Georgia" w:cs="Calibri"/>
          <w:color w:val="333333"/>
          <w:sz w:val="20"/>
          <w:szCs w:val="20"/>
          <w:lang w:val="en"/>
        </w:rPr>
        <w:t>—strikes, refusals to handle goods, threats, coercion, restraints, and other actions aimed at forcing any person to refrain from performing services for or handling products of any producer other than the employer, or to stop doing business with any other person. Like the Robinson-Patman Act, this section of the NLRA is extremely difficult to parse and has led to many convoluted interpretations. However, its essence is to prevent workers from picketing employers not involved in the primary labor dispute.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that the Amalgamated Widget Workers of America puts up a picket line around the Ace Widget Company to force the company to recognize the union as the exclusive bargaining agent for Ace’s employees. The employees themselves do not join in the picketing, but when a delivery truck shows up at the plant gates and discovers the pickets, it turns back because the driver’s policy is never to cross a picket line. This activity falls within the literal terms of Section (8)(b)(4): it seeks to prevent the employees of Ace’s suppliers from doing business with Ace. But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NLRB v. International Rice Milling Co.</w:t>
      </w:r>
      <w:r>
        <w:rPr>
          <w:rFonts w:ascii="Georgia" w:hAnsi="Georgia" w:cs="Calibri"/>
          <w:color w:val="333333"/>
          <w:sz w:val="20"/>
          <w:szCs w:val="20"/>
          <w:lang w:val="en"/>
        </w:rPr>
        <w:t>, the Supreme Court declared that this sort of primary activity—aimed directly at the employer involved in the primary dispute—is not unlawful.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So it is permissible to throw up a picket line to attempt to stop anyone from doing business with the employer—whether suppliers, customers, or even the employer’s other employees (e.g., those belonging to other unions). That is why a single striking union is so often successful in closing down an entire plant: when the striking union goes out, the other unions “honor the picket line” by refusing to cross it and thus stay out of work as well. The employer might have been able to replace the striking workers if they were only a small part of the plant’s labor force, but it becomes nearly impossible to replace all the workers within a dozen or more unions.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the United Sanders Union strikes the Ace Widget Company. Nonunion sanders refuse to cross the picket line. So Ace sends out its unsanded widgets to Acme Sanders, a job shop across town, to do the sanding job. When the strikers learn what Ace has done, they begin to picket Acme, at which point Acme’s sanders honor the picket line and refuse to enter the premises. Acme goes to court to enjoin the pickets—an exception to the Norris–La Guardia Act permits the federal courts to enjoin picketing in cases of unlawful secondary boycotts. Should the court grant the injunction? It might seem so, but under the so-called ally doctrine, the court will not. Since Acme is joined with Ace to help it finish the work, the courts deem the second employer an ally (or extension) of the first. The second picket line, therefore, is not secondary.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that despite the strike, Ace manages to ship its finished product to the Dime Store, which sells a variety of goods, including widgets. The union puts up a picket around the store; the picketers bear signs that urge shoppers to refrain from buying any Ace widgets at the Dime Store. Is this an unlawful secondary boycott? Again, the answer is no. A proviso to Section 8(b)(4) permits publicity aimed at truthfully advising the public that products of a primary employer with whom the union is on strike are being distributed by a secondary employer.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suppose that the picketers carried signs and orally urged shoppers not to enter the Dime Store at all until it stopped carrying Ace’s widgets. That would be unlawful: a union may not picket a secondary site to persuade consumers to refrain from purchasing any of the secondary employer’s products. Likewise, the union may not picket in order to cause the secondary employees (the salesclerks at the Dime Store) to refuse to go to work at the secondary employer. The latter is a classic example of inducing a secondary work stoppage, and it is barred by Section 8(b)(4). However,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DeBartolo Corp. v. Florida Gulf Coast Building and Construction Trades Council</w:t>
      </w:r>
      <w:r>
        <w:rPr>
          <w:rFonts w:ascii="Georgia" w:hAnsi="Georgia" w:cs="Calibri"/>
          <w:color w:val="333333"/>
          <w:sz w:val="20"/>
          <w:szCs w:val="20"/>
          <w:lang w:val="en"/>
        </w:rPr>
        <w:t>, the Supreme Court opened what may prove to be a significant loophole in the prohibition against secondary boycotts.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Instead of picketing, the union distributed handbills at the entrance to a shopping mall, asking customers not to patronize any stores in the mall until the mall owner, in building new stores, promised to deal only with contractors paying “fair wages.” The Court approved the handbilling, calling it “only an attempt to persuade customers not to shop in the mall,” distinguishing it from picketing, which the Court said would constitute a secondary boycott.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Hot Cargo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union might find it advantageous to include in a collective bargaining agreement a provision under which the employer agrees to refrain from dealing with certain people or from purchasing their products. For example, suppose the Teamsters Union negotiates a contract with its employers that permits truckers to refuse to carry goods to an employer being struck by the Teamsters or any other union. The struck employer is the primary employer; the employer who has agreed to the clause—known as a hot cargo clause—is the secondary employer. The Supreme Court upheld these clauses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United Brotherhood of Carpenters and Joiners, Local 1976 v. NLRB</w:t>
      </w:r>
      <w:r>
        <w:rPr>
          <w:rFonts w:ascii="Georgia" w:hAnsi="Georgia" w:cs="Calibri"/>
          <w:color w:val="333333"/>
          <w:sz w:val="20"/>
          <w:szCs w:val="20"/>
          <w:lang w:val="en"/>
        </w:rPr>
        <w:t>, but the following year, Congress outlawed them in Section 8(e), with a partial exemption for the construction industry and a full exemption for garment and apparel workers.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Discrimination by Unions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union certified as the exclusive bargaining representative in the appropriate bargaining unit is obligated to represent employees within that unit, even those who are not members of the union. Various provisions of the labor statutes prohibit unions from entering into agreements with employers to discriminate against nonmembers. The laws also prohibit unions from treating employees unfairly on the basis of race, creed, color, or national origin.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Jurisdictional Disputes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Ace Widget, a peaceful employer, has a distinguished labor history. It did not resist the first union, which came calling in 1936, just after the NLRA was enacted; by 1987, it had twenty-three different unions representing 7,200 workers at forty-eight sites throughout the United States. Then, because of increasingly more powerful and efficient machinery, United Widget Workers realized that it was losing jobs throughout the industry. It decided to attempt to bring within its purview jobs currently performed by members of other unions. United Widget Workers asked Ace to assign all sanding work to its members. Since sanding work was already being done by members of the United Sanders, Ace management refused. United Widget Workers decided to go on strike over the issue. Is the strike lawful? Under Section 8(b)(4)(D), regulating jurisdictional disputes, it is not. It is an unfair labor practice for a union to strike or engage in other concerted actions to pressure an employer to assign or reassign work to one union rather than another.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Bankruptcy and the Collective Bargaining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employer is bound by a collective bargaining agreement to pay the wages of unionized workers specified in the agreement. But obviously, no paper agreement can guarantee wages when an insolvent company goes out of business. Suppose a company files for reorganization under the bankruptcy laws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35 "Bankruptcy"</w:t>
      </w:r>
      <w:r>
        <w:rPr>
          <w:rFonts w:ascii="Georgia" w:hAnsi="Georgia" w:cs="Calibri"/>
          <w:color w:val="333333"/>
          <w:sz w:val="20"/>
          <w:szCs w:val="20"/>
          <w:lang w:val="en"/>
        </w:rPr>
        <w:t>). May it then ignore its contractual obligation to pay wages previously bargained for? In the early 1980s, several major companies—for example, Continental Airlines and Oklahoma-based Wilson Foods Corporation—sought the protection of federal bankruptcy law in part to cut union wages. Alarmed, Congress, in 1984, amended the bankruptcy code to require companies to attempt to negotiate a modification of their contracts in good faith. In Bankruptcy Code Section 1113, Congress set forth several requirements for a debtor to extinguish its obligations under a collective bargaining agreement (CBA). Among other requirements, the debtor must make a proposal to the union modifying the CBA based on accurate and complete information, and meet with union leaders and confer in good faith after making the proposal and before the bankruptcy judge would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negotiations fail, a bankruptcy judge may approve the modification if it is necessary to allow the debtor to reorganize, and if all creditors, the debtor, and affected parties are treated fairly and equitably. If the union rejects the proposal without good cause, and the debtor has met its obligations of fairness and consultation from section 1113, the bankruptcy judge can accept the proposed modification to the CBA. In 1986, the US court of appeals in Philadelphia ruled that Wheeling-Pittsburgh Steel Corporation could not modify its contract with the United Steelworkers simply because it was financially distressed. The court pointed to the company’s failure to provide a “snap-back” clause in its new agreement. Such a clause would restore wages to the higher levels of the original contract if the company made a comeback faster than anticipated.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But in the 2006 case involving Northwest Airlines Chapter 11 reorganization,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court found that Northwest had to reduce labor costs if it were going to successfully reorganize, that it had made an equitable proposal and consulted in good faith with the union, but that the union had rejected the proposed modification without good cause. Section 1113 was satisfied, and Northwest was allowed to modify its CBA with the union.</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 NLRB determines the appropriate bargaining unit and also supervises union organizing drives. It must balance protecting the employer’s rights, including property rights and the right to manage the business efficiently, with the right of employees to communicate with each other. The NLRB will select a union and give it the exclusive right to bargain, and the result will usually be a collective bargaining unit. The employer should not interfere with the unionizing process or interfere once the union is in place. The union has the right to strike, subject to certain very important restrictions.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6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Suppose that employees of the Shop Rite chain elect the Allied Food Workers Union as their exclusive bargaining agent. Negotiations for an initial collective bargaining agreement begin, but after six months, no agreement has been reached. The company finds excess damage to merchandise in its warehouse and believes that this was intentional sabotage by dissident employees. The company notifies the union representative that any employees doing such acts will be terminated, and the union, in turn, notifies the employees. Soon thereafter, a Shop Rite manager notices an employee in the flour section—where he has no right to be—making quick motions with his hands. The manager then finds several bags of flour that have been cut. The employee is fired, whereupon a fellow employee and union member leads more than two dozen employees in an immediate walkout. The company discharges these employees and refuses to rehire them. The employees file a grievance with the NLRB. Are they entitled to get their jobs back?</w:t>
      </w:r>
      <w:r>
        <w:rPr>
          <w:rStyle w:val="apple-converted-space"/>
          <w:rFonts w:ascii="Calibri" w:hAnsi="Calibri" w:cs="Calibri"/>
          <w:color w:val="2689C6"/>
          <w:sz w:val="20"/>
          <w:szCs w:val="20"/>
          <w:lang w:val="en"/>
        </w:rPr>
        <w:t> </w:t>
      </w:r>
      <w:r>
        <w:rPr>
          <w:rFonts w:ascii="Calibri" w:hAnsi="Calibri" w:cs="Calibri"/>
          <w:color w:val="2689C6"/>
          <w:sz w:val="20"/>
          <w:szCs w:val="20"/>
          <w:vertAlign w:val="superscript"/>
          <w:lang w:val="en"/>
        </w:rPr>
        <w:t>[15]</w:t>
      </w:r>
    </w:p>
    <w:p w:rsidR="00A86150" w:rsidRDefault="00F714D4">
      <w:pPr>
        <w:numPr>
          <w:ilvl w:val="0"/>
          <w:numId w:val="76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American Shipbuilding Company has a shipyard in Chicago, Illinois. During winter months, it repairs ships operating on the Great Lakes, and the workers at the shipyard are represented by several different unions. In 1961, the unions notified the company of their intention to seek a modification of the current collective bargaining agreement. On five previous occasions, agreements had been preceded by strikes (including illegal strikes) that were called just after ships arrived in the shipyard for repairs. In this way, the unions had greatly increased their leverage in bargaining with the company. Because of this history, the company was anxious about the unions’ strike plans. In August 1961, after extended negotiations, the company and the unions reached an impasse. The company then decided to lay off most of the workers and sent the following notice: “Because of the labor dispute which has been unresolved since August of 1961, you are laid off until further notice.” The unions filed unfair labor practice charges with the NLRB. Did the company engage in an unfair labor practice?</w:t>
      </w:r>
      <w:r>
        <w:rPr>
          <w:rStyle w:val="apple-converted-space"/>
          <w:rFonts w:ascii="Calibri" w:hAnsi="Calibri" w:cs="Calibri"/>
          <w:color w:val="2689C6"/>
          <w:sz w:val="20"/>
          <w:szCs w:val="20"/>
          <w:lang w:val="en"/>
        </w:rPr>
        <w:t> </w:t>
      </w:r>
      <w:r>
        <w:rPr>
          <w:rFonts w:ascii="Calibri" w:hAnsi="Calibri" w:cs="Calibri"/>
          <w:color w:val="2689C6"/>
          <w:sz w:val="20"/>
          <w:szCs w:val="20"/>
          <w:vertAlign w:val="superscript"/>
          <w:lang w:val="en"/>
        </w:rPr>
        <w:t>[16]</w:t>
      </w:r>
    </w:p>
    <w:p w:rsidR="00A86150" w:rsidRDefault="0081777E">
      <w:pPr>
        <w:spacing w:after="0"/>
        <w:jc w:val="center"/>
        <w:divId w:val="1740975925"/>
      </w:pPr>
      <w:r>
        <w:pict>
          <v:rect id="_x0000_i1155"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Babcock Wilcox Co.</w:t>
      </w:r>
      <w:r>
        <w:rPr>
          <w:rFonts w:ascii="Calibri" w:hAnsi="Calibri" w:cs="Calibri"/>
          <w:color w:val="333333"/>
          <w:sz w:val="20"/>
          <w:szCs w:val="20"/>
        </w:rPr>
        <w:t>, 351 U.S. 105 (1956).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Hudgens v. NLRB</w:t>
      </w:r>
      <w:r>
        <w:rPr>
          <w:rFonts w:ascii="Calibri" w:hAnsi="Calibri" w:cs="Calibri"/>
          <w:color w:val="333333"/>
          <w:sz w:val="20"/>
          <w:szCs w:val="20"/>
        </w:rPr>
        <w:t>, 424 U.S. 507 (1976).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Republic Aviation Corp. v. NLRB</w:t>
      </w:r>
      <w:r>
        <w:rPr>
          <w:rFonts w:ascii="Calibri" w:hAnsi="Calibri" w:cs="Calibri"/>
          <w:color w:val="333333"/>
          <w:sz w:val="20"/>
          <w:szCs w:val="20"/>
        </w:rPr>
        <w:t>, 324 U.S. 793 (1945).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Midland National Life Ins. Co., 263 N.L.R.B. 130 (1982).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Gissel Packing Co.</w:t>
      </w:r>
      <w:r>
        <w:rPr>
          <w:rFonts w:ascii="Calibri" w:hAnsi="Calibri" w:cs="Calibri"/>
          <w:color w:val="333333"/>
          <w:sz w:val="20"/>
          <w:szCs w:val="20"/>
        </w:rPr>
        <w:t>, 395 U.S. 575 (1969).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American National Insurance Co.</w:t>
      </w:r>
      <w:r>
        <w:rPr>
          <w:rFonts w:ascii="Calibri" w:hAnsi="Calibri" w:cs="Calibri"/>
          <w:color w:val="333333"/>
          <w:sz w:val="20"/>
          <w:szCs w:val="20"/>
        </w:rPr>
        <w:t>, 343 U.S. 395 (1962).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Reed St Prince Manufacturing Co.</w:t>
      </w:r>
      <w:r>
        <w:rPr>
          <w:rFonts w:ascii="Calibri" w:hAnsi="Calibri" w:cs="Calibri"/>
          <w:color w:val="333333"/>
          <w:sz w:val="20"/>
          <w:szCs w:val="20"/>
        </w:rPr>
        <w:t>, 205 F.2d 131 (1st Cir. 1953).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Truitt Manufacturer Co.</w:t>
      </w:r>
      <w:r>
        <w:rPr>
          <w:rFonts w:ascii="Calibri" w:hAnsi="Calibri" w:cs="Calibri"/>
          <w:color w:val="333333"/>
          <w:sz w:val="20"/>
          <w:szCs w:val="20"/>
        </w:rPr>
        <w:t>, 351 U.S. 149 (1956).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International Van Lines</w:t>
      </w:r>
      <w:r>
        <w:rPr>
          <w:rFonts w:ascii="Calibri" w:hAnsi="Calibri" w:cs="Calibri"/>
          <w:color w:val="333333"/>
          <w:sz w:val="20"/>
          <w:szCs w:val="20"/>
        </w:rPr>
        <w:t>, 409 U.S. 48 (1972).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International Rice Milling Co.</w:t>
      </w:r>
      <w:r>
        <w:rPr>
          <w:rFonts w:ascii="Calibri" w:hAnsi="Calibri" w:cs="Calibri"/>
          <w:color w:val="333333"/>
          <w:sz w:val="20"/>
          <w:szCs w:val="20"/>
        </w:rPr>
        <w:t>, 341 U.S. 665 (1951).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DeBartolo Corp. v. Florida Gulf Coast Building and Construction Trades Council</w:t>
      </w:r>
      <w:r>
        <w:rPr>
          <w:rFonts w:ascii="Calibri" w:hAnsi="Calibri" w:cs="Calibri"/>
          <w:color w:val="333333"/>
          <w:sz w:val="20"/>
          <w:szCs w:val="20"/>
        </w:rPr>
        <w:t>, 485 U.S. 568 (1988).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Brotherhood of Carpenters and Joiners, Local 1976 v. NLRB</w:t>
      </w:r>
      <w:r>
        <w:rPr>
          <w:rFonts w:ascii="Calibri" w:hAnsi="Calibri" w:cs="Calibri"/>
          <w:color w:val="333333"/>
          <w:sz w:val="20"/>
          <w:szCs w:val="20"/>
        </w:rPr>
        <w:t>, 357 U.S. 93 (1958).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Wheeling-Pittsburgh Steel Corp. v. United Steelworkers of America</w:t>
      </w:r>
      <w:r>
        <w:rPr>
          <w:rFonts w:ascii="Calibri" w:hAnsi="Calibri" w:cs="Calibri"/>
          <w:color w:val="333333"/>
          <w:sz w:val="20"/>
          <w:szCs w:val="20"/>
        </w:rPr>
        <w:t>, 791 F.2d 1071 (3d Cir. 1986).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Style w:val="Emphasis"/>
          <w:rFonts w:ascii="Calibri" w:hAnsi="Calibri" w:cs="Calibri"/>
          <w:color w:val="333333"/>
          <w:sz w:val="20"/>
          <w:szCs w:val="20"/>
        </w:rPr>
        <w:t>In re Northwest Airlines Corp.</w:t>
      </w:r>
      <w:r>
        <w:rPr>
          <w:rFonts w:ascii="Calibri" w:hAnsi="Calibri" w:cs="Calibri"/>
          <w:color w:val="333333"/>
          <w:sz w:val="20"/>
          <w:szCs w:val="20"/>
        </w:rPr>
        <w:t>, 2006 Bankr. LEXIS 1159 (So. District N.Y.).</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Shop Rite Foods</w:t>
      </w:r>
      <w:r>
        <w:rPr>
          <w:rFonts w:ascii="Calibri" w:hAnsi="Calibri" w:cs="Calibri"/>
          <w:color w:val="333333"/>
          <w:sz w:val="20"/>
          <w:szCs w:val="20"/>
        </w:rPr>
        <w:t>, 430 F.2d 786 (5th Cir. 1970).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Shipbuilding Company v. NLRB</w:t>
      </w:r>
      <w:r>
        <w:rPr>
          <w:rFonts w:ascii="Calibri" w:hAnsi="Calibri" w:cs="Calibri"/>
          <w:color w:val="333333"/>
          <w:sz w:val="20"/>
          <w:szCs w:val="20"/>
        </w:rPr>
        <w:t>, 380 U.S. 300 (1965).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31.4</w:t>
      </w:r>
      <w:r>
        <w:rPr>
          <w:rStyle w:val="apple-converted-space"/>
          <w:rFonts w:ascii="Calibri" w:hAnsi="Calibri" w:cs="Calibri"/>
          <w:color w:val="333333"/>
        </w:rPr>
        <w:t> </w:t>
      </w:r>
      <w:r>
        <w:rPr>
          <w:rFonts w:ascii="Calibri" w:hAnsi="Calibri" w:cs="Calibri"/>
          <w:color w:val="333333"/>
        </w:rPr>
        <w:t>Case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Exclusivity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Emporium Capwell Co. v. Western Addition Community Organization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420 U.S. 50 (1975)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Emporium Capwell Company (Company) operates a department store in San Francisco. At all times relevant to this litigation it was a party to the collective-bargaining agreement negotiated by the San Francisco Retailer’s Council, of which it was a member, and the Department Store Employees Union (Union), which represented all stock and marketing area employees of the Company. The agreement, in which the Union was recognized as the sole collective-bargaining agency for all covered employees, prohibited employment discrimination by reason of race, color, creed, national origin, age, or sex, as well as union activity. It had a no-strike or lockout clause, and it established grievance and arbitration machinery for processing any claimed violation of the contract, including a violation of the anti-discrimination clause.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3, 1968, a group of Company employees covered by the agreement met with the secretary-treasurer of the Union, Walter Johnson, to present a list of grievances including a claim that the Company was discriminating on the basis of race in making assignments and promotions. The Union official agreed to certain of the grievances and to investigate the charge of racial discrimination. He appointed an investigating committee and prepared a report on the employees’ grievances, which he submitted to the Retailer’s Council and which the Council in turn referred to the Company. The report described “the possibility of racial discrimination” as perhaps the most important issue raised by the employees and termed the situation at the Company as potentially explosive if corrective action were not taken. It offers as an example of the problem the Company’s failure to promote a Negro stock employee regarded by other employees as an outstanding candidate but a victim of racial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Shortly after receiving the report, the Company’s labor relations director met representatives and agreed to “look into the matter” of discrimination, and see what needed to be done. Apparently unsatisfied with these representations, the Union held a meeting in September attended by Union officials, Company employees, and representatives of the California Fair Employment Practices Committee (FEPC) and the local anti-poverty agency. The secretary-treasurer of the Union announced that the Union had concluded that the Company was discriminating, and that it would process every such grievance through to arbitration if necessary. Testimony about the Company’s practices was taken and transcribed by a court reporter, and the next day the Union notified the Company of its formal charge and demanded that the union-management Adjustment Board be convened “to hear the entire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September meeting some of the Company’s employees had expressed their view that the contract procedures were inadequate to handle a systemic grievance of this sort; they suggested that the Union instead begin picketing the store in protest. Johnson explained that the collective agreement bound the Union to its processes and expressed his view that successful grievants would be helping not only themselves but all others who might be the victims of invidious discrimination as well. The FEPC and anti-poverty agency representatives offered the same advice. Nonetheless, when the Adjustment Board meeting convened on October 16, James Joseph Hollins, Torn Hawkins, and two other employees whose testimony the Union had intended to elicit refused to participate in the grievance procedure. Instead, Hollins read a statement objecting to reliance on correction of individual inequities as an approach to the problem of discrimination at the store and demanding that the president of the Company meet with the four protestants to work out a broader agreement for dealing with the issue as they saw it. The four employees then walked out of the hearing.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Saturday, November 2, Hollins, Hawkins, and at least two other employees picketed the store throughout the day and distributed at the entrance handbills urging consumers not to patronize the store. Johnson encountered the picketing employees, again urged them to rely on the grievance process, and warned that they might be fired for their activities. The pickets, however, were not dissuaded, and they continued to press their demand to deal directly with the Company president.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7, Hollins and Hawkins were given written warnings that a repetition of the picketing or public statements about the Company could lead to their discharge. When the conduct was repeated the following Saturday, the two employees were fired.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NLRB Trial Examiner found that the discharged employees had believed in good faith that the Company was discriminating against minority employees, and that they had resorted to concerted activity on the basis of that belief. He concluded, however, that their activity was not protected by § 7 of the Act and that their discharges did not, therefore, violate S 8(a)(1).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after oral argument, adopted the findings and conclusions of its Trial Examiner and dismissed the complaint. Among the findings adopted by the Board was that the discharged employees’ course of conduct was no mere presentation of a grievance but nothing short of a demand that the [Company] bargain with the picketing employees for the entire group of minority employees.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concluded that protection of such an attempt to bargain would undermine the statutory system of bargaining through an exclusive, elected representative, impede elected unions’ efforts at bettering the working conditions of minority employees, “and place on the Employer an unreasonable burden of attempting to placate self-designated representatives of minority groups while abiding by the terms of a valid bargaining agreement and attempting in good faith to meet whatever demands the bargaining representative put forth under that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respondent’s petition for review the Court of Appeals reversed and remanded. The court was of the view that concerted activity directed against racial discrimination enjoys a “unique status” by virtue of the national labor policy against discrimination.…The issue, then, is whether such attempts to engage in separate bargaining are protected by 7 of the Act or proscribed by § 9(a).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Central to the policy of fostering collective bargaining, where the employees elect that course, is the principle of majority rule. If the majority of a unit chooses union representation, the NLRB permits it to bargain with its employer to make union membership a condition of employment, thus, imposing its choice upon the minority.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vesting the representatives of the majority with this broad power, Congress did not, of course, authorize a tyranny of the majority over minority interests. First, it confined the exercise of these powers to the context of a “unit appropriate” for the purposes of collective bargaining, i.e., a group of employees with a sufficient commonality of circumstances to ensure against the submergence of a minority with distinctively different interests in the terms and conditions of their employment. Second, it undertook in the 1959 Landrum-Griffin amendments to assure that minority voices are heard as they are in the functioning of a democratic institution. Third, we have held, by the very nature of the exclusive bargaining representative’s status as representative of all unit employees, Congress implicitly imposed upon it a duty fairly and in good faith to represent the interests of minorities within the unit. And the Board has taken the position that a union’s refusal to process grievances against racial discrimination in violation of that duty is an unfair labor practice.…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by a handful of employees to bypass a grievance procedure in favor of attempting to bargain with their employer…may or may not be predicated upon the actual existence of discrimination. An employer confronted with bargaining demands from each of several minority groups who would not necessarily, or even probably, be able to agree to remain real steps satisfactory to all at once. Competing claims on the employer’s ability to accommodate each group’s demands, e.g., for reassignments and promotions to a limited number of positions, could only set one group against the other even if it is not the employer’s intention to divide and overcome them.…In this instance we do not know precisely what form the demands advanced by Hollins, Hawkins, et al, would take, but the nature of the grievance that motivated them indicates that the demands would have included the transfer of some minority employees to sales areas in which higher commissions were paid. Yet the collective-bargaining agreement provided that no employee would be transferred from a higher-paying to a lower-paying classification except by consent or in the course of a layoff or reduction in force. The potential for conflict between the minority and other employees in this situation is manifest. With each group able to enforce its conflicting demands—the incumbent employees by resort to contractual processes and minority employees by economic coercion—the probability of strife and deadlock is high; the making headway against discriminatory practices would be minimal.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we think neither aspect of respondent’s contention in support of a right to short-circuit orderly, established processes eliminating discrimination in employment is well-founded. The policy of industrial self-determination as expressed in § 7 does not require fragmentation of the bargaining unit along racial or other lines in order to consist with the national labor policy against discrimination. And in the face of such fragmentation, whatever its effect on discriminatory practices, the bargaining process that the principle of exclusive representation is meant to lubricate could not endure unhampered.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7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picketers think that the union’s response had been inadequate?</w:t>
      </w:r>
    </w:p>
    <w:p w:rsidR="00A86150" w:rsidRDefault="00F714D4">
      <w:pPr>
        <w:numPr>
          <w:ilvl w:val="0"/>
          <w:numId w:val="7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becoming members of the union, which had a contract that included an antidiscrimination clause along with a no-strike clause and a no-lockout clause, did the protesting employees waive all right to pursue discrimination claims in court?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31.5</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labor law is grounded in the National Labor Relations Act, which permits unions to organize and prohibits employers from engaging in unfair labor practices. Amendments to the National Labor Relations Act (NLRA), such as the Taft-Hartley Act and the Landrum-Griffin Act, declare certain acts of unions and employees also to be unfair labor practices.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National Labor Relations Board supervises union elections and decides in contested cases which union should serve as the exclusive bargaining unit, and it also investigates allegations of unfair labor practices and provides remedies in appropriate cases.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elected or certified, the union is the exclusive bargaining unit for the employees it represents. Because the employer is barred from interfering with employee communications when the union is organizing for an election, he may not prohibit employees from soliciting fellow employees on company property but may limit the hours or spaces in which this may be done. The election campaign itself is an intricate legal duel; rewards, threats, and misrepresentations that affect the election are unfair labor practices.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policy of the labor laws is to foster good-faith collective bargaining over wages, hours, and working conditions. The National Labor Relations Board (NLRB) may not compel agreement: it may not order the employer or the union to adopt particular provisions, but it may compel a recalcitrant company or union to bargain in the first place.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unfair labor practices committed by employers are these:</w:t>
      </w:r>
    </w:p>
    <w:p w:rsidR="00A86150" w:rsidRDefault="00F714D4">
      <w:pPr>
        <w:pStyle w:val="ListParagraph"/>
        <w:numPr>
          <w:ilvl w:val="0"/>
          <w:numId w:val="769"/>
        </w:numPr>
        <w:shd w:val="clear" w:color="auto" w:fill="F4F4F4"/>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Discrimination against workers or prospective workers for belonging to or joining unions. Under federal law, the closed shop and preferential hiring are unlawful. Some states outlaw the union shop, the agency shop, and maintenance-of-membership agreements.</w:t>
      </w:r>
    </w:p>
    <w:p w:rsidR="00A86150" w:rsidRDefault="00F714D4">
      <w:pPr>
        <w:pStyle w:val="ListParagraph"/>
        <w:numPr>
          <w:ilvl w:val="0"/>
          <w:numId w:val="769"/>
        </w:numPr>
        <w:shd w:val="clear" w:color="auto" w:fill="F4F4F4"/>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Interference with strikes. Employers may hire replacement workers during a strike, but in a strike over an unfair labor practice, as opposed to an economic strike, the replacement workers may be temporary only; workers are entitled to their jobs back at the strike’s end.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unfair labor practices committed by unions are these:</w:t>
      </w:r>
    </w:p>
    <w:p w:rsidR="00A86150" w:rsidRDefault="00F714D4">
      <w:pPr>
        <w:pStyle w:val="ListParagraph"/>
        <w:numPr>
          <w:ilvl w:val="0"/>
          <w:numId w:val="770"/>
        </w:numPr>
        <w:shd w:val="clear" w:color="auto" w:fill="F4F4F4"/>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Secondary boycotts. Workers may not picket employers not involved in the primary labor dispute.</w:t>
      </w:r>
    </w:p>
    <w:p w:rsidR="00A86150" w:rsidRDefault="00F714D4">
      <w:pPr>
        <w:pStyle w:val="ListParagraph"/>
        <w:numPr>
          <w:ilvl w:val="0"/>
          <w:numId w:val="770"/>
        </w:numPr>
        <w:shd w:val="clear" w:color="auto" w:fill="F4F4F4"/>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Hot cargo agreements. An employer’s agreement, under union pressure, to refrain from dealing with certain people or purchasing their products is unlawful.</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771"/>
        </w:numPr>
        <w:shd w:val="clear" w:color="auto" w:fill="E3EFF7"/>
        <w:tabs>
          <w:tab w:val="clear" w:pos="720"/>
          <w:tab w:val="num" w:pos="1440"/>
        </w:tabs>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years of working without a union, employees of Argenta Associates began organizing for a representation election. Management did not try to prevent the employees from passing out leaflets or making speeches on company property, but the company president did send out a notice to all employees stating that in his opinion, they would be better off without a union. A week before the election, he sent another notice, stating that effective immediately, each employee would be entitled to a twenty-five-cents-an-hour raise. The employees voted the union down. The following day, several employees began agitating for another election. This time management threatened to fire anyone who continued talking about an election on the ground that the union had lost and the employees would have to wait a year. The employees’ organizing committee filed an unfair labor practice complaint with the NLRB. What was the result?</w:t>
      </w:r>
    </w:p>
    <w:p w:rsidR="00A86150" w:rsidRDefault="00F714D4">
      <w:pPr>
        <w:numPr>
          <w:ilvl w:val="0"/>
          <w:numId w:val="7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Palooka Industries sat down with Local 308, which represented its telephone operators, to discuss renewal of the collective bargaining agreement. Palooka pressed its case for a no-strike clause in the next contract, but Local 308 refused to discuss it at all. Exasperated, Palooka finally filed an unfair labor practice claim with the NLRB. What was the result?</w:t>
      </w:r>
    </w:p>
    <w:p w:rsidR="00A86150" w:rsidRDefault="00F714D4">
      <w:pPr>
        <w:numPr>
          <w:ilvl w:val="0"/>
          <w:numId w:val="7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Union organizers sought to organize the punch press operators at Dan’s Machine Shop. The shop was located on a lot surrounded by heavily forested land from which access to employees was impossible. The only practical method of reaching employees on the site was in the company parking lot. When the organizers arrived to distribute handbills, the shop foreman, under instructions from Dan, ordered them to leave. At a hearing before the NLRB, the company said that it was not antiunion but that its policy, which it had always strictly adhered to, forbade nonemployees from being on the property if not on company business. Moreover, company policy barred any activities that would lead to littering. The company noted that the organizers could reach the employees in many other ways—meeting the employees personally in town after hours, calling them at home, writing them letters, or advertising a public meeting. The organizers responded that these methods were far less effective means of reaching the employees. What was the result? Why?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77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is not a subject of mandatory bargaining?</w:t>
      </w:r>
    </w:p>
    <w:p w:rsidR="00A86150" w:rsidRDefault="00F714D4">
      <w:pPr>
        <w:pStyle w:val="ListParagraph"/>
        <w:numPr>
          <w:ilvl w:val="0"/>
          <w:numId w:val="77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rate of pay per hour</w:t>
      </w:r>
    </w:p>
    <w:p w:rsidR="00A86150" w:rsidRDefault="00F714D4">
      <w:pPr>
        <w:pStyle w:val="ListParagraph"/>
        <w:numPr>
          <w:ilvl w:val="0"/>
          <w:numId w:val="77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length of the workweek</w:t>
      </w:r>
    </w:p>
    <w:p w:rsidR="00A86150" w:rsidRDefault="00F714D4">
      <w:pPr>
        <w:pStyle w:val="ListParagraph"/>
        <w:numPr>
          <w:ilvl w:val="0"/>
          <w:numId w:val="77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safety equipment</w:t>
      </w:r>
    </w:p>
    <w:p w:rsidR="00A86150" w:rsidRDefault="00F714D4">
      <w:pPr>
        <w:pStyle w:val="ListParagraph"/>
        <w:numPr>
          <w:ilvl w:val="0"/>
          <w:numId w:val="77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new products to manufacture</w:t>
      </w:r>
    </w:p>
    <w:p w:rsidR="00A86150" w:rsidRDefault="00F714D4">
      <w:pPr>
        <w:pStyle w:val="para"/>
        <w:numPr>
          <w:ilvl w:val="0"/>
          <w:numId w:val="77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a union shop agreement,</w:t>
      </w:r>
    </w:p>
    <w:p w:rsidR="00A86150" w:rsidRDefault="00F714D4">
      <w:pPr>
        <w:pStyle w:val="ListParagraph"/>
        <w:numPr>
          <w:ilvl w:val="0"/>
          <w:numId w:val="77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employer may not hire a nonunion member</w:t>
      </w:r>
    </w:p>
    <w:p w:rsidR="00A86150" w:rsidRDefault="00F714D4">
      <w:pPr>
        <w:pStyle w:val="ListParagraph"/>
        <w:numPr>
          <w:ilvl w:val="0"/>
          <w:numId w:val="77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employer must hire a nonunion member</w:t>
      </w:r>
    </w:p>
    <w:p w:rsidR="00A86150" w:rsidRDefault="00F714D4">
      <w:pPr>
        <w:pStyle w:val="ListParagraph"/>
        <w:numPr>
          <w:ilvl w:val="0"/>
          <w:numId w:val="77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employee must join the union after being hired</w:t>
      </w:r>
    </w:p>
    <w:p w:rsidR="00A86150" w:rsidRDefault="00F714D4">
      <w:pPr>
        <w:pStyle w:val="ListParagraph"/>
        <w:numPr>
          <w:ilvl w:val="0"/>
          <w:numId w:val="77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employee must belong to the union before being hired</w:t>
      </w:r>
    </w:p>
    <w:p w:rsidR="00A86150" w:rsidRDefault="00F714D4">
      <w:pPr>
        <w:pStyle w:val="para"/>
        <w:numPr>
          <w:ilvl w:val="0"/>
          <w:numId w:val="7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is always unlawful under federal law?</w:t>
      </w:r>
    </w:p>
    <w:p w:rsidR="00A86150" w:rsidRDefault="00F714D4">
      <w:pPr>
        <w:pStyle w:val="ListParagraph"/>
        <w:numPr>
          <w:ilvl w:val="0"/>
          <w:numId w:val="7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union shop</w:t>
      </w:r>
    </w:p>
    <w:p w:rsidR="00A86150" w:rsidRDefault="00F714D4">
      <w:pPr>
        <w:pStyle w:val="ListParagraph"/>
        <w:numPr>
          <w:ilvl w:val="0"/>
          <w:numId w:val="7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agency shop</w:t>
      </w:r>
    </w:p>
    <w:p w:rsidR="00A86150" w:rsidRDefault="00F714D4">
      <w:pPr>
        <w:pStyle w:val="ListParagraph"/>
        <w:numPr>
          <w:ilvl w:val="0"/>
          <w:numId w:val="7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closed shop</w:t>
      </w:r>
    </w:p>
    <w:p w:rsidR="00A86150" w:rsidRDefault="00F714D4">
      <w:pPr>
        <w:pStyle w:val="ListParagraph"/>
        <w:numPr>
          <w:ilvl w:val="0"/>
          <w:numId w:val="7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runaway shop</w:t>
      </w:r>
    </w:p>
    <w:p w:rsidR="00A86150" w:rsidRDefault="00F714D4">
      <w:pPr>
        <w:pStyle w:val="para"/>
        <w:numPr>
          <w:ilvl w:val="0"/>
          <w:numId w:val="7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employer’s agreement with its union to refrain from dealing with companies being struck by other unions is a</w:t>
      </w:r>
    </w:p>
    <w:p w:rsidR="00A86150" w:rsidRDefault="00F714D4">
      <w:pPr>
        <w:pStyle w:val="ListParagraph"/>
        <w:numPr>
          <w:ilvl w:val="0"/>
          <w:numId w:val="7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secondary boycott agreement</w:t>
      </w:r>
    </w:p>
    <w:p w:rsidR="00A86150" w:rsidRDefault="00F714D4">
      <w:pPr>
        <w:pStyle w:val="ListParagraph"/>
        <w:numPr>
          <w:ilvl w:val="0"/>
          <w:numId w:val="7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hot cargo agreement</w:t>
      </w:r>
    </w:p>
    <w:p w:rsidR="00A86150" w:rsidRDefault="00F714D4">
      <w:pPr>
        <w:pStyle w:val="ListParagraph"/>
        <w:numPr>
          <w:ilvl w:val="0"/>
          <w:numId w:val="7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lockout agreement</w:t>
      </w:r>
    </w:p>
    <w:p w:rsidR="00A86150" w:rsidRDefault="00F714D4">
      <w:pPr>
        <w:pStyle w:val="ListParagraph"/>
        <w:numPr>
          <w:ilvl w:val="0"/>
          <w:numId w:val="7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maintenance-of-membership agreement</w:t>
      </w:r>
    </w:p>
    <w:p w:rsidR="00A86150" w:rsidRDefault="00F714D4">
      <w:pPr>
        <w:pStyle w:val="para"/>
        <w:numPr>
          <w:ilvl w:val="0"/>
          <w:numId w:val="7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Striking employees are entitled to their jobs back when they are engaged in</w:t>
      </w:r>
    </w:p>
    <w:p w:rsidR="00A86150" w:rsidRDefault="00F714D4">
      <w:pPr>
        <w:pStyle w:val="ListParagraph"/>
        <w:numPr>
          <w:ilvl w:val="0"/>
          <w:numId w:val="7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economic strikes</w:t>
      </w:r>
    </w:p>
    <w:p w:rsidR="00A86150" w:rsidRDefault="00F714D4">
      <w:pPr>
        <w:pStyle w:val="ListParagraph"/>
        <w:numPr>
          <w:ilvl w:val="0"/>
          <w:numId w:val="7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jurisdictional strikes</w:t>
      </w:r>
    </w:p>
    <w:p w:rsidR="00A86150" w:rsidRDefault="00F714D4">
      <w:pPr>
        <w:pStyle w:val="ListParagraph"/>
        <w:numPr>
          <w:ilvl w:val="0"/>
          <w:numId w:val="7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economic and jurisdictional strikes</w:t>
      </w:r>
    </w:p>
    <w:p w:rsidR="00A86150" w:rsidRDefault="00F714D4">
      <w:pPr>
        <w:pStyle w:val="ListParagraph"/>
        <w:numPr>
          <w:ilvl w:val="0"/>
          <w:numId w:val="7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neither economic nor jurisdictional strikes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7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7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7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7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lang w:val="en"/>
        </w:rPr>
      </w:pPr>
      <w:r>
        <w:rPr>
          <w:rStyle w:val="title-prefix"/>
          <w:rFonts w:ascii="Calibri" w:hAnsi="Calibri" w:cs="Calibri"/>
          <w:color w:val="000000"/>
          <w:sz w:val="38"/>
          <w:szCs w:val="38"/>
          <w:lang w:val="en"/>
        </w:rPr>
        <w:t>Chapter 32</w:t>
      </w:r>
    </w:p>
    <w:p w:rsidR="00A86150" w:rsidRDefault="0081777E">
      <w:pPr>
        <w:pStyle w:val="Heading1"/>
        <w:shd w:val="clear" w:color="auto" w:fill="FFFFFF"/>
        <w:spacing w:before="0" w:line="240" w:lineRule="atLeast"/>
        <w:jc w:val="center"/>
        <w:textAlignment w:val="baseline"/>
      </w:pPr>
      <w:r>
        <w:pict>
          <v:rect id="_x0000_i1156"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39"/>
          <w:szCs w:val="39"/>
          <w:lang w:val="en"/>
        </w:rPr>
      </w:pPr>
      <w:r>
        <w:rPr>
          <w:rFonts w:ascii="Calibri" w:hAnsi="Calibri" w:cs="Calibri"/>
          <w:color w:val="08629A"/>
          <w:sz w:val="39"/>
          <w:szCs w:val="39"/>
          <w:lang w:val="en"/>
        </w:rPr>
        <w:t>Consumer Credit Transactions</w:t>
      </w:r>
    </w:p>
    <w:p w:rsidR="00A86150" w:rsidRDefault="00A86150">
      <w:pPr>
        <w:rPr>
          <w:lang w:val="en"/>
        </w:rPr>
      </w:pPr>
    </w:p>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lang w:val="en"/>
        </w:rPr>
      </w:pPr>
      <w:r>
        <w:rPr>
          <w:rFonts w:ascii="Calibri" w:hAnsi="Calibri" w:cs="Calibri"/>
          <w:color w:val="333333"/>
          <w:sz w:val="20"/>
          <w:szCs w:val="20"/>
          <w:lang w:val="en"/>
        </w:rPr>
        <w:t>After reading this chapter, you should understand the following:</w:t>
      </w:r>
    </w:p>
    <w:p w:rsidR="00A86150" w:rsidRDefault="00F714D4">
      <w:pPr>
        <w:numPr>
          <w:ilvl w:val="0"/>
          <w:numId w:val="783"/>
        </w:numPr>
        <w:shd w:val="clear" w:color="auto" w:fill="EAE9DC"/>
        <w:tabs>
          <w:tab w:val="clear" w:pos="720"/>
          <w:tab w:val="num" w:pos="2160"/>
        </w:tabs>
        <w:spacing w:after="0" w:line="439" w:lineRule="atLeast"/>
        <w:ind w:left="1080" w:right="375"/>
        <w:textAlignment w:val="baseline"/>
        <w:rPr>
          <w:rFonts w:ascii="Calibri" w:hAnsi="Calibri" w:cs="Calibri"/>
          <w:color w:val="333333"/>
          <w:sz w:val="20"/>
          <w:szCs w:val="20"/>
          <w:lang w:val="en"/>
        </w:rPr>
      </w:pPr>
      <w:r>
        <w:rPr>
          <w:rFonts w:ascii="Calibri" w:hAnsi="Calibri" w:cs="Calibri"/>
          <w:color w:val="333333"/>
          <w:sz w:val="20"/>
          <w:szCs w:val="20"/>
          <w:lang w:val="en"/>
        </w:rPr>
        <w:t>How consumers enter into credit transactions and what protections they are afforded when they do</w:t>
      </w:r>
    </w:p>
    <w:p w:rsidR="00A86150" w:rsidRDefault="00F714D4">
      <w:pPr>
        <w:numPr>
          <w:ilvl w:val="0"/>
          <w:numId w:val="783"/>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lang w:val="en"/>
        </w:rPr>
      </w:pPr>
      <w:r>
        <w:rPr>
          <w:rFonts w:ascii="Calibri" w:hAnsi="Calibri" w:cs="Calibri"/>
          <w:color w:val="333333"/>
          <w:sz w:val="20"/>
          <w:szCs w:val="20"/>
          <w:lang w:val="en"/>
        </w:rPr>
        <w:t>What rights consumers have after they have entered into a consumer transaction</w:t>
      </w:r>
    </w:p>
    <w:p w:rsidR="00A86150" w:rsidRDefault="00F714D4">
      <w:pPr>
        <w:numPr>
          <w:ilvl w:val="0"/>
          <w:numId w:val="783"/>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debt collection practices third-party collectors may pursue</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chapter and the three that follow are devoted to debtor-creditor relations. In this chapter, we focus on the consumer credit transaction.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34 "Mortgages and Nonconsensual Liens"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explore different types of security that a creditor might require.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35 "Bankruptcy"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examines debtors’ and creditors’ rights under bankruptcy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amount of consumer debt,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household debt</w:t>
      </w:r>
      <w:r>
        <w:rPr>
          <w:rFonts w:ascii="Georgia" w:hAnsi="Georgia" w:cs="Calibri"/>
          <w:color w:val="333333"/>
          <w:sz w:val="20"/>
          <w:szCs w:val="20"/>
          <w:lang w:val="en"/>
        </w:rPr>
        <w:t>, owed by Americans to mortgage lenders, stores, automobile dealers, and other merchants who sell on credit is difficult to ascertain. One reads that the average household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credit card</w:t>
      </w:r>
      <w:r>
        <w:rPr>
          <w:rFonts w:ascii="Georgia" w:hAnsi="Georgia" w:cs="Calibri"/>
          <w:color w:val="333333"/>
          <w:sz w:val="20"/>
          <w:szCs w:val="20"/>
          <w:lang w:val="en"/>
        </w:rPr>
        <w:t>debt (not including mortgages, auto loans, and student loans) in 2009 was almost $16,000.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maybe it was $10,000.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maybe it was $7,300.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Fonts w:ascii="Georgia" w:hAnsi="Georgia" w:cs="Calibri"/>
          <w:color w:val="333333"/>
          <w:sz w:val="20"/>
          <w:szCs w:val="20"/>
          <w:lang w:val="en"/>
        </w:rPr>
        <w:t>But probably focusing on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average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household debt is not very helpful: 55 percent of households have no credit card debt at all, and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median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debt is $1,900.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2007, the total household debt owed by Americans was $13.3 trillion, according to the Federal Reserve Board. That is really an incomprehensible number: suffice it to say, then, that the availability of credit is an important factor in the US economy, and not surprisingly, a number of statutes have been enacted over the years to protect consumers both before and after signing credit agreements.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statutes tend to fall within three broad categories. First, several statutes are especially important when a consumer enters into a credit transaction. These include laws that regulate credit costs, the credit application, and the applicant’s right to check a credit record. Second, after a consumer has contracted for credit, certain statutes give a consumer the right to cancel the contract and correct billing mistakes. Third, if the consumer fails to pay a debt, the creditor has several traditional debt collection remedies that today are tightly regulated by the government.</w:t>
      </w:r>
    </w:p>
    <w:p w:rsidR="00A86150" w:rsidRDefault="0081777E">
      <w:pPr>
        <w:spacing w:after="0"/>
        <w:jc w:val="center"/>
        <w:divId w:val="137187206"/>
      </w:pPr>
      <w:r>
        <w:pict>
          <v:rect id="_x0000_i1157"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Ben Woolsey and Matt Schulz,</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Credit Card Statistics, Industry Statistics, Debt Statistics, </w:t>
      </w:r>
      <w:r>
        <w:rPr>
          <w:rFonts w:ascii="Calibri" w:hAnsi="Calibri" w:cs="Calibri"/>
          <w:color w:val="333333"/>
          <w:sz w:val="20"/>
          <w:szCs w:val="20"/>
        </w:rPr>
        <w:t>August 24, 2010,</w:t>
      </w:r>
      <w:r>
        <w:rPr>
          <w:rStyle w:val="apple-converted-space"/>
          <w:rFonts w:ascii="Calibri" w:hAnsi="Calibri" w:cs="Calibri"/>
          <w:color w:val="333333"/>
          <w:sz w:val="20"/>
          <w:szCs w:val="20"/>
        </w:rPr>
        <w:t> </w:t>
      </w:r>
      <w:hyperlink r:id="rId97" w:tgtFrame="_blank" w:history="1">
        <w:r>
          <w:rPr>
            <w:rStyle w:val="Hyperlink"/>
            <w:rFonts w:ascii="Calibri" w:hAnsi="Calibri" w:cs="Calibri"/>
            <w:color w:val="2689C6"/>
            <w:sz w:val="20"/>
            <w:szCs w:val="20"/>
          </w:rPr>
          <w:t>http://www.creditcards.com/credit-card-news/credit-card-industry-facts-personal-debt-statistics-1276.php</w:t>
        </w:r>
      </w:hyperlink>
      <w:r>
        <w:rPr>
          <w:rFonts w:ascii="Calibri" w:hAnsi="Calibri" w:cs="Calibri"/>
          <w:color w:val="333333"/>
          <w:sz w:val="20"/>
          <w:szCs w:val="20"/>
        </w:rPr>
        <w:t>. This is “calculated by dividing the total revolving debt in the U.S. ($852.6 billion as of March 2010 data, as listed in the Federal Reserve’s May 2010 report on consumer credit) by the estimated number of households carrying credit card debt (54 million).”</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Deborah Fowles, “Your Monthly Credit Card Minimum Payments May Double,” About.com Financial Planning,</w:t>
      </w:r>
      <w:hyperlink r:id="rId98" w:tgtFrame="_blank" w:history="1">
        <w:r>
          <w:rPr>
            <w:rStyle w:val="Hyperlink"/>
            <w:rFonts w:ascii="Calibri" w:hAnsi="Calibri" w:cs="Calibri"/>
            <w:color w:val="2689C6"/>
            <w:sz w:val="20"/>
            <w:szCs w:val="20"/>
          </w:rPr>
          <w:t>http://financialplan.about.com/od/creditcarddebt/a/CCMinimums.htm</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Index Credit Cards,</w:t>
      </w:r>
      <w:r>
        <w:rPr>
          <w:rStyle w:val="apple-converted-space"/>
          <w:rFonts w:ascii="Calibri" w:hAnsi="Calibri" w:cs="Calibri"/>
          <w:color w:val="333333"/>
          <w:sz w:val="20"/>
          <w:szCs w:val="20"/>
        </w:rPr>
        <w:t> </w:t>
      </w:r>
      <w:r>
        <w:rPr>
          <w:rStyle w:val="Emphasis"/>
          <w:rFonts w:ascii="Calibri" w:hAnsi="Calibri" w:cs="Calibri"/>
          <w:color w:val="333333"/>
          <w:sz w:val="20"/>
          <w:szCs w:val="20"/>
        </w:rPr>
        <w:t>Credit Card Debt</w:t>
      </w:r>
      <w:r>
        <w:rPr>
          <w:rFonts w:ascii="Calibri" w:hAnsi="Calibri" w:cs="Calibri"/>
          <w:color w:val="333333"/>
          <w:sz w:val="20"/>
          <w:szCs w:val="20"/>
        </w:rPr>
        <w:t>, February 9, 2010,</w:t>
      </w:r>
      <w:hyperlink r:id="rId99" w:tgtFrame="_blank" w:history="1">
        <w:r>
          <w:rPr>
            <w:rStyle w:val="Hyperlink"/>
            <w:rFonts w:ascii="Calibri" w:hAnsi="Calibri" w:cs="Calibri"/>
            <w:color w:val="2689C6"/>
            <w:sz w:val="20"/>
            <w:szCs w:val="20"/>
          </w:rPr>
          <w:t>http://www.indexcreditcards.com/creditcarddebt</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Liz Pulliam Weston, “The Big Lie about Credit Card Debt,”</w:t>
      </w:r>
      <w:r>
        <w:rPr>
          <w:rStyle w:val="apple-converted-space"/>
          <w:rFonts w:ascii="Calibri" w:hAnsi="Calibri" w:cs="Calibri"/>
          <w:color w:val="333333"/>
          <w:sz w:val="20"/>
          <w:szCs w:val="20"/>
        </w:rPr>
        <w:t> </w:t>
      </w:r>
      <w:r>
        <w:rPr>
          <w:rStyle w:val="Emphasis"/>
          <w:rFonts w:ascii="Calibri" w:hAnsi="Calibri" w:cs="Calibri"/>
          <w:color w:val="333333"/>
          <w:sz w:val="20"/>
          <w:szCs w:val="20"/>
        </w:rPr>
        <w:t>MSN Money</w:t>
      </w:r>
      <w:r>
        <w:rPr>
          <w:rFonts w:ascii="Calibri" w:hAnsi="Calibri" w:cs="Calibri"/>
          <w:color w:val="333333"/>
          <w:sz w:val="20"/>
          <w:szCs w:val="20"/>
        </w:rPr>
        <w:t>, July 30, 2007.</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32.1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Entering into a Credit Transaction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84"/>
        </w:numPr>
        <w:shd w:val="clear" w:color="auto" w:fill="EAE9DC"/>
        <w:tabs>
          <w:tab w:val="clear" w:pos="720"/>
          <w:tab w:val="num" w:pos="252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statutes regulate the cost of credit, and the exceptions.</w:t>
      </w:r>
    </w:p>
    <w:p w:rsidR="00A86150" w:rsidRDefault="00F714D4">
      <w:pPr>
        <w:numPr>
          <w:ilvl w:val="0"/>
          <w:numId w:val="784"/>
        </w:numPr>
        <w:shd w:val="clear" w:color="auto" w:fill="EAE9DC"/>
        <w:tabs>
          <w:tab w:val="clear" w:pos="720"/>
          <w:tab w:val="num" w:pos="216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the cost of credit is expressed in the Truth in Lending Act.</w:t>
      </w:r>
    </w:p>
    <w:p w:rsidR="00A86150" w:rsidRDefault="00F714D4">
      <w:pPr>
        <w:numPr>
          <w:ilvl w:val="0"/>
          <w:numId w:val="784"/>
        </w:numPr>
        <w:shd w:val="clear" w:color="auto" w:fill="EAE9DC"/>
        <w:tabs>
          <w:tab w:val="clear" w:pos="720"/>
          <w:tab w:val="num" w:pos="180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that there are laws prohibiting discrimination in credit granting.</w:t>
      </w:r>
    </w:p>
    <w:p w:rsidR="00A86150" w:rsidRDefault="00F714D4">
      <w:pPr>
        <w:numPr>
          <w:ilvl w:val="0"/>
          <w:numId w:val="784"/>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consumers’ credit records are maintained and may be corrected.</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Cost of Credit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Lenders, whether banks or retailers, are not free to charge whatever they wish for credit.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Usury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laws establish a maximum rate of lawful interest. The penalties for violating usury laws vary from state to state. The heaviest penalties are loss of both principal and interest, or loss of a multiple of the interest the creditor charged. The courts often interpret these laws stringently, so that even if the impetus for a usurious loan comes from the borrower, the contract can be avoided, as demonstrated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Matter of Dane’s Estate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32.3 "Cases"</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states have eliminated interest rate limits altogether. In other states, usury law is riddled with exceptions, and indeed, in many cases, the exceptions have pretty much eaten up the general rule. Here are some common exceptions: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Business loans. In many states, businesses may be charged any interest rate, although some states limit this exception to incorporated businesses.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Mortgage loans. Mortgage loans are often subject to special usury laws. The allowable interest rates vary, depending on whether a first mortgage or a subordinate mortgage is given, or whether the loan is insured or provided by a federal agency, among other variables.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Second mortgages and home equity loans by licensed consumer loan companies.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Credit card and other retail installment debt. The interest rate for these is governed by the law of the state where the credit card company does business. (That’s why the giant Citibank, otherwise headquartered in New York City, runs its credit card division out of South Dakota, which has no usury laws for credit cards.)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Consumer leasing.</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“Small loans” such as payday loans and pawnshop loans.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Lease-purchases on personal property. This is the lease-to-own concept.</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Certain financing of mobile homes that have become real property or where financing is insured by the federal government.</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Loans a person takes from her tax-qualified retirement plan.</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Certain loans from stockbrokers and dealers.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Interest and penalties on delinquent property taxes.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Deferred payment of purchase price (layaway loans).</w:t>
      </w:r>
    </w:p>
    <w:p w:rsidR="00A86150" w:rsidRDefault="00F714D4">
      <w:pPr>
        <w:pStyle w:val="ListParagraph"/>
        <w:numPr>
          <w:ilvl w:val="0"/>
          <w:numId w:val="73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Statutory interest on judgments.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And there are others. Moreover, certain charges are not considered interest, such as fees to record documents in a public office and charges for services such as title examinations, deed preparation, credit reports, appraisals, and loan processing. But a creditor may not use these devices to cloak what is in fact a usurious bargain; it is not the form but the substance of the agreement that controls.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suggested, part of the difficulty here is that governments at all levels have for a generation attempted to promote consumption to promote production; production is required to maintain politically acceptable levels of employment. If consumers can get what they want on credit, consumerism increases. Also, certainly, tight limits on interest rates cause creditors to deny credit to the less creditworthy, which may not be helpful to the lower classes. That’s the rationale for the usury exceptions related to pawnshop and payday loans.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Disclosure of Credit Costs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Setting limits on what credit costs—as usury laws do—is one thing. Disclosing the cost of credit is another.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Truth in Lending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Until 1969, lenders were generally free to disclose the cost of money loaned or credit extended in any way they saw fit—and they did. Financing and credit terms varied widely, and it was difficult and sometimes impossible to understand what the true cost was of a particular loan, much less to comparison shop. After years of failure, consumer interests finally persuaded Congress to pass a national law requiring disclosure of credit costs in 1968. Officially called the Consumer Credit Protection Act, Title I of the law is more popularly known as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Truth in Lending Act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(TILA). The act only applies to</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consumer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credit transactions, and it only protects natural-person debtors—it does not protect business organization debtors.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provides what its name implies: lenders must inform borrowers about significant terms of the credit transaction. The TILA does not establish maximum interest rates; these continue to be governed by state law. The two key terms that must be disclosed are the finance charge and the annual percentage rate. To see why, consider two simple loans of $1,000, each carrying interest of 10 percent, one payable at the end of twelve months and the other in twelve equal installments. Although the actual charge in each is the same—$100—the interest rate is not. Why? Because with the first loan you will have the use of the full $1,000 for the entire year; with the second, for much less than the year because you must begin repaying part of the principal within a month. In fact, with the second loan you will have use of only about half the money for the entire year, and so the actual rate of interest is closer to 15 percent. Things become more complex when interest is compounded and stated as a monthly figure, when different rates apply to various portions of the loan, and when processing charges and other fees are stated separately. The act regulates open-end credit (revolving credit, like charge cards) and closed-end credit (like a car loan—extending for a specific period), and—as amended later—it regulates consumer leases and credit card transactions, too.</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32.1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Credit Disclosure Form</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3657600" cy="4400550"/>
            <wp:effectExtent l="0" t="0" r="0" b="0"/>
            <wp:docPr id="170" name="Picture 41" descr="http://images.flatworldknowledge.com/mayerlawentrep/mayerlawentrep-fig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mayerlawentrep/mayerlawentrep-fig27_0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57600" cy="4400550"/>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By requiring that the finance charge and the annual percentage rate be disclosed on a uniform basis, the TILA makes understanding and comparison of loans much easier.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finance charge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total of all money paid for credit; it includes the interest paid over the life of the loan and all processing charges. The annual percentage rate is the true rate of interest for money or credit actually available to the borrower. The annual percentage rate must be calculated using the total finance charge (including all extra fees).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32.1 "Credit Disclosure Form"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an example of a disclosure form used by creditors.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Consumer Leasing Act of 1988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Consumer Leasing Act (CLA) amends the TILA to provide similar full disclosure for consumers who lease automobiles or other goods from firms whose business it is to lease such goods, if the goods are valued at $25,000 or less and the lease is for four months or more. All material terms of the lease must be disclosed in writing.</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Fair Credit and Charge Card Disclosure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1989, the Fair Credit and Charge Card Disclosure Act went into effect. This amends the TILA by requiring credit card issuers to disclose in a uniform manner the annual percentage rate, annual fees, grace period, and other information on credit card applications.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Credit Card Accountability, Responsibility, and Disclosure Act of 2009</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1989 act did make it possible for consumers to know the costs associated with credit card use, but the card companies’ behavior over 20 years convinced Congress that more regulation was required. In 2009, Congress passed and President Obama signed the Credit Card Accountability, Responsibility, and Disclosure Act of 2009 (the Credit Card Act). It is a further amendment of the TILA. Some of the salient parts of the act are as follows: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Restricts all interest rate increases during the first year, with some exceptions. The purpose is to abolish “teaser” rates.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Increases notice for rate increase on future purchases to 45 days.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Preserves the ability to pay off on the old terms, with some exceptions.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Limits fees and penalty interest and requires statements to clearly state the required due date and late payment penalty.</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Requires fair application of payments. Amounts in excess of the minimum payment must be applied to the highest interest rate (with some exceptions).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Provides sensible due dates and time to pay.</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Protects young consumers. Before issuing a card to a person under the age of twenty-one, the card issuer must obtain an application that contains either the signature of a cosigner over the age of twenty-one or information indicating an independent means of repaying any credit extended.</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Restricts card issuers from providing tangible gifts to students on college campuses in exchange for filling out a credit card application.</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Requires colleges to publicly disclose any marketing contracts made with a card issuer.</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Requires enhanced disclosures.</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Requires issuers to disclose the period of time and the total interest it will take to pay off the card balance if only minimum monthly payments are made.</w:t>
      </w:r>
    </w:p>
    <w:p w:rsidR="00A86150" w:rsidRDefault="00F714D4">
      <w:pPr>
        <w:pStyle w:val="ListParagraph"/>
        <w:numPr>
          <w:ilvl w:val="0"/>
          <w:numId w:val="78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Establishes gift card protections.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Federal Reserve Board is to issue implementing rules.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Creditors who violate the TILA are subject to both criminal and civil sanctions. Of these, the most important are the civil remedies open to consumers. If a creditor fails to disclose the required information, a customer may sue to recover twice the finance charge, plus court costs and reasonable attorneys’ fees, with some limitations. As to the Credit Card Act of 2009, the issuing companies were not happy with the reforms. Before the law went into effect, the companies—as one commentator put it—unleashed a “frenzy of retaliation,”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Fonts w:ascii="Georgia" w:hAnsi="Georgia" w:cs="Calibri"/>
          <w:color w:val="333333"/>
          <w:sz w:val="20"/>
          <w:szCs w:val="20"/>
          <w:lang w:val="en"/>
        </w:rPr>
        <w:t>by repricing customer accounts, changing fixed rates to variable rates, lowering credit limits, and increasing fees.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State Credit Disclosure Laws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federal TILA is not the only statute dealing with credit disclosures. A uniform state act, the Uniform Consumer Credit Code, as amended in 1974, is now on the books in twelve US jurisdictions,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though its effect on the development of modern consumer credit law has been significant beyond the number of states adopting it. It is designed to protect consumers who buy goods and services on credit by simplifying, clarifying, and updating legislation governing consumer credit and usury.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Getting Credit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Disclosure of credit costs is a good thing. After discovering how much credit will cost, a person might decide to go for it: get a loan or a credit card. The potential creditor, of course, should want to know if the applicant is a good risk; that requires a credit check. And somebody who knows another person’s creditworthiness has what is usually considered confidential information, the possession of which is subject to abuse, and thus regulation.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Equal Credit Opportunity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Through the 1960s, banks and other lending and credit-granting institutions regularly discriminated against women. Banks told single women to find a cosigner for loans. Divorced women discovered that they could not open store charge accounts because they lacked a prior credit history, even though they had contributed to the family income on which previous accounts had been based. Married couples found that the wife’s earnings were not counted when they sought credit; indeed, families planning to buy homes were occasionally even told that the bank would grant a mortgage if the wife would submit to a hysterectomy! In all these cases, the premise of the refusal to treat women equally was the unstated—and usually false—belief that women would quit work to have children or simply to stay home.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By the 1970s, as women became a major factor in the labor force, Congress reacted to the manifest unfairness of the discrimination by enacting (as part of the Consumer Credit Protection Act) the Equal Credit Opportunity Act (ECOA) of 1974. The act prohibits any creditor from discriminating “against any applicant on the basis of sex or marital status with respect to any aspect of a credit transaction.” In 1976, Congress broadened the law to bar discrimination (1) on the basis of race, color, religion, national origin, and age; (2) because all or a part of an applicant’s income is from a public assistance program; or (3) because an applicant has exercised his or her rights under the Consumer Credit Protection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ECOA, a creditor may not ask a credit applicant to state sex, race, national origin, or religion. And unless the applicant is seeking a joint loan or account or lives in a community-property state, the creditor may not ask for a statement of marital status or, if you have voluntarily disclosed that you are married, for information about your spouse, nor may one spouse be required to cosign if the other is deemed independently creditworthy. All questions concerning plans for children are improper. In assessing the creditworthiness of an applicant, the creditor must consider all sources of income, including regularly received alimony and child support payments. And if credit is refused, the creditor must, on demand, tell you the specific reasons for rejection. See</w:t>
      </w:r>
      <w:r>
        <w:rPr>
          <w:rStyle w:val="Emphasis"/>
          <w:rFonts w:ascii="Georgia" w:hAnsi="Georgia" w:cs="Calibri"/>
          <w:color w:val="333333"/>
          <w:sz w:val="20"/>
          <w:szCs w:val="20"/>
          <w:lang w:val="en"/>
        </w:rPr>
        <w:t>Rosa v. Park West Bank &amp; Trust Co.</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32.3 "Cases"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a case involving the ECOA.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Home Mortgage Disclosure Act, 1975, and the Community Reinvestment Act (CRA), 1977, get at another type of discrimination: redlining. This is the practice by a financial institution of refusing to grant home loans or home-improvement loans to people living in low-income neighborhoods. The act requires that financial institutions within its purview report annually by transmitting information from their Loan Application Registers to a federal agency. From these reports it is possible to determine what is happening to home prices in a particular area, whether investment in one neighborhood lags compared with that in others, if the racial or economic composition of borrowers changed over time, whether minorities or women had trouble accessing mortgage credit, in what kinds of neighborhoods subprime loans are concentrated, and what types of borrowers are most likely to receive subprime loans, among others. “Armed with hard facts, users of all types can better execute their work: Advocates can launch consumer education campaigns in neighborhoods being targeted by subprime lenders, planners can better tailor housing policy to market conditions, affordable housing developers can identify gentrifying neighborhoods, and activists can confront banks with poor lending records in low income communities.”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Under the CRA, federal regulatory agencies examine banking institutions for CRA compliance and take this information into consideration when approving applications for new bank branches or for mergers or acquisitions.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Fair Credit Reporting Act of 1970: Checking the Applicant’s Credit Record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is in the interests of all consumers that people who would be bad credit risks not get credit: if they do and they default (fail to pay their debts), the rest of us end up paying for their improvidence. Because credit is such a big business, a number of support industries have grown up around it. One of the most important is the credit-reporting industry, which addresses this issue of checking creditworthiness. Certain companies—</w:t>
      </w:r>
      <w:r>
        <w:rPr>
          <w:rStyle w:val="marginterm"/>
          <w:rFonts w:ascii="Georgia" w:hAnsi="Georgia" w:cs="Calibri"/>
          <w:color w:val="333333"/>
          <w:sz w:val="20"/>
          <w:szCs w:val="20"/>
          <w:lang w:val="en"/>
        </w:rPr>
        <w:t>credit bureau</w:t>
      </w:r>
      <w:r>
        <w:rPr>
          <w:rFonts w:ascii="Georgia" w:hAnsi="Georgia" w:cs="Calibri"/>
          <w:color w:val="333333"/>
          <w:sz w:val="20"/>
          <w:szCs w:val="20"/>
          <w:lang w:val="en"/>
        </w:rPr>
        <w:t>s—collect information about borrowers, holders of credit cards, store accounts, and installment purchasers. For a fee, this information—currently held on tens of millions of Americans—is sold to companies anxious to know whether applicants are creditworthy. If the information is inaccurate, it can lead to rejection of a credit application that should be approved, and it can wind up in other files where it can live to do more damage. In 1970, Congress enacted, as part of the Consumer Credit Protection Act, the Fair Credit Reporting Act (FCRA) to give consumers access to their credit files in order to correct errors.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this statute, an applicant denied credit has the right to be told the name and address of the credit bureau (called “consumer reporting agency” in the act) that prepared the report on which the denial was based. (The law covers reports used to screen insurance and job applicants as well as to determine creditworthiness.) The agency must list the nature and substance of the information (except medical information) and its sources (unless they contributed to an investigative-type report). A credit report lists such information as name, address, employer, salary history, loans outstanding, and the like. An investigative-type report is one that results from personal interviews and may contain nonfinancial information, like drinking and other personal habits, character, or participation in dangerous sports. Since the investigators rely on talks with neighbors and coworkers, their reports are usually subjective and can often be misleading and inaccurate.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agency must furnish the consumer the information free if requested within thirty days of rejection and must also specify the name and address of anyone who has received the report within the preceding six months (two years if furnished for employment purposes).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information turns out to be inaccurate, the agency must correct its records; if investigative material cannot be verified, it must be removed from the file. Those to whom it was distributed must be notified of the changes. When the agency and the consumer disagree about the validity of the information, the consumer’s version must be placed in the file and included in future distributions of the report. After seven years, any adverse information must be removed (ten years in the case of bankruptcy). A person is entitled to one free copy of his or her credit report from each of the three main national credit bureaus every twelve months. If a reporting agency fails to correct inaccurate information in a reasonable time, it is liable to the consumer for $1,000 plus attorneys’ fees.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FCRA, any person who obtains information from a credit agency under false pretenses is subject to criminal and civil penalties. The act is enforced by the Federal Trade Commission. 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Rodgers v. McCullough</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w:t>
      </w:r>
      <w:r>
        <w:rPr>
          <w:rFonts w:ascii="Georgia" w:hAnsi="Georgia" w:cs="Calibri"/>
          <w:color w:val="2689C6"/>
          <w:sz w:val="20"/>
          <w:szCs w:val="20"/>
          <w:lang w:val="en"/>
        </w:rPr>
        <w:t>Section 32.3 "Cases"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a case involving use of information from a credit report.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Credit is an important part of the US economy, and there are various laws regulating its availability and disclosure. Usury laws prohibit charging excessive interest rates, though the laws are riddled with exceptions. The disclosure of credit costs is regulated by the Truth in Lending Act of 1969, the Consumer Leasing Act of 1988, the Fair Credit and Charge Card Disclosure Act of 1989, and the Credit Card Accountability, Responsibility, and Disclosure Act of 2009 (these latter three are amendments to the TILA). Some states have adopted the Uniform Consumer Credit Code as well. Two major laws prohibit invidious discrimination in the granting of credit: the Equal Credit Opportunity Act of 1974 and the Home Mortgage Disclosure Act of 1975 (addressing the problem of redlining). The Fair Credit Reporting Act of 1970 governs the collection and use of consumer credit information held by credit bureaus.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8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penalty for usury varies from state to state. What are the two typical penalties?</w:t>
      </w:r>
    </w:p>
    <w:p w:rsidR="00A86150" w:rsidRDefault="00F714D4">
      <w:pPr>
        <w:numPr>
          <w:ilvl w:val="0"/>
          <w:numId w:val="78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has the TILA done to the use of</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interest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as a term to describe how much credit costs, and why?</w:t>
      </w:r>
    </w:p>
    <w:p w:rsidR="00A86150" w:rsidRDefault="00F714D4">
      <w:pPr>
        <w:numPr>
          <w:ilvl w:val="0"/>
          <w:numId w:val="78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redlining?</w:t>
      </w:r>
    </w:p>
    <w:p w:rsidR="00A86150" w:rsidRDefault="00F714D4">
      <w:pPr>
        <w:numPr>
          <w:ilvl w:val="0"/>
          <w:numId w:val="78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does the Fair Credit Reporting Act do, in general?</w:t>
      </w:r>
    </w:p>
    <w:p w:rsidR="00A86150" w:rsidRDefault="0081777E">
      <w:pPr>
        <w:spacing w:after="0"/>
        <w:jc w:val="center"/>
        <w:divId w:val="2120484398"/>
      </w:pPr>
      <w:r>
        <w:pict>
          <v:rect id="_x0000_i1158"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Consumers Union, “Upcoming Credit Card Protections,”</w:t>
      </w:r>
      <w:hyperlink r:id="rId101" w:tgtFrame="_blank" w:history="1">
        <w:r>
          <w:rPr>
            <w:rStyle w:val="Hyperlink"/>
            <w:rFonts w:ascii="Calibri" w:hAnsi="Calibri" w:cs="Calibri"/>
            <w:color w:val="2689C6"/>
            <w:sz w:val="20"/>
            <w:szCs w:val="20"/>
          </w:rPr>
          <w:t>http://www.creditcardreform.org/pdf/dodd-summary-509.pdf</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Liz Pulliam Weston, “Credit Card Lenders Go on a Rampage,”</w:t>
      </w:r>
      <w:r>
        <w:rPr>
          <w:rStyle w:val="apple-converted-space"/>
          <w:rFonts w:ascii="Calibri" w:hAnsi="Calibri" w:cs="Calibri"/>
          <w:color w:val="333333"/>
          <w:sz w:val="20"/>
          <w:szCs w:val="20"/>
        </w:rPr>
        <w:t> </w:t>
      </w:r>
      <w:r>
        <w:rPr>
          <w:rStyle w:val="Emphasis"/>
          <w:rFonts w:ascii="Calibri" w:hAnsi="Calibri" w:cs="Calibri"/>
          <w:color w:val="333333"/>
          <w:sz w:val="20"/>
          <w:szCs w:val="20"/>
        </w:rPr>
        <w:t>MSN Money</w:t>
      </w:r>
      <w:r>
        <w:rPr>
          <w:rFonts w:ascii="Calibri" w:hAnsi="Calibri" w:cs="Calibri"/>
          <w:color w:val="333333"/>
          <w:sz w:val="20"/>
          <w:szCs w:val="20"/>
        </w:rPr>
        <w:t>, November 25, 2009.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States adopting the Uniform Consumer Credit Code are the following: Colorado, Idaho, Indiana, Iowa, Kansas, Maine, Oklahoma, South Carolina, Utah, Wisconsin, Wyoming, and Guam. Cornell University Law School, “Uniform Laws.”</w:t>
      </w:r>
      <w:hyperlink r:id="rId102" w:anchor="concc" w:tgtFrame="_blank" w:history="1">
        <w:r>
          <w:rPr>
            <w:rStyle w:val="Hyperlink"/>
            <w:rFonts w:ascii="Calibri" w:hAnsi="Calibri" w:cs="Calibri"/>
            <w:color w:val="2689C6"/>
            <w:sz w:val="20"/>
            <w:szCs w:val="20"/>
          </w:rPr>
          <w:t>http://www.law.cornell.edu/uniform/vol7.html#concc</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Kathryn L.S. Pettit and Audrey E. Droesch, “A Guide to Home Mortgage Disclosure Act Data,” The Urban Institute, December 2008,</w:t>
      </w:r>
      <w:hyperlink r:id="rId103" w:tgtFrame="_blank" w:history="1">
        <w:r>
          <w:rPr>
            <w:rStyle w:val="Hyperlink"/>
            <w:rFonts w:ascii="Calibri" w:hAnsi="Calibri" w:cs="Calibri"/>
            <w:color w:val="2689C6"/>
            <w:sz w:val="20"/>
            <w:szCs w:val="20"/>
          </w:rPr>
          <w:t>http://www.urban.org/uploadedpdf/1001247_hdma.pdf</w:t>
        </w:r>
      </w:hyperlink>
      <w:r>
        <w:rPr>
          <w:rFonts w:ascii="Calibri"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32.2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Consumer Protection Laws and Debt Collection Practices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787"/>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that consumers have the right to cancel some purchases made on credit.</w:t>
      </w:r>
    </w:p>
    <w:p w:rsidR="00A86150" w:rsidRDefault="00F714D4">
      <w:pPr>
        <w:numPr>
          <w:ilvl w:val="0"/>
          <w:numId w:val="78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billing mistakes may be corrected.</w:t>
      </w:r>
    </w:p>
    <w:p w:rsidR="00A86150" w:rsidRDefault="00F714D4">
      <w:pPr>
        <w:numPr>
          <w:ilvl w:val="0"/>
          <w:numId w:val="78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that professional debt collectors are governed by some laws restricting certain practices.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Cancellation Rights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Ordinarily, a contract is binding when signed. But consumer protection laws sometimes provide an escape valve. For example, a Federal Trade Commission (FTC) regulation gives consumers three days to cancel contracts made with door-to-door salespersons. Under this cooling-off provision, the cancellation is effective if made by midnight of the third business day after the date of the purchase agreement. The salesperson must notify consumers of this right and supply them with two copies of a cancellation form, and the sales agreement must contain a statement explaining the right. The purchaser cancels by returning one copy of the cancellation form to the seller, who is obligated either to pick up the goods or to pay shipping costs. The three-day cancellation privilege applies only to sales of twenty-five dollars or more made either in the home or away from the seller’s place of business; it does not apply to sales made by mail or telephone, to emergency repairs and certain other home repairs, or to real estate, insurance, or securities sales.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Truth in Lending Act (TILA) protects consumers in a similar way. For certain big-ticket purchases (such as installations made in the course of major home improvements), sellers sometimes require a mortgage (which is subordinate to any preexisting mortgages) on the home. The law gives such customers three days to rescind the contract. Many states have laws similar to the FTC’s three-day cooling-off period, and these may apply to transactions not covered by the federal rule (e.g., to purchases of less than twenty-five dollars and even to certain contracts made at the seller’s place of business).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Correcting Billing Mistakes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Billing Mistakes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1975, Congress enacted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Fair Credit Billing Act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as an amendment to the Consumer Credit Protection Act. It was intended to put to an end the phenomenon, by then a standard part of any comedian’s repertoire, of the many ways a computer could insist that you pay a bill, despite errors and despite letters you might have written to complain. The act, which applies only to open-end credit and not to installment sales, sets out a procedure that creditors and customers must follow to rectify claimed errors. The customer has sixty days to notify the creditor of the nature of the error and the amount. Errors can include charges not incurred or those billed with the wrong description, charges for goods never delivered, accounting or arithmetic errors, failure to credit payments or returns, and even charges for which you simply request additional information, including proof of sale. During the time the creditor is replying, you need not pay the questioned item or any finance charge on the disputed amount.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creditor has thirty days to respond and ninety days to correct your account or explain why your belief that an error has been committed is incorrect. If you do turn out to be wrong, the creditor is entitled to all back finance charges and to prompt payment of the disputed amount. If you persist in disagreeing and notify the creditor within ten days, it is obligated to tell all credit bureaus to whom it sends notices of delinquency that the bill continues to be disputed and to tell you to whom such reports have been sent; when the dispute has been settled, the creditor must notify the credit bureaus of this fact. Failure of the creditor to follow the rules, an explanation of which must be provided to each customer every six months and when a dispute arises, bars it from collecting the first fifty dollars in dispute, plus finance charges, even if the creditor turns out to be correct.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Disputes about the Quality of Goods or Services Purchased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While disputes over the quality of goods are not “billing errors,” the act does apply to unsatisfactory goods or services purchased by credit card (except for store credit cards); the customer may assert against the credit card company any claims or defenses he or she may have against the seller. This means that under certain circumstances, the customer may withhold payments without incurring additional finance charges. However, this right is subject to three limitations: (1) the value of the goods or services charged must be in excess of fifty dollars, (2) the goods or services must have been purchased either in the home state or within one hundred miles of the customer’s current mailing address, and (3) the consumer must make a good-faith effort to resolve the dispute before refusing to pay. If the consumer does refuse to pay, the credit card company would acquiesce: it would credit her account for the disputed amount, pass the loss down to the merchant’s bank, and that bank would debit the merchant’s account. The merchant would then have to deal with the consumer directly.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Debt Collection Practices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Banks, financial institutions, and retailers have different incentives for extending credit—for some, a loan is simply a means of making money, and for others, it is an inducement to buyers. But in either case, credit is a risk because the consumer may default; the creditor needs a means of collecting when the customer fails to pay. Open-end credit is usually given without collateral. The creditor can, of course, sue, but if the consumer has no assets, collection can be troublesome. Historically, three different means of recovering the debt have evolved: garnishment, wage assignment, and confession of judgment.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Garnishment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Garnishment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legal process by which a creditor obtains a court order directing the debtor’s employer (or any party who owes money to the debtor) to pay directly to the creditor a certain portion of the employee’s wages until the debt is paid. Until 1970, garnishment was regulated by state law, and its effects could be devastating—in some cases, even leading to suicide. In 1970, Title III of the Consumer Credit Protection Act asserted federal control over garnishment proceedings for the first time. The federal wage-garnishment law limits the amount of employee earnings that may be withheld in any one pay date to the lesser of 25 percent of disposable (after-tax) earnings or the amount by which disposable weekly earnings exceed thirty times the highest current federal minimum wage. The federal law covers everyone who receives personal earnings, including wages, salaries, commissions, bonuses, and retirement income (though not tips), but it allows courts to garnish above the federal maximum in cases involving support payments (e.g., alimony), in personal bankruptcy cases, and in cases where the debt owed is for state or federal tax.</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federal wage-garnishment law also prohibits an employer from firing any worker solely because the worker’s pay has been garnished for one debt (multiple garnishments may be grounds for discharge). The penalty for violating this provision is a $1,000 fine, one-year imprisonment, or both. But the law does not say that an employee fired for having one debt garnished may sue the employer for damages. In a 1980 case, the Fifth Circuit Court of Appeals denied an employee the right to sue, holding that the statute places enforcement exclusively in the hands of the federal secretary of labor.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l970 federal statute is not the only limitation on the garnishment process. Note that the states can also still regulate garnishment so long as the state regulation is not in conflict with federal law: North Carolina, Pennsylvania, South Carolina, and Texas prohibit most garnishments, unless it is the government doing the garnishment. And there is an important constitutional limitation as well. Many states once permitted a creditor to garnish the employee’s wage even before the case came to court: a simple form from the clerk of the court was enough to freeze a debtor’s wages, often before the debtor knew a suit had been brought. In 1969, the US Supreme Court held that this prejudgment garnishment procedure was unconstitutional.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Wage Assignment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wage assignment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 agreement by an employee that a creditor may take future wages as security for a loan or to pay an existing debt. With a wage assignment, the creditor can collect directly from the employer. However, in some states, wage assignments are unlawful, and an employer need not honor the agreement (indeed, it would be liable to the employee if it did). Other states regulate wage assignments in various ways—for example, by requiring that the assignment be a separate instrument, not part of the loan agreement, and by specifying that no wage assignment is valid beyond a certain period of time (two or three years).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Confession of Judgment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suing is at best nettlesome, many creditors have developed forms that allow them to sidestep the courthouse when debtors have defaulted. As part of the original credit agreement, the consumer or borrower waives his right to defend himself in court by signing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confession of judgment</w:t>
      </w:r>
      <w:r>
        <w:rPr>
          <w:rFonts w:ascii="Georgia" w:hAnsi="Georgia" w:cs="Calibri"/>
          <w:color w:val="333333"/>
          <w:sz w:val="20"/>
          <w:szCs w:val="20"/>
          <w:lang w:val="en"/>
        </w:rPr>
        <w:t>. This written instrument recites the debtor’s agreement that a court order be automatically entered against him in the event of default. The creditor’s lawyer simply takes the confession of judgment to the clerk of the court, who enters it in the judgment book of the court without ever consulting a judge. Entry of the judgment entitles the creditor to attach the debtor’s assets to satisfy the debt. Like prejudgment garnishment, a confession of judgment gives the consumer no right to be heard, and it has been banned by statute or court decisions in many states.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Fair Debt Collection Practices Act of 1977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Many stores, hospitals, and other organizations attempt on their own to collect unpaid bills, but thousands of merchants, professionals, and small businesses rely on collection agencies to recover accounts receivable. The debt collection business employed some 216,000 people in 2007 and collected over $40 billion in debt.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decades, some of these collectors used harassing tactics: posing as government agents or attorneys, calling at the debtor’s workplace, threatening physical harm or loss of property or imprisonment, using abusive language, publishing a deadbeats list, misrepresenting the size of the debt, and telling friends and neighbors about the debt. To provide a remedy for these abuses, Congress enacted, as part of the Consumer Credit Protection Act, the Fair Debt Collection Practices Act (FDCPA) in 1977.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law regulates the manner by which third-party collection agencies conduct their business. It covers collection of all personal, family, and household debts by collection agencies. It does not deal with collection by creditors themselves; the consumer’s remedy for abusive debt collection by the creditor is in tort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FDCPA, the third-party collector may contact the debtor only during reasonable hours and not at work if the debtor’s employer prohibits it. The debtor may write the collector to cease contact, in which case the agency is prohibited from further contact (except to confirm that there will be no further contact). A written denial that money is owed stops the bill collector for thirty days, and he can resume again only after the debtor is sent proof of the debt. Collectors may no longer file suit in remote places, hoping for default judgments; any suit must be filed in a court where the debtor lives or where the underlying contract was signed. The use of harassing and abusive tactics, including false and misleading representations to the debtor and others (e.g., claiming that the collector is an attorney or that the debtor is about to be sued when that is not true), is prohibited. Unless the debtor has given the creditor her cell phone number, calls to cell phones (but not to landlines) are not allowed.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any mailings sent to the debtor, the return address cannot indicate that it is from a debt collection agency (so as to avoid embarrassment from a conspicuous name on the envelope that might be read by third parties).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Communication with third parties about the debt is not allowed, except when the collector may need to talk to others to trace the debtor’s whereabouts (though the collector may not tell them that the inquiry concerns a debt) or when the collector contacts a debtor’s attorney, if the debtor has an attorney. The federal statute gives debtors the right to sue the collector for damages for violating the statute and for causing such injuries as job loss or harm to reputation.</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Several laws regulate practices after consumer credit transactions. The FTC provides consumers with a three-day cooling-off period for some in-home sales, during which time the consumer-purchaser may cancel the sale. The TILA and some state laws also have some cancellation provisions. Billing errors are addressed by the Fair Credit Billing Act, which gives consumers certain rights. Debt collection practices such as garnishment, wage assignments, and confessions of judgment are regulated (and in some states prohibited) by federal and state law. Debt collection practices for third-party debt collectors are constrained by the Fair Debt Collection Practices Act.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78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 what circumstances may a consumer have three days to avoid a contract?</w:t>
      </w:r>
    </w:p>
    <w:p w:rsidR="00A86150" w:rsidRDefault="00F714D4">
      <w:pPr>
        <w:numPr>
          <w:ilvl w:val="0"/>
          <w:numId w:val="78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does the Fair Credit Billing Act resolve the problem that occurs when a consumer disputes a bill and “argues” with a computer about it?</w:t>
      </w:r>
    </w:p>
    <w:p w:rsidR="00A86150" w:rsidRDefault="00F714D4">
      <w:pPr>
        <w:numPr>
          <w:ilvl w:val="0"/>
          <w:numId w:val="78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constitutional problem with garnishment as it was often practiced before 1969?</w:t>
      </w:r>
    </w:p>
    <w:p w:rsidR="00A86150" w:rsidRDefault="00F714D4">
      <w:pPr>
        <w:numPr>
          <w:ilvl w:val="0"/>
          <w:numId w:val="78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If Joe of Joe’s Garage wants to collect on his own the debts he is owed, he is not constrained by the FDCPA. What limits are there on his debt collection practices?</w:t>
      </w:r>
    </w:p>
    <w:p w:rsidR="00A86150" w:rsidRDefault="0081777E">
      <w:pPr>
        <w:spacing w:after="0"/>
        <w:jc w:val="center"/>
        <w:divId w:val="534730511"/>
      </w:pPr>
      <w:r>
        <w:pict>
          <v:rect id="_x0000_i1159"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Smith v. Cotton Brothers Baking Co., Inc</w:t>
      </w:r>
      <w:r>
        <w:rPr>
          <w:rFonts w:ascii="Calibri" w:hAnsi="Calibri" w:cs="Calibri"/>
          <w:color w:val="333333"/>
          <w:sz w:val="20"/>
          <w:szCs w:val="20"/>
        </w:rPr>
        <w:t>., 609 F.2d 738 (5th Cir. 1980).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Sniadach v. Family Finance Corp</w:t>
      </w:r>
      <w:r>
        <w:rPr>
          <w:rFonts w:ascii="Calibri" w:hAnsi="Calibri" w:cs="Calibri"/>
          <w:color w:val="333333"/>
          <w:sz w:val="20"/>
          <w:szCs w:val="20"/>
        </w:rPr>
        <w:t>., 395 U.S. 337 (1969).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PricewaterhouseCoopers LLP,</w:t>
      </w:r>
      <w:r>
        <w:rPr>
          <w:rStyle w:val="apple-converted-space"/>
          <w:rFonts w:ascii="Calibri" w:hAnsi="Calibri" w:cs="Calibri"/>
          <w:color w:val="333333"/>
          <w:sz w:val="20"/>
          <w:szCs w:val="20"/>
        </w:rPr>
        <w:t> </w:t>
      </w:r>
      <w:r>
        <w:rPr>
          <w:rStyle w:val="Emphasis"/>
          <w:rFonts w:ascii="Calibri" w:hAnsi="Calibri" w:cs="Calibri"/>
          <w:color w:val="333333"/>
          <w:sz w:val="20"/>
          <w:szCs w:val="20"/>
        </w:rPr>
        <w:t>Value of Third-Party Debt Collection to the U.S. Economy in 2007: Survey And Analysis</w:t>
      </w:r>
      <w:r>
        <w:rPr>
          <w:rFonts w:ascii="Calibri" w:hAnsi="Calibri" w:cs="Calibri"/>
          <w:color w:val="333333"/>
          <w:sz w:val="20"/>
          <w:szCs w:val="20"/>
        </w:rPr>
        <w:t>, June 2008,</w:t>
      </w:r>
      <w:r>
        <w:rPr>
          <w:rStyle w:val="apple-converted-space"/>
          <w:rFonts w:ascii="Calibri" w:hAnsi="Calibri" w:cs="Calibri"/>
          <w:color w:val="333333"/>
          <w:sz w:val="20"/>
          <w:szCs w:val="20"/>
        </w:rPr>
        <w:t> </w:t>
      </w:r>
      <w:hyperlink r:id="rId104" w:tgtFrame="_blank" w:history="1">
        <w:r>
          <w:rPr>
            <w:rStyle w:val="Hyperlink"/>
            <w:rFonts w:ascii="Calibri" w:hAnsi="Calibri" w:cs="Calibri"/>
            <w:color w:val="2689C6"/>
            <w:sz w:val="20"/>
            <w:szCs w:val="20"/>
          </w:rPr>
          <w:t>http://www.acainternational.org/files.aspx?p=/images/12546/pwc2007-final.pdf</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Federal Communications Commission, “In the Matter of Rules and Regulations Implementing the Telephone Consumer Protection Act of 1991,”</w:t>
      </w:r>
      <w:hyperlink r:id="rId105" w:tgtFrame="_blank" w:history="1">
        <w:r>
          <w:rPr>
            <w:rStyle w:val="Hyperlink"/>
            <w:rFonts w:ascii="Calibri" w:hAnsi="Calibri" w:cs="Calibri"/>
            <w:color w:val="2689C6"/>
            <w:sz w:val="20"/>
            <w:szCs w:val="20"/>
          </w:rPr>
          <w:t>http://fjallfoss.fcc.gov/edocs_public/attachmatch/FCC-07-232A1.txt</w:t>
        </w:r>
      </w:hyperlink>
      <w:r>
        <w:rPr>
          <w:rFonts w:ascii="Calibri" w:hAnsi="Calibri" w:cs="Calibri"/>
          <w:color w:val="333333"/>
          <w:sz w:val="20"/>
          <w:szCs w:val="20"/>
        </w:rPr>
        <w:t>. (This document shows up best with Adobe Acrobat.)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32.3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Usury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Matter of Dane’s 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390 N.Y.S.2d 249 (N.Y.A.D. 1976)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MAHONEY, J.</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December 17, 1968, after repeated requests by decedent [Leland Dane] that appellant [James Rossi] loan him $10,500 [about $64,000 in 2010 dollars] the latter drew a demand note in that amount and with decedent’s consent fixed the interest rate at 7 1/2% Per annum, the then maximum annual interest permitted being 7 1/4%. Decedent executed the note and appellant gave him the full amount of the note in cash.…[The estate] moved for summary judgment voiding the note on the ground that it was a usurious loan, the note having been previously rejected as a claim against the estate. The [lower court] granted the motion, voided the note and enjoined any prosecution on it thereafter. Appellant’s cross motion to enforce the claim was denied.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New York’s usury laws are harsh, and courts have been reluctant to extend them beyond cases that fall squarely under the statutes [Citation]. [New York law] makes any note for which more than the legal rate of interests is ‘reserved or taken’ or ‘agreed to be reserved or taken’ void. [The law] commands cancellation of a note in violation of [its provisions]. Here, since both sides concede that the note evidences the complete agreement between the parties, we cannot aid appellant by reliance upon the presumption that he did not make the loan at a usurious rate [Citation]. The terms of the loan are not in dispute. Thus, the note itself establishes, on its face, clear evidence of usury. There is no requirement of a specific intent to violate the usury statute. A general intent to charge more than the legal rate as evidenced by the note, is all that is needed. If the lender intends to take and receive a rate in excess of the legal percentage at the time the note is made, the statute condemns the act and mandates its cancellation [Citation]. The showing, as here, that the note reserves to the lender an illegal rate of interest satisfies respondents’ burden of proving a usurious loan.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Next, where the rate of interest on the face of a note is in excess of the legal rate, it cannot be argued that such a loan may be saved because the borrower prompted the loan or even set the rate. The usury statutes are for the protection of the borrower and [their] purpose would be thwarted if the lender could avoid its consequences by asking the borrower to set the rate. Since the respondents herein asserted the defense of usury, it cannot be said that the decedent waived the defense by setting or agreeing to the 7 1/2% Rate of interest.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Finally, equitable considerations cannot be indulged when, as here, a statute specifically condemns an act. The statute fixes the law, and it must be followed.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order should be affirmed, without costs.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78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consequence to the lender of charging usurious rates in New York?</w:t>
      </w:r>
    </w:p>
    <w:p w:rsidR="00A86150" w:rsidRDefault="00F714D4">
      <w:pPr>
        <w:numPr>
          <w:ilvl w:val="0"/>
          <w:numId w:val="78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rate charged here was one-half of one percent in excess of the allowable limit. Who made the note, the borrower or the lender? That makes no difference, but should it?</w:t>
      </w:r>
    </w:p>
    <w:p w:rsidR="00A86150" w:rsidRDefault="00F714D4">
      <w:pPr>
        <w:numPr>
          <w:ilvl w:val="0"/>
          <w:numId w:val="78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“equitable considerations” were apparently raised by the creditor?</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Discrimination under the ECOA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Rosa v. Park West Bank &amp; Trust Co.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214 F.3d 213, C.A.1 (Mass. 2000)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Lynch, J.</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Lucas Rosa sued the Park West Bank &amp; Trust Co. under the Equal Credit Opportunity Act (ECOA), 15 U.S.C. §§ 1691–1691f, and various state laws. He alleged that the Bank refused to provide him with a loan application because he did not come dressed in masculine attire and that the Bank’s refusal amounted to sex discrimination under the Act. The district court granted the Bank’s motion to dismiss the ECOA claim…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According to the complaint, which we take to be true for the purpose of this appeal, on July 21, 1998, Mr. Lucas Rosa came to the Bank to apply for a loan. A biological male, he was dressed in traditionally feminine attire. He requested a loan application from Norma Brunelle, a bank employee. Brunelle asked Rosa for identification. Rosa produced three forms of photo identification: (1) a Massachusetts Department of Public Welfare Card; (2) a Massachusetts Identification Card; and (3) a Money Stop Check Cashing ID Card. Brunelle looked at the identification cards and told Rosa that she would not provide him with a loan application until he “went home and changed.” She said that he had to be dressed like one of the identification cards in which he appeared in more traditionally male attire before she would provide him with a loan application and process his loan request.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Rosa sued the Bank for violations of the ECOA and various Massachusetts antidiscrimination statutes. Rosa charged that “[b]y requiring [him] to conform to sex stereotypes before proceeding with the credit transaction, [the Bank] unlawfully discriminated against [him] with respect to an aspect of a credit transaction on the basis of sex.” He claims to have suffered emotional distress, including anxiety, depression, humiliation, and extreme embarrassment. Rosa seeks damages, attorney’s fees, and injunctive relief.</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Without filing an answer to the complaint, the Bank moved to dismiss.…The district court granted the Bank’s motion. The court stated: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issue in this case is not [Rosa’s] sex, but rather how he chose to dress when applying for a loan. Because the Act does not prohibit discrimination based on the manner in which someone dresses, Park West’s requirement that Rosa change his clothes does not give rise to claims of illegal discrimination. Further, even if Park West’s statement or action were based upon Rosa’s sexual orientation or perceived sexual orientation, the Act does not prohibit such discrimination.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Price Waterhouse v. Hopkins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(U.S. Supreme Court, 1988), which Rosa relied on, was not to the contrary, according to the district court, because that case “neither holds, nor even suggests, that discrimination based merely on a person’s attire is impermissible.”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appeal, Rosa says that the district court “fundamentally misconceived the law as applicable to the Plaintiff’s claim by concluding that there may be no relationship, as a matter of law, between telling a bank customer what to wear and sex discrimination.” …The Bank says that Rosa loses for two reasons. First, citing cases pertaining to gays and transsexuals, it says that the ECOA does not apply to crossdressers. Second, the Bank says that its employee genuinely could not identify Rosa, which is why she asked him to go home and change.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III.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interpreting the ECOA, this court looks to Title VII case law, that is, to federal employment discrimination law.…The Bank itself refers us to Title VII case law to interpret the ECOA.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ECOA prohibits discrimination, “with respect to any aspect of a credit transaction[,] on the basis of race, color, religion, national origin, sex or marital status, or age.” 15 U.S.C. § 1691(a). Thus to prevail, the alleged discrimination against Rosa must have been “on the basis of…sex.” See [Citation.] The ECOA’s sex discrimination prohibition “protects men as well as women.”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While the district court was correct in saying that the prohibited bases of discrimination under the ECOA do not include style of dress or sexual orientation, that is not the discrimination alleged. It is alleged that the Bank’s actions were taken, in whole or in part, “on the basis of… [the appellant’s] sex.” The Bank, by seeking dismissal under Rule 12(b)(6), subjected itself to rigorous standards. We may affirm dismissal “only if it is clear that no relief could be granted under any set of facts that could be proved consistent with the allegations.” [Citations] Whatever facts emerge, and they may turn out to have nothing to do with sex-based discrimination, we cannot say at this point that the plaintiff has no viable theory of sex discrimination consistent with the facts alleged.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evidence is not yet developed, and thus it is not yet clear why Brunelle told Rosa to go home and change. It may be that this case involves an instance of disparate treatment based on sex in the denial of credit. See [Citation]; (“‘Disparate treatment’…is the most easily understood type of discrimination. The employer simply treats some people less favorably than others because of their…sex.”); [Citation] (invalidating airline’s policy of weight limitations for female “flight hostesses” but not for similarly situated male “directors of passenger services” as impermissible disparate treatment); [Citation] (invalidating policy that female employees wear uniforms but that similarly situated male employees need wear only business dress as impermissible disparate treatment); [Citation] (invalidating rule requiring abandonment upon marriage of surname that was applied to women, but not to men). It is reasonable to infer that Brunelle told Rosa to go home and change because she thought that Rosa’s attire did not accord with his male gender: in other words, that Rosa did not receive the loan application because he was a man, whereas a similarly situated woman would have received the loan application. That is, the Bank may treat, for credit purposes, a woman who dresses like a man differently than a man who dresses like a woman. If so, the Bank concedes, Rosa may have a claim. Indeed, under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Price Waterhouse</w:t>
      </w:r>
      <w:r>
        <w:rPr>
          <w:rFonts w:ascii="Georgia" w:hAnsi="Georgia" w:cs="Calibri"/>
          <w:color w:val="333333"/>
          <w:sz w:val="20"/>
          <w:szCs w:val="20"/>
          <w:lang w:val="en"/>
        </w:rPr>
        <w:t>, “stereotyped remarks [including statements about dressing more ‘femininely’] can certainly be evidence that gender played a part.” [Citation.] It is also reasonable to infer, though, that Brunelle refused to give Rosa the loan application because she thought he was gay, confusing sexual orientation with cross-dressing. If so, Rosa concedes, our precedents dictate that he would have no recourse under the federal Act. See [Citation]. It is reasonable to infer, as well, that Brunelle simply could not ascertain whether the person shown in the identification card photographs was the same person that appeared before her that day. If this were the case, Rosa again would be out of luck. It is reasonable to infer, finally, that Brunelle may have had mixed motives, some of which fall into the prohibited category.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is too early to say what the facts will show; it is apparent, however, that, under some set of facts within the bounds of the allegations and non-conclusory facts in the complaint, Rosa may be able to prove a claim under the ECOA.…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reverse and remand for further proceedings in accordance with this opinion.</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79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Could the bank have denied Mr. Rosa a loan because he was gay?</w:t>
      </w:r>
    </w:p>
    <w:p w:rsidR="00A86150" w:rsidRDefault="00F714D4">
      <w:pPr>
        <w:numPr>
          <w:ilvl w:val="0"/>
          <w:numId w:val="79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If a woman had applied for loan materials dressed in traditionally masculine attire, could the bank have denied her the materials?</w:t>
      </w:r>
    </w:p>
    <w:p w:rsidR="00A86150" w:rsidRDefault="00F714D4">
      <w:pPr>
        <w:numPr>
          <w:ilvl w:val="0"/>
          <w:numId w:val="79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Court offers up at least three possible reasons why Rosa was denied the loan application. What were those possible reasons, and which of them would have been valid reasons to deny him the application?</w:t>
      </w:r>
    </w:p>
    <w:p w:rsidR="00A86150" w:rsidRDefault="00F714D4">
      <w:pPr>
        <w:numPr>
          <w:ilvl w:val="0"/>
          <w:numId w:val="79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To what federal law does the court look in interpreting the application of the ECOA?</w:t>
      </w:r>
    </w:p>
    <w:p w:rsidR="00A86150" w:rsidRDefault="00F714D4">
      <w:pPr>
        <w:numPr>
          <w:ilvl w:val="0"/>
          <w:numId w:val="79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 the court rule in Mr. Rosa’s favor when the facts as to why he was denied the loan application could have been interpreted in several different ways?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Uses of Credit Reports under the FCRA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Rodgers v. McCullough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296 F.Supp.2d 895 (W.D. Tenn. 2003)</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Background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case concerns Defendants’ receipt and use of Christine Rodgers’ consumer report. The material facts do not seem to be disputed. The parties agree that Ms. Rodgers gave birth to a daughter, Meghan, on May 4, 2001. Meghan’s father is Raymond Anthony. Barbara McCullough, an attorney, represented Mr. Anthony in a child custody suit against Ms. Rodgers in which Mr. Anthony sought to obtain custody and child support from Ms. Rodgers. Ms. McCullough received, reviewed, and used Ms. Rodgers’ consumer report in connection with the child custody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September 25, 2001, Ms. McCullough instructed Gloria Christian, her secretary, to obtain Ms. Rodgers’ consumer report. Ms. McCullough received the report on September 27 or 28 of 2001. She reviewed the report in preparation for her examination of Ms. Rodgers during a hearing to be held in juvenile court on October 23, 2001. She also used the report during the hearing, including attempting to move the document into evidence and possibly handing it to the presiding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dispute in this case centers around whether Ms. McCullough obtained and used Ms. Rodgers’ consumer report for a purpose permitted under the Fair Credit Reporting Act (the “FCRA”). Plaintiff contends that Ms. McCullough, as well as her law firm, Wilkes, McCullough &amp; Wagner, a partnership, and her partners, Calvin J. McCullough and John C. Wagner, are liable for the unlawful receipt and use of Ms. Rodgers’ consumer report in violation 15 U.S.C. §§ 1681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o</w:t>
      </w:r>
      <w:r>
        <w:rPr>
          <w:rFonts w:ascii="Georgia" w:hAnsi="Georgia" w:cs="Calibri"/>
          <w:color w:val="333333"/>
          <w:sz w:val="20"/>
          <w:szCs w:val="20"/>
          <w:lang w:val="en"/>
        </w:rPr>
        <w:t>(negligent failure to comply with the FCRA) and 1681n (willful failure to comply with the FCRA or obtaining a consumer report under false pretenses). Plaintiff has also sued Defendants for the state law tort of unlawful invasion of privacy.…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Analysis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Plaintiff has moved for summary judgment on the questions of whether Defendants failed to comply with the FCRA (i.e. whether Defendants had a permissible purpose to obtain Ms. Rodgers’ credit report), whether Defendants’ alleged failure to comply was willful, and whether Defendants’ actions constituted unlawful invasion of privacy. The Court will address the FCRA claims followed by the state law claim for unlawful invasion of privacy.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 Permissible Purpose under the FCRA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Pursuant to the FCRA, “A person shall not use or obtain a consumer report for any purpose unless (1) the consumer report is obtained for a purpose for which the consumer report is authorized to be furnished under this section.…” [Citation.] Defendants do not dispute that Ms. McCullough obtained and used Ms. Rodgers’ consumer report.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provides a list of permissible purposes for the receipt and use of a consumer report, of which the following subsection is at issue in this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consumer reporting agency may furnish a consumer report under the following circumstances and no other:…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 To a person which it has reason to believe-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intends to use the information in connection with a credit transaction involving the consumer on whom the information is to be furnished and involving the extension of credit to, or review or collection of an account of, the consumer…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[Citation.] Defendants concede that Ms. McCullough’s receipt and use of Ms. Rodgers’ consumer report does not fall within any of the other permissible purposes enumerated in [the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Ms. Rodgers requests summary judgment in her favor on this point, relying on the plain text of the statute, because she was not in arrears on any child support obligation at the time Ms. McCullough requested the consumer report, nor did she owe Ms. McCullough’s client any debt. She notes that Mr. Anthony did not have custody of Meghan Rodgers and that an award of child support had not even been set at the time Ms. McCullough obtained her consumer report.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Defendants maintain that Ms. McCullough obtained Ms. Rodgers’ consumer report for a permissible purpose, namely to locate Ms. Rodgers’ residence and set and collect child support obligations. Defendants argue that 15 U.S.C. § 1681b(a)(3)(A) permits the use of a credit report in connection with “collection of an account” and, therefore, Ms. McCullough was permitted to use Ms. Rodgers’ credit report in connection with the collection of child support.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cases Defendants have cited in response to the motion for summary judgment are inapplicable to the present facts. In each case cited by Defendants, the person who obtained a credit report did so in order to collect on an</w:t>
      </w:r>
      <w:r>
        <w:rPr>
          <w:rStyle w:val="Emphasis"/>
          <w:rFonts w:ascii="Georgia" w:hAnsi="Georgia" w:cs="Calibri"/>
          <w:color w:val="333333"/>
          <w:sz w:val="20"/>
          <w:szCs w:val="20"/>
          <w:lang w:val="en"/>
        </w:rPr>
        <w:t>outstanding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judgment or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outstanding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debt.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See, e.g.,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[Citation] (finding that collection of a judgment of arrears in child support is a permissible purpose under [the act]; [Citation] (holding that defendant had a permissible purpose for obtaining a consumer report where plaintiff owed an outstanding debt to the company).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However, no such outstanding debt or judgment existed in this case. At the time Ms. McCullough obtained Ms. Rodgers’ consumer report, Ms. Rodgers’ did not owe money to either Ms. McCullough or her client, Mr. Anthony. Defendants have provided no evidence showing that Ms. McCullough believed Ms. Rodgers owed money to Mr. Anthony at the time she requested the credit report. Indeed, Mr. Anthony had not even been awarded custody of Meghan Rodgers at the time Ms. McCullough obtained and used the credit report. Ms. McCullough acknowledged each of the facts during her deposition. Moreover, in response to Plaintiff’s request for admissions, Ms. McCullough admitted that she did not receive the credit report for the purpose of collecting on an account from Ms. Rodgers.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evidence before the Court makes clear that Ms. McCullough was actually attempting, on behalf of Mr. Anthony, to secure custody of Meghan Rodgers and obtain a future award of child support payments from Ms. Rodgers by portraying Ms. Rodgers as irresponsible to the court. These are not listed as permissible purposes under [FCRA]. Defendants have offered the Court no reason to depart from the plain language of the statute, which clearly does not permit an individual to obtain a consumer report for the purposes of obtaining child custody and instituting child support payments. Moreover, the fact that the Juvenile Court later awarded custody and child support to Mr. Anthony does not retroactively provide Ms. McCullough with a permissible purpose for obtaining Ms. Rodgers’ consumer report. Therefore, the Court GRANTS Plaintiff’s motion for partial summary judgment on the question of whether Defendants had a permissible purpose to obtain Ms. Rodgers’ credit report.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 Willful Failure to Comply with the FCRA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Pursuant to [the FCRA], “Any person who willfully fails to comply with any requirement imposed under this subchapter with respect to any consumer is liable to that consumer” for the specified damages.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show willful noncompliance with the FCRA, [the plaintiff] must show that [the defendant] ‘knowingly and intentionally committed an act in conscious disregard for the rights of others,’ but need not show ‘malice or evil motive.’” [Citation.] “Under this formulation the defendant must commit the act that violates the Fair Credit Reporting Act with knowledge that he is committing the act and with intent to do so, and he must also be conscious that his act impinges on the rights of others.” “The statute’s use of the word ‘willfully’ imports the requirement that the defendant know his or her conduct is unlawful.” [Citation.] A defendant can not be held civilly liable under [the act] if he or she obtained the plaintiff’s credit report “under what is believed to be a proper purpose under the statute but which a court…later rules to be impermissible legally under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Ms. McCullough is an attorney who signed multiple service contracts with Memphis Consumer Credit Association indicating that the primary purpose for which credit information would be ordered was “to collect judgments.” Ms. McCullough also agreed in these service contracts to comply with the FCRA. Her deposition testimony indicates that she had never previously ordered a consumer report for purposes of calculating child support. This evidence may give rise to an inference that Ms. McCullough was aware that she did not order Ms. Rodgers’ consumer report for a purpose permitted under the FCRA.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Defendants argue in their responsive memorandum that if Ms. McCullough had suspected that she had obtained Ms. Rodgers’ credit report in violation of the FCRA, it is unlikely that she would have attempted to present the report to the Juvenile Court as evidence during the custody hearing for Meghan Rodgers. Ms. McCullough also testified that she believed she had a permissible purpose for obtaining Ms. Rodgers’ consumer report (i.e. to set and collect child support obligations).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Viewing the evidence in the light most favorable to the nonmoving party, Defendants have made a sufficient showing that Ms. McCullough may not have understood that she lacked a permissible purpose under the FCRA to obtain and use Ms. Rodgers’ credit report.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Ms. McCullough was not aware that her actions might violate the FCRA at the time she obtained and used Ms. Rodgers’ credit report, she would not have willfully failed to comply with the FCRA. The question of Ms. McCullough’s state of mind at the time she obtained and used Ms. Rodgers’ credit report is an issue best left to a jury. [Citation] (“state of mind is typically not a proper issue for resolution on summary judgment”). The Court DENIES Plaintiff’s motion for summary judgment on the question of willfulness under [the act].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 Obtaining a Consumer Report under False Pretenses or Knowingly without a Permissible Purpose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the same reasons the Court denied Plaintiff’s motion for summary judgment on the question of willfulness, the Court also DENIES Plaintiff’s motion for summary judgment on the question of whether Ms. McCullough obtained and used Ms. Rodgers’ credit report under false pretenses or knowingly without a permissible purpose.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[Discussion of the invasion of privacy claim omitted.]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Conclusion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the foregoing reasons, the Court GRANTS Plaintiff’s Motion for Partial Summary Judgment Regarding Defendants’ Failure to Comply with the Fair Credit Reporting Act [having no permissible purpose]. The Court DENIES Plaintiff’s remaining motions for partial summary judgment.</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791"/>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 the defendant, McCullough, order her secretary to obtain Ms. Rodgers’s credit report? If Ms. McCullough is found liable, why would her law firm partners also be liable?</w:t>
      </w:r>
    </w:p>
    <w:p w:rsidR="00A86150" w:rsidRDefault="00F714D4">
      <w:pPr>
        <w:numPr>
          <w:ilvl w:val="0"/>
          <w:numId w:val="791"/>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“permissible purpose” did the defendants contend they had for obtaining the credit report? Why did the court determine that purpose was not permissible?</w:t>
      </w:r>
    </w:p>
    <w:p w:rsidR="00A86150" w:rsidRDefault="00F714D4">
      <w:pPr>
        <w:numPr>
          <w:ilvl w:val="0"/>
          <w:numId w:val="791"/>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 the court deny the plaintiff’s motion for summary judgment on the question of whether the defendant “willfully” failed to comply with the act? Is the plaintiff out of luck on that question, or can it be litigated further?</w:t>
      </w:r>
    </w:p>
    <w:p w:rsidR="00A86150" w:rsidRDefault="0081777E">
      <w:pPr>
        <w:spacing w:after="0"/>
        <w:jc w:val="center"/>
        <w:divId w:val="1127547656"/>
      </w:pPr>
      <w:r>
        <w:pict>
          <v:rect id="_x0000_i1160"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Defendants also admit that Ms. McCullough used the credit report to portray Ms. Rodgers as irresponsible, financially unstable, and untruthful about her residence and employment history to the Juvenile Court. Defendants do not allege that these constitute permissible purposes under the FCRA.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32.4</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Consumers who are granted credit have long received protection through usury laws (laws that establish a maximum interest rate). The rise in consumer debt in recent years has been matched by an increase in federal regulation of consumer credit transactions. The Truth in Lending Act requires disclosure of credit terms; the Equal Credit Opportunity Act prohibits certain types of discrimination in the granting of credit; the Fair Credit Reporting Act gives consumers access to their credit dossiers and prohibits unapproved use of credit-rating information. After entering into a credit transaction, a consumer has certain cancellation rights and may use a procedure prescribed by the Fair Credit Billing Act to correct billing errors. Traditional debt collection practices—garnishment, wage assignments, and confession of judgment clauses—are now subject to federal regulation, as are the practices of collection agencies under the Fair Debt Collection Practices Act.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7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Carlene Consumer entered into an agreement with Rent to Buy, Inc., to rent a computer for $20 per week. The agreement also provided that if Carlene chose to rent the computer for fifty consecutive weeks, she would own it. She then asserted that the agreement was not a lease but a sale on credit subject to the Truth in Lending Act, and that Rent to Buy, Inc., violated the act by failing to state the annual percentage rate. Is Carlene correct?</w:t>
      </w:r>
    </w:p>
    <w:p w:rsidR="00A86150" w:rsidRDefault="00F714D4">
      <w:pPr>
        <w:numPr>
          <w:ilvl w:val="0"/>
          <w:numId w:val="7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Carlos, a resident of Chicago, was on a road trip to California when he heard a noise under the hood of his car. He took the car to a mechanic for repair. The mechanic overhauled the power steering unit and billed Carlos $600, which he charged on his credit card. Later that day—Carlos having driven about fifty miles—the car made the same noise, and Carlos took it to another mechanic, who diagnosed the problem as a loose exhaust pipe connection at the manifold. Carlos was billed $300 for this repair, with which he was satisfied. Carlos returned to Chicago and examined his credit card statement. What rights has he as to the $600 charge on his card?</w:t>
      </w:r>
    </w:p>
    <w:p w:rsidR="00A86150" w:rsidRDefault="00F714D4">
      <w:pPr>
        <w:numPr>
          <w:ilvl w:val="0"/>
          <w:numId w:val="7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Ken was the owner of Scrimshaw, a company that manufactured and sold carvings made on fossilized ivory. He applied for a loan from Bank. Bank found him creditworthy, but seeking additional security for repayment, it required his wife, Linda, to sign a guaranty as well. During a subsequent recession, demand for scrimshaw fell, and Ken’s business went under. Bank filed suit against both Ken and Linda. What defense has Linda?</w:t>
      </w:r>
    </w:p>
    <w:p w:rsidR="00A86150" w:rsidRDefault="00F714D4">
      <w:pPr>
        <w:numPr>
          <w:ilvl w:val="0"/>
          <w:numId w:val="7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FCRA requires that credit-reporting agencies “follow reasonable procedures to assure maximum possible accuracy of the information.” In October of 1989, Renie Guimond became aware of, and notified the credit bureau Trans Union about, inaccuracies in her credit report: that she was married (and it listed a Social Security number for this nonexistent spouse), that she was also known as Ruth Guimond, and that she had a Saks Fifth Avenue credit card. About a month later, Trans Union responded to Guimond’s letter, stating that the erroneous information had been removed. But in March of 1990, Trans Union again published the erroneous information it purportedly had removed. Guimond then requested the source of the erroneous information, to which Trans Union responded that it could not disclose the identity of the source because it did not know its source. The disputed information was eventually removed from Guimond’s file in October 1990. When Guimond sued, Trans Union defended that she had no claim because no credit was denied to her as a result of the inaccuracies in her credit file. The lower court dismissed her case; she appealed. To what damages, if any, is Guimond entitled?</w:t>
      </w:r>
    </w:p>
    <w:p w:rsidR="00A86150" w:rsidRDefault="00F714D4">
      <w:pPr>
        <w:pStyle w:val="para"/>
        <w:numPr>
          <w:ilvl w:val="0"/>
          <w:numId w:val="792"/>
        </w:numPr>
        <w:shd w:val="clear" w:color="auto" w:fill="E3EFF7"/>
        <w:spacing w:before="150" w:beforeAutospacing="0" w:after="0" w:afterAutospacing="0" w:line="439" w:lineRule="atLeast"/>
        <w:ind w:left="360" w:right="750"/>
        <w:textAlignment w:val="baseline"/>
        <w:rPr>
          <w:rFonts w:ascii="Calibri" w:hAnsi="Calibri" w:cs="Calibri"/>
          <w:color w:val="333333"/>
          <w:sz w:val="20"/>
          <w:szCs w:val="20"/>
        </w:rPr>
      </w:pPr>
      <w:r>
        <w:rPr>
          <w:rFonts w:ascii="Calibri" w:hAnsi="Calibri" w:cs="Calibri"/>
          <w:color w:val="333333"/>
          <w:sz w:val="20"/>
          <w:szCs w:val="20"/>
        </w:rPr>
        <w:t>Plaintiff incurred a medical debt of $160. She received two or three telephone calls from Defendant, the collection agency; each time she denied any money owing. Subsequently she received this letter:</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have shown that you are unwilling to work out a friendly settlement with us to clear the above debt. Our field investigator has now been instructed to make an investigation in your neighborhood and to personally call on your employer.</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immediate payment of the full amount, or a personal visit to this office, will spare you this embarrassment.</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top of the letter notes the creditor’s name and the amount of the alleged debt. The letter was signed by a “collection agent.” The envelope containing that letter presented a return address that included Defendant’s full name: “Collection Accounts Terminal, Inc.” What violations of the Fair Debt Collection Practices Act are here presented?</w:t>
      </w:r>
    </w:p>
    <w:p w:rsidR="00A86150" w:rsidRDefault="00F714D4">
      <w:pPr>
        <w:numPr>
          <w:ilvl w:val="0"/>
          <w:numId w:val="792"/>
        </w:numPr>
        <w:shd w:val="clear" w:color="auto" w:fill="E3EFF7"/>
        <w:tabs>
          <w:tab w:val="clear" w:pos="720"/>
          <w:tab w:val="num" w:pos="1440"/>
        </w:tabs>
        <w:spacing w:before="240"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Eric and Sharaveen Rush filed a claim alleging violations of the Fair Credit Reporting Act arising out of an allegedly erroneous credit report prepared by a credit bureau from information, in part, from Macy’s, the department store. The error causes the Rushes to be denied credit. Macy’s filed a motion to dismiss. Is Macy’s liable? Discuss.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793"/>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example of a loan that is a common exception to usury law is</w:t>
      </w:r>
    </w:p>
    <w:p w:rsidR="00A86150" w:rsidRDefault="00F714D4">
      <w:pPr>
        <w:pStyle w:val="ListParagraph"/>
        <w:numPr>
          <w:ilvl w:val="0"/>
          <w:numId w:val="7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business loan</w:t>
      </w:r>
    </w:p>
    <w:p w:rsidR="00A86150" w:rsidRDefault="00F714D4">
      <w:pPr>
        <w:pStyle w:val="ListParagraph"/>
        <w:numPr>
          <w:ilvl w:val="0"/>
          <w:numId w:val="7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mortgage loan</w:t>
      </w:r>
    </w:p>
    <w:p w:rsidR="00A86150" w:rsidRDefault="00F714D4">
      <w:pPr>
        <w:pStyle w:val="ListParagraph"/>
        <w:numPr>
          <w:ilvl w:val="0"/>
          <w:numId w:val="7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installment loan</w:t>
      </w:r>
    </w:p>
    <w:p w:rsidR="00A86150" w:rsidRDefault="00F714D4">
      <w:pPr>
        <w:pStyle w:val="ListParagraph"/>
        <w:numPr>
          <w:ilvl w:val="0"/>
          <w:numId w:val="7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para"/>
        <w:numPr>
          <w:ilvl w:val="0"/>
          <w:numId w:val="79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Fair Credit Reporting Act, an applicant denied credit</w:t>
      </w:r>
    </w:p>
    <w:p w:rsidR="00A86150" w:rsidRDefault="00F714D4">
      <w:pPr>
        <w:pStyle w:val="ListParagraph"/>
        <w:numPr>
          <w:ilvl w:val="0"/>
          <w:numId w:val="79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has a right to a hearing</w:t>
      </w:r>
    </w:p>
    <w:p w:rsidR="00A86150" w:rsidRDefault="00F714D4">
      <w:pPr>
        <w:pStyle w:val="ListParagraph"/>
        <w:numPr>
          <w:ilvl w:val="0"/>
          <w:numId w:val="79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has the right to be told the name and address of the credit bureau that prepared the credit report upon which denial was based</w:t>
      </w:r>
    </w:p>
    <w:p w:rsidR="00A86150" w:rsidRDefault="00F714D4">
      <w:pPr>
        <w:pStyle w:val="ListParagraph"/>
        <w:numPr>
          <w:ilvl w:val="0"/>
          <w:numId w:val="79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always must pay a fee for information regarding credit denial</w:t>
      </w:r>
    </w:p>
    <w:p w:rsidR="00A86150" w:rsidRDefault="00F714D4">
      <w:pPr>
        <w:pStyle w:val="ListParagraph"/>
        <w:numPr>
          <w:ilvl w:val="0"/>
          <w:numId w:val="79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7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Garnishment of wages</w:t>
      </w:r>
    </w:p>
    <w:p w:rsidR="00A86150" w:rsidRDefault="00F714D4">
      <w:pPr>
        <w:pStyle w:val="ListParagraph"/>
        <w:numPr>
          <w:ilvl w:val="0"/>
          <w:numId w:val="7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limited by federal law</w:t>
      </w:r>
    </w:p>
    <w:p w:rsidR="00A86150" w:rsidRDefault="00F714D4">
      <w:pPr>
        <w:pStyle w:val="ListParagraph"/>
        <w:numPr>
          <w:ilvl w:val="0"/>
          <w:numId w:val="7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involves special rules for support cases</w:t>
      </w:r>
    </w:p>
    <w:p w:rsidR="00A86150" w:rsidRDefault="00F714D4">
      <w:pPr>
        <w:pStyle w:val="ListParagraph"/>
        <w:numPr>
          <w:ilvl w:val="0"/>
          <w:numId w:val="7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 legal process where a creditor obtains a court order directing the debtor’s employer to pay a portion of the debtor’s wages directly to the creditor</w:t>
      </w:r>
    </w:p>
    <w:p w:rsidR="00A86150" w:rsidRDefault="00F714D4">
      <w:pPr>
        <w:pStyle w:val="ListParagraph"/>
        <w:numPr>
          <w:ilvl w:val="0"/>
          <w:numId w:val="7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involves all of the above</w:t>
      </w:r>
    </w:p>
    <w:p w:rsidR="00A86150" w:rsidRDefault="00F714D4">
      <w:pPr>
        <w:pStyle w:val="para"/>
        <w:numPr>
          <w:ilvl w:val="0"/>
          <w:numId w:val="7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wage assignment is</w:t>
      </w:r>
    </w:p>
    <w:p w:rsidR="00A86150" w:rsidRDefault="00F714D4">
      <w:pPr>
        <w:pStyle w:val="ListParagraph"/>
        <w:numPr>
          <w:ilvl w:val="0"/>
          <w:numId w:val="8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example of garnishment</w:t>
      </w:r>
    </w:p>
    <w:p w:rsidR="00A86150" w:rsidRDefault="00F714D4">
      <w:pPr>
        <w:pStyle w:val="ListParagraph"/>
        <w:numPr>
          <w:ilvl w:val="0"/>
          <w:numId w:val="8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example of confession of judgment</w:t>
      </w:r>
    </w:p>
    <w:p w:rsidR="00A86150" w:rsidRDefault="00F714D4">
      <w:pPr>
        <w:pStyle w:val="ListParagraph"/>
        <w:numPr>
          <w:ilvl w:val="0"/>
          <w:numId w:val="8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exception to usury law</w:t>
      </w:r>
    </w:p>
    <w:p w:rsidR="00A86150" w:rsidRDefault="00F714D4">
      <w:pPr>
        <w:pStyle w:val="ListParagraph"/>
        <w:numPr>
          <w:ilvl w:val="0"/>
          <w:numId w:val="8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agreement that a creditor may take future wages as security for a loan</w:t>
      </w:r>
    </w:p>
    <w:p w:rsidR="00A86150" w:rsidRDefault="00F714D4">
      <w:pPr>
        <w:pStyle w:val="para"/>
        <w:numPr>
          <w:ilvl w:val="0"/>
          <w:numId w:val="8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Truth-in-Truth in Lending Act requires disclosure of</w:t>
      </w:r>
    </w:p>
    <w:p w:rsidR="00A86150" w:rsidRDefault="00F714D4">
      <w:pPr>
        <w:pStyle w:val="ListParagraph"/>
        <w:numPr>
          <w:ilvl w:val="0"/>
          <w:numId w:val="8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annual percentage rate</w:t>
      </w:r>
    </w:p>
    <w:p w:rsidR="00A86150" w:rsidRDefault="00F714D4">
      <w:pPr>
        <w:pStyle w:val="ListParagraph"/>
        <w:numPr>
          <w:ilvl w:val="0"/>
          <w:numId w:val="8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borrower’s race</w:t>
      </w:r>
    </w:p>
    <w:p w:rsidR="00A86150" w:rsidRDefault="00F714D4">
      <w:pPr>
        <w:pStyle w:val="ListParagraph"/>
        <w:numPr>
          <w:ilvl w:val="0"/>
          <w:numId w:val="8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of the above</w:t>
      </w:r>
    </w:p>
    <w:p w:rsidR="00A86150" w:rsidRDefault="00F714D4">
      <w:pPr>
        <w:pStyle w:val="ListParagraph"/>
        <w:numPr>
          <w:ilvl w:val="0"/>
          <w:numId w:val="8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neither of the above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8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8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33</w:t>
      </w:r>
    </w:p>
    <w:p w:rsidR="00A86150" w:rsidRDefault="0081777E">
      <w:pPr>
        <w:pStyle w:val="Heading1"/>
        <w:shd w:val="clear" w:color="auto" w:fill="FFFFFF"/>
        <w:spacing w:before="0" w:line="240" w:lineRule="atLeast"/>
        <w:jc w:val="center"/>
        <w:textAlignment w:val="baseline"/>
      </w:pPr>
      <w:r>
        <w:pict>
          <v:rect id="_x0000_i1161"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Secured Transactions and Suretyship</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804"/>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concepts of secured transactions</w:t>
      </w:r>
    </w:p>
    <w:p w:rsidR="00A86150" w:rsidRDefault="00F714D4">
      <w:pPr>
        <w:numPr>
          <w:ilvl w:val="0"/>
          <w:numId w:val="804"/>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property subject to the security interest</w:t>
      </w:r>
    </w:p>
    <w:p w:rsidR="00A86150" w:rsidRDefault="00F714D4">
      <w:pPr>
        <w:numPr>
          <w:ilvl w:val="0"/>
          <w:numId w:val="804"/>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Creation and perfection of the security interest</w:t>
      </w:r>
    </w:p>
    <w:p w:rsidR="00A86150" w:rsidRDefault="00F714D4">
      <w:pPr>
        <w:numPr>
          <w:ilvl w:val="0"/>
          <w:numId w:val="804"/>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Priorities for claims on the security interest</w:t>
      </w:r>
    </w:p>
    <w:p w:rsidR="00A86150" w:rsidRDefault="00F714D4">
      <w:pPr>
        <w:numPr>
          <w:ilvl w:val="0"/>
          <w:numId w:val="804"/>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Rights of creditors on default</w:t>
      </w:r>
    </w:p>
    <w:p w:rsidR="00A86150" w:rsidRDefault="00F714D4">
      <w:pPr>
        <w:numPr>
          <w:ilvl w:val="0"/>
          <w:numId w:val="804"/>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concepts of suretyship</w:t>
      </w:r>
    </w:p>
    <w:p w:rsidR="00A86150" w:rsidRDefault="00F714D4">
      <w:pPr>
        <w:numPr>
          <w:ilvl w:val="0"/>
          <w:numId w:val="804"/>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relationship between surety and principal</w:t>
      </w:r>
    </w:p>
    <w:p w:rsidR="00A86150" w:rsidRDefault="00F714D4">
      <w:pPr>
        <w:numPr>
          <w:ilvl w:val="0"/>
          <w:numId w:val="804"/>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Rights among cosureties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33.1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Introduction to Secured Transactions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05"/>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most generally, the two methods by which debtors’ obligations may be secured.</w:t>
      </w:r>
    </w:p>
    <w:p w:rsidR="00A86150" w:rsidRDefault="00F714D4">
      <w:pPr>
        <w:numPr>
          <w:ilvl w:val="0"/>
          <w:numId w:val="80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source of law for personal property security.</w:t>
      </w:r>
    </w:p>
    <w:p w:rsidR="00A86150" w:rsidRDefault="00F714D4">
      <w:pPr>
        <w:numPr>
          <w:ilvl w:val="0"/>
          <w:numId w:val="80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meaning of</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security interest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and other terminology necessary to discuss the issues.</w:t>
      </w:r>
    </w:p>
    <w:p w:rsidR="00A86150" w:rsidRDefault="00F714D4">
      <w:pPr>
        <w:numPr>
          <w:ilvl w:val="0"/>
          <w:numId w:val="80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what property is subject to the security interest.</w:t>
      </w:r>
    </w:p>
    <w:p w:rsidR="00A86150" w:rsidRDefault="00F714D4">
      <w:pPr>
        <w:numPr>
          <w:ilvl w:val="0"/>
          <w:numId w:val="80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the security interest is created—”attached”—and perfected.</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Problem of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Creditors want assurances that they will be repaid by the debtor. An oral promise to pay is no security at all, and—as it is oral—it is difficult to prove. A</w:t>
      </w:r>
      <w:r>
        <w:rPr>
          <w:rStyle w:val="marginterm"/>
          <w:rFonts w:ascii="Georgia" w:hAnsi="Georgia" w:cs="Calibri"/>
          <w:color w:val="333333"/>
          <w:sz w:val="20"/>
          <w:szCs w:val="20"/>
          <w:lang w:val="en"/>
        </w:rPr>
        <w:t>signature loan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By Agreement with the Debtor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Security obtained through agreement comes in three major types: (1) personal property security (the most common form of security); (2) suretyship—the willingness of a third party to pay if the primarily obligated party does not; and (3) mortgage of real estate.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By Operation of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Security obtained through operation of law is known as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lien</w:t>
      </w:r>
      <w:r>
        <w:rPr>
          <w:rFonts w:ascii="Georgia" w:hAnsi="Georgia" w:cs="Calibri"/>
          <w:color w:val="333333"/>
          <w:sz w:val="20"/>
          <w:szCs w:val="20"/>
          <w:lang w:val="en"/>
        </w:rPr>
        <w:t>. Derived from the French for “string” or “tie,”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lien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legal hold that a creditor has over the property of another in order to secure payment or discharge an obligation.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this chapter, we take up security interests in personal property and suretyship. In the next chapter, we look at mortgages and nonconsensual liens.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Basics of Secured Transactions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33.1 "The Grasping Hand"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illustrates this scenario—the grasping</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hand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Creditor’s reach for the collateral, but the hand will not close around the collateral and take it (repossess) unless Debtor defaults.</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The Grasping Hand</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3286125"/>
            <wp:effectExtent l="0" t="0" r="0" b="9525"/>
            <wp:docPr id="175" name="Picture 45" descr="http://images.flatworldknowledge.com/mayerlawentrep/mayerlawentrep-fig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mayerlawentrep/mayerlawentrep-fig28_00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3286125"/>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Source of Law and Definitions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Source of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Article 9 of the Uniform Commercial Code (UCC) governs security interests in personal property. The UCC defines the scope of the article (here slightly truncated):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chapter applies to the following:</w:t>
      </w:r>
    </w:p>
    <w:p w:rsidR="00A86150" w:rsidRDefault="00F714D4">
      <w:pPr>
        <w:pStyle w:val="ListParagraph"/>
        <w:numPr>
          <w:ilvl w:val="0"/>
          <w:numId w:val="80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transaction, regardless of its form, that creates a security interest in personal property or fixtures by contract;</w:t>
      </w:r>
    </w:p>
    <w:p w:rsidR="00A86150" w:rsidRDefault="00F714D4">
      <w:pPr>
        <w:pStyle w:val="ListParagraph"/>
        <w:numPr>
          <w:ilvl w:val="0"/>
          <w:numId w:val="80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agricultural lien;</w:t>
      </w:r>
    </w:p>
    <w:p w:rsidR="00A86150" w:rsidRDefault="00F714D4">
      <w:pPr>
        <w:pStyle w:val="ListParagraph"/>
        <w:numPr>
          <w:ilvl w:val="0"/>
          <w:numId w:val="80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sale of accounts, chattel paper, payment intangibles, or promissory notes;</w:t>
      </w:r>
    </w:p>
    <w:p w:rsidR="00A86150" w:rsidRDefault="00F714D4">
      <w:pPr>
        <w:pStyle w:val="ListParagraph"/>
        <w:numPr>
          <w:ilvl w:val="0"/>
          <w:numId w:val="80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consignment…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Definitions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always, it is necessary to review some definitions so that communication on the topic at hand is possible. The secured transaction always involves a debtor, a secured party, a security agreement, a security interest, and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Article 9 applies to any transaction “that creates a security interest.” The UCC in Section 1-201(35) defines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security interest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as “an interest in personal property or fixtures which secures payment or performance of an obligation.”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Security agreement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 agreement that creates or provides for a security interest.” It is the contract that sets up the debtor’s duties and the creditor’s rights in event the debtor defaults.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Collateral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the property subject to a security interest or agricultural lien.”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Purchase-money security interest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we return to definitions.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Debtor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person (1) having an interest in the collateral other than a security interest or a lien; (2) a seller of accounts, chattel paper, payment intangibles, or promissory notes; or (3) a consignee.”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Obligor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Here is example 1 from the Official Comment to UCC Section 9-102: “Behnfeldt borrows money and grants a security interest in her Miata to secure the debt. Behnfeldt is a debtor and an obligor.”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Behnfeldt is a debtor because she has an interest in the car—she owns it. She is an obligor because she owes payment to the creditor. Usually the debtor is the obligor.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secondary obligor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 obligor to the extent that: (A) [the] obligation is secondary; or (b) [the person] has a right of recourse with respect to an obligation secured by collateral against the debtor, another obligor, or property of either.”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Secured party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person in whose favor a security interest is created or provided for under a security agreement,” and it includes people to whom accounts, chattel paper, payment intangibles, or promissory notes have been sold; consignors; and others under Section 9-102(a)(72).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Chattel mortgage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“a debt secured against items of personal property rather than against land, buildings and fixtures.”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Property Subject to the Security Interest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Goods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Tangible property as collateral is goods.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Goods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Fonts w:ascii="Georgia" w:hAnsi="Georgia" w:cs="Calibri"/>
          <w:color w:val="333333"/>
          <w:sz w:val="20"/>
          <w:szCs w:val="20"/>
          <w:lang w:val="en"/>
        </w:rPr>
        <w:t>Goods are divided into several subcategories; six are taken up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Consumer Goods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are “goods used or bought primarily for personal, family, or household purposes.”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Inventory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“Goods, other than farm products, held by a person for sale or lease or consisting of raw materials, works in progress, or material consumed in a business.”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Farm Products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“Crops, livestock, or other supplies produced or used in farming operations,” including aquatic goods produced in aquaculture.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Equipment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is the residual category, defined as “goods other than inventory, farm products, or consumer goods.”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Fixtures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are “goods that have become so related to particular real property that an interest in them arises under real property law.”</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Examples would be windows, furnaces, central air conditioning, and plumbing fixtures—items that, if removed, would be a cause for significant reconstruction.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Accession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are “goods that are physically united with other goods in such a manner that the identity of the original goods is lost.”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new engine installed in an old automobile is an accession.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Intangible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types of collateral are neither goods nor indispensible paper: accounts and general intangibles.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Accounts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General Intangibles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[16]</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Indispensable Paper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warehouser and is entitled to take the chairs and sell them to satisfy the obligation. The warehouser will not let Carl have the chairs without the warehouse receipt—it’s indispensable paper. There are four kinds of indispensable paper.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Chattel Paper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Chattel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another word for goods. Chattel paper is a record (paper or electronic) that demonstrates both “a monetary obligation and a security interest either in certain goods or in a lease on certain goods.”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[17]</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Documents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category includes documents of title—bills of lading and warehouse receipts are examples.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Instruments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indorsement or assignment.” “Instrument” does not include (i) investment property, (ii) letters of credit, or (iii) writings that evidence a right to payment arising out of the use of a credit or charge card or information contained on or for use with the card.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[18]</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Investment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includes securities (stock, bonds), security accounts, commodity accounts, and commodity contracts.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Securities may be certified (represented by a certificate) or uncertified (not represented by a certificate).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Other Types of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Among possible other types of collateral that may be used as security is the</w:t>
      </w:r>
      <w:r>
        <w:rPr>
          <w:rStyle w:val="marginterm"/>
          <w:rFonts w:ascii="Georgia" w:hAnsi="Georgia" w:cs="Calibri"/>
          <w:color w:val="333333"/>
          <w:sz w:val="20"/>
          <w:szCs w:val="20"/>
          <w:lang w:val="en"/>
        </w:rPr>
        <w:t>floating lien</w:t>
      </w:r>
      <w:r>
        <w:rPr>
          <w:rFonts w:ascii="Georgia" w:hAnsi="Georgia" w:cs="Calibri"/>
          <w:color w:val="333333"/>
          <w:sz w:val="20"/>
          <w:szCs w:val="20"/>
          <w:lang w:val="en"/>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A86150" w:rsidRDefault="00F714D4">
      <w:pPr>
        <w:pStyle w:val="ListParagraph"/>
        <w:numPr>
          <w:ilvl w:val="0"/>
          <w:numId w:val="807"/>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After-acquired property</w:t>
      </w:r>
      <w:r>
        <w:rPr>
          <w:rFonts w:ascii="Georgia" w:hAnsi="Georgia" w:cs="Calibri"/>
          <w:color w:val="333333"/>
          <w:sz w:val="20"/>
          <w:szCs w:val="20"/>
          <w:lang w:val="en"/>
        </w:rPr>
        <w:t>. This is property that the debtor acquires after the original deal was set up. It allows the secured party to enhance his security as the debtor (obligor) acquires more property subject to collateralization.</w:t>
      </w:r>
    </w:p>
    <w:p w:rsidR="00A86150" w:rsidRDefault="00F714D4">
      <w:pPr>
        <w:pStyle w:val="ListParagraph"/>
        <w:numPr>
          <w:ilvl w:val="0"/>
          <w:numId w:val="807"/>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Sale proceeds</w:t>
      </w:r>
      <w:r>
        <w:rPr>
          <w:rFonts w:ascii="Georgia" w:hAnsi="Georgia" w:cs="Calibri"/>
          <w:color w:val="333333"/>
          <w:sz w:val="20"/>
          <w:szCs w:val="20"/>
          <w:lang w:val="en"/>
        </w:rPr>
        <w:t>. These are proceeds from the disposition of the collateral. Carl Creditor takes a secured interest in Deborah Debtor’s sailboat. She sells the boat and buys a garden tractor. The secured interest attaches to the garden tractor.</w:t>
      </w:r>
    </w:p>
    <w:p w:rsidR="00A86150" w:rsidRDefault="00F714D4">
      <w:pPr>
        <w:pStyle w:val="para"/>
        <w:numPr>
          <w:ilvl w:val="0"/>
          <w:numId w:val="807"/>
        </w:numPr>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Future advances</w:t>
      </w:r>
      <w:r>
        <w:rPr>
          <w:rFonts w:ascii="Georgia" w:hAnsi="Georgia" w:cs="Calibri"/>
          <w:color w:val="333333"/>
          <w:sz w:val="20"/>
          <w:szCs w:val="20"/>
          <w:lang w:val="en"/>
        </w:rPr>
        <w:t>. Here the security agreement calls for the collateral to stand for both present and future advances of credit without any additional paperwork.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Here are examples of future advances:</w:t>
      </w:r>
    </w:p>
    <w:p w:rsidR="00A86150" w:rsidRDefault="00F714D4">
      <w:pPr>
        <w:pStyle w:val="ListParagraph"/>
        <w:numPr>
          <w:ilvl w:val="0"/>
          <w:numId w:val="80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A86150" w:rsidRDefault="00F714D4">
      <w:pPr>
        <w:pStyle w:val="ListParagraph"/>
        <w:numPr>
          <w:ilvl w:val="0"/>
          <w:numId w:val="80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33.2 "Tangibles and Intangibles as Collateral"</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Tangibles and Intangibles as Collateral</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5067300"/>
            <wp:effectExtent l="0" t="0" r="0" b="0"/>
            <wp:docPr id="176" name="Picture 44" descr="http://images.flatworldknowledge.com/mayerlawentrep/mayerlawentrep-fig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mayerlawentrep/mayerlawentrep-fig28_0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506730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Attachment of the Security Interest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 General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Attachment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term used to describe when a security interest becomes enforceable against the debtor with respect to the collateral.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33.1 "The Grasping Hand"</w:t>
      </w:r>
      <w:r>
        <w:rPr>
          <w:rFonts w:ascii="Georgia" w:hAnsi="Georgia" w:cs="Calibri"/>
          <w:color w:val="333333"/>
          <w:sz w:val="20"/>
          <w:szCs w:val="20"/>
          <w:lang w:val="en"/>
        </w:rPr>
        <w:t>, ”Attachment” is the outreached hand that is prepared, if the debtor defaults, to grasp the collateral.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Requirements for Attachment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Creditor Gives Value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creditor, or secured party, must give “value” for the security interest to attach. The UCC, in Section 1-204, provides that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person gives ‘value’ for rights if he acquires them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 in return for a binding commitment to extend credit or for the extension of immediately available credit whether or not drawn upon and whether or not a charge-back is provided for in the event of difficulties in collection; 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 as security for or in total or partial satisfaction of a pre-existing claim; 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 by accepting delivery pursuant to a pre-existing contract for purchase; 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(4) generally, in return for any consideration sufficient to support a simple contract.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Deborah owes Carl $3,000. She cannot repay the sum when due, so she agrees to give Carl a security interest in her automobile to the extent of $3,000 in return for an extension of the time to pay. That is sufficient value.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Debtor’s Rights in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must have rights in the collateral. Most commonly, the debtor owns the collateral (or has some ownership interest in it). The rights need not necessarily be the immediate right to possession, but they must be rights that can be conveyed.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person can’t put up as collateral property she doesn’t own.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Security Agreement (Contract) or Possession of Collateral by Creditor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“authenticating record” (the signed security agreement) is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not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required in some cases. It is not required if the debtor makes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pledge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Again,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33.1 "The Grasping Hand"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Perfection of the Security Interest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Perfection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secured party’s way of announcing the security interest to the rest of the world. It is the secured party’s claim on the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Perfection by Filing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“Except as otherwise provided…a financing statement must be filed to perfect all security agreements.”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[25]</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Financing Statement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financing statement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simple notice showing the creditor’s general interest in the collateral. It is what’s filed to establish the creditor’s “dibs.”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Contents of the Financing Statement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[26]</w:t>
      </w:r>
      <w:bookmarkStart w:id="51" w:name="fn-26"/>
      <w:bookmarkEnd w:id="51"/>
      <w:r>
        <w:rPr>
          <w:rStyle w:val="apple-converted-space"/>
          <w:rFonts w:ascii="Georgia" w:hAnsi="Georgia" w:cs="Calibri"/>
          <w:color w:val="333333"/>
          <w:sz w:val="20"/>
          <w:szCs w:val="20"/>
          <w:lang w:val="en"/>
        </w:rPr>
        <w:t> </w:t>
      </w:r>
      <w:r>
        <w:rPr>
          <w:rFonts w:ascii="Georgia" w:hAnsi="Georgia" w:cs="Calibri"/>
          <w:color w:val="333333"/>
          <w:sz w:val="20"/>
          <w:szCs w:val="20"/>
          <w:lang w:val="en"/>
        </w:rPr>
        <w:t>The financing statement must provide the following information:</w:t>
      </w:r>
    </w:p>
    <w:p w:rsidR="00A86150" w:rsidRDefault="00F714D4">
      <w:pPr>
        <w:pStyle w:val="ListParagraph"/>
        <w:numPr>
          <w:ilvl w:val="0"/>
          <w:numId w:val="80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debtor’s name. Financing statements are indexed under the debtor’s name, so getting that correct is important. Section 9-503 of the UCC describes what is meant by “name of debtor.”</w:t>
      </w:r>
    </w:p>
    <w:p w:rsidR="00A86150" w:rsidRDefault="00F714D4">
      <w:pPr>
        <w:pStyle w:val="ListParagraph"/>
        <w:numPr>
          <w:ilvl w:val="0"/>
          <w:numId w:val="80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secured party’s name.</w:t>
      </w:r>
    </w:p>
    <w:p w:rsidR="00A86150" w:rsidRDefault="00F714D4">
      <w:pPr>
        <w:pStyle w:val="ListParagraph"/>
        <w:numPr>
          <w:ilvl w:val="0"/>
          <w:numId w:val="80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“indication” of what collateral is covered by the financing statement.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[27]</w:t>
      </w:r>
      <w:bookmarkStart w:id="52" w:name="fn-27"/>
      <w:bookmarkEnd w:id="52"/>
      <w:r>
        <w:rPr>
          <w:rFonts w:ascii="Georgia" w:hAnsi="Georgia" w:cs="Calibri"/>
          <w:color w:val="333333"/>
          <w:sz w:val="20"/>
          <w:szCs w:val="20"/>
          <w:lang w:val="en"/>
        </w:rPr>
        <w:t>It may describe the collateral or it may “indicate that the financing statement covers all assets or all personal property” (such generic references are not acceptable in the security agreement but are OK in the financing statement).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[28]</w:t>
      </w:r>
      <w:bookmarkStart w:id="53" w:name="fn-28"/>
      <w:bookmarkEnd w:id="53"/>
      <w:r>
        <w:rPr>
          <w:rStyle w:val="apple-converted-space"/>
          <w:rFonts w:ascii="Georgia" w:hAnsi="Georgia" w:cs="Calibri"/>
          <w:color w:val="333333"/>
          <w:sz w:val="20"/>
          <w:szCs w:val="20"/>
          <w:lang w:val="en"/>
        </w:rPr>
        <w:t> </w:t>
      </w:r>
      <w:r>
        <w:rPr>
          <w:rFonts w:ascii="Georgia" w:hAnsi="Georgia" w:cs="Calibri"/>
          <w:color w:val="333333"/>
          <w:sz w:val="20"/>
          <w:szCs w:val="20"/>
          <w:lang w:val="en"/>
        </w:rPr>
        <w:t>If the collateral is real-property-related, covering timber to be cut or fixtures, it must include a description of the real property to which the collateral is related.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[29]</w:t>
      </w:r>
      <w:bookmarkStart w:id="54" w:name="fn-29"/>
      <w:bookmarkEnd w:id="54"/>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form of the financing statement may vary from state to state, but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33.3 "UCC-1 Financing Statement"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a typical financing statement. Minor errors or omissions on the form will not make it ineffective, but the debtor’s signature is required unless the creditor is authorized by the debtor to make the filing without a signature, which facilitates paperless filing.</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[30]</w:t>
      </w:r>
      <w:bookmarkStart w:id="55" w:name="fn-30"/>
      <w:bookmarkEnd w:id="55"/>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33.3</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UCC-1 Financing Statement</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3657600" cy="4857750"/>
            <wp:effectExtent l="0" t="0" r="0" b="0"/>
            <wp:docPr id="177" name="Picture 43" descr="http://images.flatworldknowledge.com/mayerlawentrep/mayerlawentrep-fig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mayerlawentrep/mayerlawentrep-fig28_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0" cy="485775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Duration of the Financing Statement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Generally, the financing statement is effective for five years; a</w:t>
      </w:r>
      <w:r>
        <w:rPr>
          <w:rStyle w:val="marginterm"/>
          <w:rFonts w:ascii="Georgia" w:hAnsi="Georgia" w:cs="Calibri"/>
          <w:color w:val="333333"/>
          <w:sz w:val="20"/>
          <w:szCs w:val="20"/>
          <w:lang w:val="en"/>
        </w:rPr>
        <w:t>continuation statement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may be filed within six months before the five-year expiration date, and it is good for another five years.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[31]</w:t>
      </w:r>
      <w:bookmarkStart w:id="56" w:name="fn-31"/>
      <w:bookmarkEnd w:id="56"/>
      <w:r>
        <w:rPr>
          <w:rStyle w:val="apple-converted-space"/>
          <w:rFonts w:ascii="Georgia" w:hAnsi="Georgia" w:cs="Calibri"/>
          <w:color w:val="333333"/>
          <w:sz w:val="20"/>
          <w:szCs w:val="20"/>
          <w:lang w:val="en"/>
        </w:rPr>
        <w:t> </w:t>
      </w:r>
      <w:r>
        <w:rPr>
          <w:rFonts w:ascii="Georgia" w:hAnsi="Georgia" w:cs="Calibri"/>
          <w:color w:val="333333"/>
          <w:sz w:val="20"/>
          <w:szCs w:val="20"/>
          <w:lang w:val="en"/>
        </w:rPr>
        <w:t>Manufactured-home filings are good for thirty years. When the debtor’s obligation is satisfied, the secured party files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termination statement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the collateral was consumer goods; otherwise—upon demand—the secured party sends the debtor a termination statement.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[32]</w:t>
      </w:r>
      <w:bookmarkStart w:id="57" w:name="fn-32"/>
      <w:bookmarkEnd w:id="57"/>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Debtor Moves out of 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[33]</w:t>
      </w:r>
      <w:bookmarkStart w:id="58" w:name="fn-33"/>
      <w:bookmarkEnd w:id="58"/>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Where to File the Financing Statement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most real-estate-related filings—ore to be extracted from mines, agricultural collateral, and fixtures—the place to file is with the local office that files mortgages, typically the county auditor’s office.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[34]</w:t>
      </w:r>
      <w:bookmarkStart w:id="59" w:name="fn-34"/>
      <w:bookmarkEnd w:id="59"/>
      <w:r>
        <w:rPr>
          <w:rStyle w:val="apple-converted-space"/>
          <w:rFonts w:ascii="Georgia" w:hAnsi="Georgia" w:cs="Calibri"/>
          <w:color w:val="333333"/>
          <w:sz w:val="20"/>
          <w:szCs w:val="20"/>
          <w:lang w:val="en"/>
        </w:rPr>
        <w:t> </w:t>
      </w:r>
      <w:r>
        <w:rPr>
          <w:rFonts w:ascii="Georgia" w:hAnsi="Georgia" w:cs="Calibri"/>
          <w:color w:val="333333"/>
          <w:sz w:val="20"/>
          <w:szCs w:val="20"/>
          <w:lang w:val="en"/>
        </w:rPr>
        <w:t>For other collateral, the filing place is as duly authorized by the state. In some states, that is the office of the Secretary of State; in others, it is the Department of Licensing; or it might be a private party that maintains the state’s filing system.</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[35]</w:t>
      </w:r>
      <w:bookmarkStart w:id="60" w:name="fn-35"/>
      <w:bookmarkEnd w:id="60"/>
      <w:r>
        <w:rPr>
          <w:rStyle w:val="apple-converted-space"/>
          <w:rFonts w:ascii="Georgia" w:hAnsi="Georgia" w:cs="Calibri"/>
          <w:color w:val="333333"/>
          <w:sz w:val="20"/>
          <w:szCs w:val="20"/>
          <w:lang w:val="en"/>
        </w:rPr>
        <w:t> </w:t>
      </w:r>
      <w:r>
        <w:rPr>
          <w:rFonts w:ascii="Georgia" w:hAnsi="Georgia" w:cs="Calibri"/>
          <w:color w:val="333333"/>
          <w:sz w:val="20"/>
          <w:szCs w:val="20"/>
          <w:lang w:val="en"/>
        </w:rPr>
        <w:t>The filing should be made in the state where the debtor has his or her primary residence for individuals, and in the state where the debtor is organized if it is a registered organization.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[36]</w:t>
      </w:r>
      <w:bookmarkStart w:id="61" w:name="fn-36"/>
      <w:bookmarkEnd w:id="61"/>
      <w:r>
        <w:rPr>
          <w:rStyle w:val="apple-converted-space"/>
          <w:rFonts w:ascii="Georgia" w:hAnsi="Georgia" w:cs="Calibri"/>
          <w:color w:val="333333"/>
          <w:sz w:val="20"/>
          <w:szCs w:val="20"/>
          <w:lang w:val="en"/>
        </w:rPr>
        <w:t> </w:t>
      </w:r>
      <w:r>
        <w:rPr>
          <w:rFonts w:ascii="Georgia" w:hAnsi="Georgia" w:cs="Calibri"/>
          <w:color w:val="333333"/>
          <w:sz w:val="20"/>
          <w:szCs w:val="20"/>
          <w:lang w:val="en"/>
        </w:rPr>
        <w:t>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Exemptions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[37]</w:t>
      </w:r>
      <w:bookmarkStart w:id="62" w:name="fn-37"/>
      <w:bookmarkEnd w:id="62"/>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Temporary Perfection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[38]</w:t>
      </w:r>
      <w:bookmarkStart w:id="63" w:name="fn-38"/>
      <w:bookmarkEnd w:id="63"/>
      <w:r>
        <w:rPr>
          <w:rStyle w:val="apple-converted-space"/>
          <w:rFonts w:ascii="Georgia" w:hAnsi="Georgia" w:cs="Calibri"/>
          <w:color w:val="333333"/>
          <w:sz w:val="20"/>
          <w:szCs w:val="20"/>
          <w:lang w:val="en"/>
        </w:rPr>
        <w:t> </w:t>
      </w:r>
      <w:r>
        <w:rPr>
          <w:rFonts w:ascii="Georgia" w:hAnsi="Georgia" w:cs="Calibri"/>
          <w:color w:val="333333"/>
          <w:sz w:val="20"/>
          <w:szCs w:val="20"/>
          <w:lang w:val="en"/>
        </w:rPr>
        <w:t>Similar temporary perfection covers negotiable documents or goods in possession of a bailee, and when a security certificate or instrument is delivered to the debtor for sale, exchange, presentation, collection, enforcement, renewal, or registration.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[39]</w:t>
      </w:r>
      <w:bookmarkStart w:id="64" w:name="fn-39"/>
      <w:bookmarkEnd w:id="64"/>
      <w:r>
        <w:rPr>
          <w:rStyle w:val="apple-converted-space"/>
          <w:rFonts w:ascii="Georgia" w:hAnsi="Georgia" w:cs="Calibri"/>
          <w:color w:val="333333"/>
          <w:sz w:val="20"/>
          <w:szCs w:val="20"/>
          <w:lang w:val="en"/>
        </w:rPr>
        <w:t> </w:t>
      </w:r>
      <w:r>
        <w:rPr>
          <w:rFonts w:ascii="Georgia" w:hAnsi="Georgia" w:cs="Calibri"/>
          <w:color w:val="333333"/>
          <w:sz w:val="20"/>
          <w:szCs w:val="20"/>
          <w:lang w:val="en"/>
        </w:rPr>
        <w:t>After the twenty-day period, perfection would have to be by one of the other methods mentioned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Perfection by Possession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secured party may perfect the security interest by possession where the collateral is negotiable documents, goods, instruments, money, tangible chattel paper, or certified securities.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[40]</w:t>
      </w:r>
      <w:bookmarkStart w:id="65" w:name="fn-40"/>
      <w:bookmarkEnd w:id="65"/>
      <w:r>
        <w:rPr>
          <w:rStyle w:val="apple-converted-space"/>
          <w:rFonts w:ascii="Georgia" w:hAnsi="Georgia" w:cs="Calibri"/>
          <w:color w:val="333333"/>
          <w:sz w:val="20"/>
          <w:szCs w:val="20"/>
          <w:lang w:val="en"/>
        </w:rPr>
        <w:t> </w:t>
      </w:r>
      <w:r>
        <w:rPr>
          <w:rFonts w:ascii="Georgia" w:hAnsi="Georgia" w:cs="Calibri"/>
          <w:color w:val="333333"/>
          <w:sz w:val="20"/>
          <w:szCs w:val="20"/>
          <w:lang w:val="en"/>
        </w:rPr>
        <w:t>This is a pledge of assets (mentioned in the example of the stamp collection). No security agreement is required for perfection by possession.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variation on the theme of pledge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field warehousing</w:t>
      </w:r>
      <w:r>
        <w:rPr>
          <w:rFonts w:ascii="Georgia" w:hAnsi="Georgia" w:cs="Calibri"/>
          <w:color w:val="333333"/>
          <w:sz w:val="20"/>
          <w:szCs w:val="20"/>
          <w:lang w:val="en"/>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Perfection by Control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security interest in investment property, deposit accounts, letter-of-credit rights, or electronic chattel paper may be perfected by control of the collateral.”</w:t>
      </w:r>
      <w:r>
        <w:rPr>
          <w:rFonts w:ascii="Calibri" w:hAnsi="Calibri" w:cs="Calibri"/>
          <w:color w:val="2689C6"/>
          <w:sz w:val="20"/>
          <w:szCs w:val="20"/>
          <w:vertAlign w:val="superscript"/>
          <w:lang w:val="en"/>
        </w:rPr>
        <w:t>[41]</w:t>
      </w:r>
      <w:bookmarkStart w:id="66" w:name="fn-41"/>
      <w:bookmarkEnd w:id="66"/>
      <w:r>
        <w:rPr>
          <w:rStyle w:val="apple-converted-space"/>
          <w:rFonts w:ascii="Georgia" w:hAnsi="Georgia" w:cs="Calibri"/>
          <w:color w:val="333333"/>
          <w:sz w:val="20"/>
          <w:szCs w:val="20"/>
          <w:lang w:val="en"/>
        </w:rPr>
        <w:t> </w:t>
      </w:r>
      <w:r>
        <w:rPr>
          <w:rFonts w:ascii="Georgia" w:hAnsi="Georgia" w:cs="Calibri"/>
          <w:color w:val="333333"/>
          <w:sz w:val="20"/>
          <w:szCs w:val="20"/>
          <w:lang w:val="en"/>
        </w:rPr>
        <w:t>“Control”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[42]</w:t>
      </w:r>
      <w:bookmarkStart w:id="67" w:name="fn-42"/>
      <w:bookmarkEnd w:id="67"/>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Automatic Perfection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fifth mechanism of perfection is addressed in Section 9-309 of the UCC: there are several circumstances where a security interest is perfected upon mere attachment. The most important here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automatic perfection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33.4</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Attachment and Perfection</w:t>
      </w:r>
    </w:p>
    <w:p w:rsidR="00A86150" w:rsidRDefault="00F714D4">
      <w:pPr>
        <w:shd w:val="clear" w:color="auto" w:fill="FFFFFF"/>
        <w:spacing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5486400" cy="1476375"/>
            <wp:effectExtent l="0" t="0" r="0" b="9525"/>
            <wp:docPr id="178" name="Picture 42" descr="http://images.flatworldknowledge.com/mayerlawentrep/mayerlawentrep-fig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mayerlawentrep/mayerlawentrep-fig28_00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1476375"/>
                    </a:xfrm>
                    <a:prstGeom prst="rect">
                      <a:avLst/>
                    </a:prstGeom>
                    <a:noFill/>
                    <a:ln>
                      <a:noFill/>
                    </a:ln>
                  </pic:spPr>
                </pic:pic>
              </a:graphicData>
            </a:graphic>
          </wp:inline>
        </w:drawing>
      </w:r>
    </w:p>
    <w:p w:rsidR="00A86150" w:rsidRDefault="00A86150">
      <w:pPr>
        <w:shd w:val="clear" w:color="auto" w:fill="FFFFFF"/>
        <w:spacing w:line="270" w:lineRule="atLeast"/>
        <w:textAlignment w:val="baseline"/>
        <w:rPr>
          <w:rFonts w:ascii="Calibri" w:hAnsi="Calibri" w:cs="Calibri"/>
          <w:color w:val="555555"/>
          <w:sz w:val="26"/>
          <w:szCs w:val="26"/>
          <w:lang w:val="en"/>
        </w:rPr>
      </w:pP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1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is a creditor ill-advised to be unsecured?</w:t>
      </w:r>
    </w:p>
    <w:p w:rsidR="00A86150" w:rsidRDefault="00F714D4">
      <w:pPr>
        <w:numPr>
          <w:ilvl w:val="0"/>
          <w:numId w:val="81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A86150" w:rsidRDefault="00F714D4">
      <w:pPr>
        <w:numPr>
          <w:ilvl w:val="0"/>
          <w:numId w:val="81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general rule governing where financing statements should be filed?</w:t>
      </w:r>
    </w:p>
    <w:p w:rsidR="00A86150" w:rsidRDefault="00F714D4">
      <w:pPr>
        <w:numPr>
          <w:ilvl w:val="0"/>
          <w:numId w:val="81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If the purpose of perfection is to alert the world to the creditor’s claim in the collateral, why is perfection accomplishable by possession alone in some cases?</w:t>
      </w:r>
    </w:p>
    <w:p w:rsidR="00A86150" w:rsidRDefault="00F714D4">
      <w:pPr>
        <w:numPr>
          <w:ilvl w:val="0"/>
          <w:numId w:val="81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Contractor pawned a power tool and got a $200 loan from Pawnbroker. Has there been a perfection of a security interest?</w:t>
      </w:r>
    </w:p>
    <w:p w:rsidR="00A86150" w:rsidRDefault="0081777E">
      <w:pPr>
        <w:shd w:val="clear" w:color="auto" w:fill="FFFFFF"/>
        <w:spacing w:after="0" w:line="270" w:lineRule="atLeast"/>
        <w:jc w:val="center"/>
        <w:textAlignment w:val="baseline"/>
        <w:divId w:val="1892305778"/>
        <w:rPr>
          <w:rFonts w:ascii="Calibri" w:hAnsi="Calibri" w:cs="Calibri"/>
          <w:color w:val="555555"/>
          <w:sz w:val="23"/>
          <w:szCs w:val="23"/>
        </w:rPr>
      </w:pPr>
      <w:r>
        <w:rPr>
          <w:rFonts w:ascii="Calibri" w:hAnsi="Calibri" w:cs="Calibri"/>
          <w:color w:val="555555"/>
          <w:sz w:val="23"/>
          <w:szCs w:val="23"/>
        </w:rPr>
        <w:pict>
          <v:rect id="_x0000_i1162" style="width:468pt;height:1.5pt" o:hralign="center" o:hrstd="t" o:hr="t" fillcolor="#a0a0a0"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9-102(a)(73).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9-102(12).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9-102(a)(28).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 (59).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Commercial Brokers, Inc., “Glossary of Real Estate Terms,”</w:t>
      </w:r>
      <w:hyperlink r:id="rId110" w:tgtFrame="_blank" w:history="1">
        <w:r>
          <w:rPr>
            <w:rStyle w:val="Hyperlink"/>
            <w:rFonts w:ascii="Calibri" w:hAnsi="Calibri" w:cs="Calibri"/>
            <w:color w:val="2689C6"/>
            <w:sz w:val="20"/>
            <w:szCs w:val="20"/>
          </w:rPr>
          <w:t>http://www.cbire.com/index.cfm/fuseaction/terms.list/letter/C/contentid/32302EC3-81D5-47DF-A9CBA32FAE38B22A</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9-102(44).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9-102(a)(48).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9-102(a)(48).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9-102(a)(34).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9-102(a)(33).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9-102(a)(41).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9-102(42).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9-102(11).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9-102(a)(47).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9-102(a)(49).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8-102(a)(4) and (a)(18).</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9-203(a).</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9-203(b)(2).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9-102, Official Comment 9. Here is a free example of a security agreement online: Docstoc, “Free Business Templates—Sample Open-Ended Security Agreement,”</w:t>
      </w:r>
      <w:r>
        <w:rPr>
          <w:rStyle w:val="apple-converted-space"/>
          <w:rFonts w:ascii="Calibri" w:hAnsi="Calibri" w:cs="Calibri"/>
          <w:color w:val="333333"/>
          <w:sz w:val="20"/>
          <w:szCs w:val="20"/>
        </w:rPr>
        <w:t> </w:t>
      </w:r>
      <w:hyperlink r:id="rId111" w:tgtFrame="_blank" w:history="1">
        <w:r>
          <w:rPr>
            <w:rStyle w:val="Hyperlink"/>
            <w:rFonts w:ascii="Calibri" w:hAnsi="Calibri" w:cs="Calibri"/>
            <w:color w:val="2689C6"/>
            <w:sz w:val="20"/>
            <w:szCs w:val="20"/>
          </w:rPr>
          <w:t>http://www.docstoc.com/docs/271920/Free-Business-Templates—-Sample-Open-Ended-Security-Agreement</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9-203(b)(3)(B-D).</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9-310(a).</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bookmarkStart w:id="68" w:name="ftn.fn-26"/>
      <w:bookmarkEnd w:id="68"/>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9-502, Official Comment 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bookmarkStart w:id="69" w:name="ftn.fn-27"/>
      <w:bookmarkEnd w:id="69"/>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9-502(a).</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bookmarkStart w:id="70" w:name="ftn.fn-28"/>
      <w:bookmarkEnd w:id="70"/>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bookmarkStart w:id="71" w:name="ftn.fn-29"/>
      <w:bookmarkEnd w:id="71"/>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9-502(b).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bookmarkStart w:id="72" w:name="ftn.fn-30"/>
      <w:bookmarkEnd w:id="72"/>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9-506; Uniform Commercial Code, Section, 9-502, Comment 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bookmarkStart w:id="73" w:name="ftn.fn-31"/>
      <w:bookmarkEnd w:id="73"/>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9-515.</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bookmarkStart w:id="74" w:name="ftn.fn-32"/>
      <w:bookmarkEnd w:id="74"/>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9-513.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bookmarkStart w:id="75" w:name="ftn.fn-33"/>
      <w:bookmarkEnd w:id="75"/>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bookmarkStart w:id="76" w:name="ftn.fn-34"/>
      <w:bookmarkEnd w:id="76"/>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[35]</w:t>
      </w:r>
      <w:bookmarkStart w:id="77" w:name="ftn.fn-35"/>
      <w:bookmarkEnd w:id="77"/>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9-501(a)(2).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bookmarkStart w:id="78" w:name="ftn.fn-36"/>
      <w:bookmarkEnd w:id="78"/>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9-307(b).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bookmarkStart w:id="79" w:name="ftn.fn-37"/>
      <w:bookmarkEnd w:id="79"/>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9-303.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bookmarkStart w:id="80" w:name="ftn.fn-38"/>
      <w:bookmarkEnd w:id="80"/>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9-312(e).</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bookmarkStart w:id="81" w:name="ftn.fn-39"/>
      <w:bookmarkEnd w:id="81"/>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9-312(f) and (g).</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[40]</w:t>
      </w:r>
      <w:bookmarkStart w:id="82" w:name="ftn.fn-40"/>
      <w:bookmarkEnd w:id="82"/>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bookmarkStart w:id="83" w:name="ftn.fn-41"/>
      <w:bookmarkEnd w:id="83"/>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[42]</w:t>
      </w:r>
      <w:bookmarkStart w:id="84" w:name="ftn.fn-42"/>
      <w:bookmarkEnd w:id="84"/>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8-106, Official Comment 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33.2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Priorities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11"/>
        </w:numPr>
        <w:shd w:val="clear" w:color="auto" w:fill="EAE9DC"/>
        <w:tabs>
          <w:tab w:val="clear" w:pos="720"/>
          <w:tab w:val="num" w:pos="180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general rule regarding who gets priority among competing secured parties.</w:t>
      </w:r>
    </w:p>
    <w:p w:rsidR="00A86150" w:rsidRDefault="00F714D4">
      <w:pPr>
        <w:numPr>
          <w:ilvl w:val="0"/>
          <w:numId w:val="811"/>
        </w:numPr>
        <w:shd w:val="clear" w:color="auto" w:fill="EAE9DC"/>
        <w:tabs>
          <w:tab w:val="clear" w:pos="720"/>
          <w:tab w:val="num" w:pos="180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immediate exceptions to the general rule—all involving PMSIs.</w:t>
      </w:r>
    </w:p>
    <w:p w:rsidR="00A86150" w:rsidRDefault="00F714D4">
      <w:pPr>
        <w:numPr>
          <w:ilvl w:val="0"/>
          <w:numId w:val="811"/>
        </w:numPr>
        <w:shd w:val="clear" w:color="auto" w:fill="EAE9DC"/>
        <w:tabs>
          <w:tab w:val="clear" w:pos="720"/>
          <w:tab w:val="num" w:pos="144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ideas behind the other exceptions to the general rule.</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General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Application of the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A86150" w:rsidRDefault="00F714D4">
      <w:pPr>
        <w:pStyle w:val="ListParagraph"/>
        <w:numPr>
          <w:ilvl w:val="0"/>
          <w:numId w:val="81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A86150" w:rsidRDefault="00F714D4">
      <w:pPr>
        <w:pStyle w:val="ListParagraph"/>
        <w:numPr>
          <w:ilvl w:val="0"/>
          <w:numId w:val="81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rephrase: An attached security interest prevails over other unsecured creditors (unsecured creditors lose to secured creditors, perfected or unperfected). If both parties are secured (have attached the interest), the first to perfect wins.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both parties have perfected, the first to have perfected wins.</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Exceptions to the General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three immediate exceptions to the general rule, and several other exceptions, all of which—actually—make some straightforward sense even if it sounds a little complicated to explain them.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Immediate Exceptions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repossesses the very goods the creditor had sold the debtor.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goods (other than inventory or livestock).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Official Comment to this UCC section observes that “in most cases, priority will be over a security interest asserted under an after-acquired property clause.”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inventory.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fixtures.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Other Exceptions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have noted the three immediate exceptions to the general rule that “the firstest with the mostest” prevails. There are some other exceptions.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Think about how these other exceptions might arise: who might want to take property subject to a security agreement (not including thieves)? That is, Debtor gives Creditor a security interest in, say, goods, while retaining possession. First,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buyers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various sorts might want the goods if they paid for them; they usually win. Second,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lien creditors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might want the goods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lien creditor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one whose claim is based on operation of law—involuntarily against Debtor, and including a trustee in bankruptcy—as opposed to one whose claim is based on agreement); lien creditors may be statutory (landlords, mechanics, bailees) or judicial. Third,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bankruptcy trustee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First we look at buyers who take priority over, or free of, unperfected security interests. Buyers who take delivery of many types of collateral covered by an</w:t>
      </w:r>
      <w:r>
        <w:rPr>
          <w:rStyle w:val="Emphasis"/>
          <w:rFonts w:ascii="Georgia" w:hAnsi="Georgia" w:cs="Calibri"/>
          <w:color w:val="333333"/>
          <w:sz w:val="20"/>
          <w:szCs w:val="20"/>
          <w:lang w:val="en"/>
        </w:rPr>
        <w:t>unperfected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security interest win out over the hapless secured party who failed to perfect if they give value and don’t know of the security interest or agricultural lien.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buyer who doesn’t give value or who knows of the security interest will not win out, nor will a buyer prevail if the seller’s creditor files a financing statement before or within twenty days after the debtor receives delivery of the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we look at buyers who take priority over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perfected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security interests. Sometimes people who buy things even covered by a perfected security interest win out (the perfected secured party loses).</w:t>
      </w:r>
    </w:p>
    <w:p w:rsidR="00A86150" w:rsidRDefault="00F714D4">
      <w:pPr>
        <w:pStyle w:val="ListParagraph"/>
        <w:numPr>
          <w:ilvl w:val="0"/>
          <w:numId w:val="813"/>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Buyers in the ordinary course of business</w:t>
      </w:r>
      <w:r>
        <w:rPr>
          <w:rFonts w:ascii="Georgia" w:hAnsi="Georgia" w:cs="Calibri"/>
          <w:color w:val="333333"/>
          <w:sz w:val="20"/>
          <w:szCs w:val="20"/>
          <w:lang w:val="en"/>
        </w:rPr>
        <w:t>. “A buyer in the ordinary course of business, other than [one buying farm products from somebody engaged in farming] takes free of a security interest created by the buyer’s seller, even if the security interest is perfected and the buyer knows [it].”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Here the buyer is usually purchasing inventory collateral, and it’s OK if he knows the inventory is covered by a security interest, but it’s not OK if he knows “that the sale violates a term in an agreement with the secured party.”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A86150" w:rsidRDefault="00F714D4">
      <w:pPr>
        <w:pStyle w:val="ListParagraph"/>
        <w:numPr>
          <w:ilvl w:val="0"/>
          <w:numId w:val="81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“value” issue is interestingly presented in the</w:t>
      </w:r>
      <w:r>
        <w:rPr>
          <w:rStyle w:val="Emphasis"/>
          <w:rFonts w:ascii="Georgia" w:hAnsi="Georgia" w:cs="Calibri"/>
          <w:color w:val="333333"/>
          <w:sz w:val="20"/>
          <w:szCs w:val="20"/>
          <w:lang w:val="en"/>
        </w:rPr>
        <w:t>Nicolosi</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w:t>
      </w:r>
      <w:r>
        <w:rPr>
          <w:rFonts w:ascii="Georgia" w:hAnsi="Georgia" w:cs="Calibri"/>
          <w:color w:val="2689C6"/>
          <w:sz w:val="20"/>
          <w:szCs w:val="20"/>
          <w:lang w:val="en"/>
        </w:rPr>
        <w:t>Section 33.5 "Cases"</w:t>
      </w:r>
      <w:r>
        <w:rPr>
          <w:rFonts w:ascii="Georgia" w:hAnsi="Georgia" w:cs="Calibri"/>
          <w:color w:val="333333"/>
          <w:sz w:val="20"/>
          <w:szCs w:val="20"/>
          <w:lang w:val="en"/>
        </w:rPr>
        <w:t>).</w:t>
      </w:r>
    </w:p>
    <w:p w:rsidR="00A86150" w:rsidRDefault="00F714D4">
      <w:pPr>
        <w:pStyle w:val="ListParagraph"/>
        <w:numPr>
          <w:ilvl w:val="0"/>
          <w:numId w:val="813"/>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Buyers of farm products</w:t>
      </w:r>
      <w:r>
        <w:rPr>
          <w:rFonts w:ascii="Georgia" w:hAnsi="Georgia" w:cs="Calibri"/>
          <w:color w:val="333333"/>
          <w:sz w:val="20"/>
          <w:szCs w:val="20"/>
          <w:lang w:val="en"/>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some other exceptions, beyond our scope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Lien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Persons (including bankruptcy trustees) who become lien creditors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before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security interest is perfected win out—the unperfected security interest is subordinate to lien creditors. Persons who become lien creditors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after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security interest is perfected lose (subject to some nuances in situations where the lien arises between attachment by the creditor and the filing, and depending upon the type of security interest and the type of collateral).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Bankruptcy Trustee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what extent can the bankruptcy trustee take property previously encumbered by a security interest? It depends. If the security interest was not perfected at the time of filing for bankruptcy, the trustee can take the collateral.</w:t>
      </w:r>
      <w:r>
        <w:rPr>
          <w:rFonts w:ascii="Calibri" w:hAnsi="Calibri" w:cs="Calibri"/>
          <w:color w:val="2689C6"/>
          <w:sz w:val="20"/>
          <w:szCs w:val="20"/>
          <w:vertAlign w:val="superscript"/>
          <w:lang w:val="en"/>
        </w:rPr>
        <w:t>[11]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There are further bankruptcy details beyond our scope here, but the short of it is that sometimes creditors who think they have a valid, enforceable security interest find out that the bankruptcy trustee has snatched the collateral away from them.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Deposit accounts perfected by control</w:t>
      </w:r>
      <w:r>
        <w:rPr>
          <w:rFonts w:ascii="Georgia" w:hAnsi="Georgia" w:cs="Calibri"/>
          <w:color w:val="333333"/>
          <w:sz w:val="20"/>
          <w:szCs w:val="20"/>
          <w:lang w:val="en"/>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1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general rule regarding priorities for the right to repossess goods encumbered by a security interest when there are competing creditors clamoring for that right?</w:t>
      </w:r>
    </w:p>
    <w:p w:rsidR="00A86150" w:rsidRDefault="00F714D4">
      <w:pPr>
        <w:numPr>
          <w:ilvl w:val="0"/>
          <w:numId w:val="81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does it make good sense to allow purchase-money security creditors in (1) inventory, (2) equipment, and (3) fixtures priority over creditors who perfected before the PMSI was perfected?</w:t>
      </w:r>
    </w:p>
    <w:p w:rsidR="00A86150" w:rsidRDefault="00F714D4">
      <w:pPr>
        <w:numPr>
          <w:ilvl w:val="0"/>
          <w:numId w:val="81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buyer in the ordinary course of business is usually one buying inventory. Why does it make sense that such a buyer should take free of a security interest created by his seller?</w:t>
      </w:r>
    </w:p>
    <w:p w:rsidR="00A86150" w:rsidRDefault="0081777E">
      <w:pPr>
        <w:spacing w:after="0"/>
        <w:jc w:val="center"/>
        <w:divId w:val="1093741130"/>
      </w:pPr>
      <w:r>
        <w:pict>
          <v:rect id="_x0000_i1163"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9-322(a)(2).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9-322(a)(1).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9-324(a).</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9-324(b).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9-317(b).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9-320(a).</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 Comment 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9-317(a)(2)(B) and 9-317(e).</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9-333.</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544 (Bankruptcy Act).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United States Code, Section 547.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9-327(1).</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9-328, Official Comment 3 and 4.</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33.3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Rights of Creditor on Default and Disposition after Repossession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15"/>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that the creditor may sue to collect the debt.</w:t>
      </w:r>
    </w:p>
    <w:p w:rsidR="00A86150" w:rsidRDefault="00F714D4">
      <w:pPr>
        <w:numPr>
          <w:ilvl w:val="0"/>
          <w:numId w:val="81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that more commonly the creditor will realize on the collateral—repossess it.</w:t>
      </w:r>
    </w:p>
    <w:p w:rsidR="00A86150" w:rsidRDefault="00F714D4">
      <w:pPr>
        <w:numPr>
          <w:ilvl w:val="0"/>
          <w:numId w:val="81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collateral may be disposed of upon repossession: by sale or by strict foreclosure.</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Rights of Creditor on Default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Upon default, the creditor must make an election: to sue, or to repossess.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Resort to Judicial Process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Repossession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9-609 of the Uniform Commercial Code (UCC) permits the secured party to take possession of the collateral on default (unless the agreement specifies otherwise):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After default, a secured party may (1) take possession of the collateral; and (2) without removal, may render equipment unusable and dispose of collateral on a debtor’s premises.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 A secured party may proceed under subsection (a): (1) pursuant to judicial process; or (2) without judicial process, if it proceeds without breach of the peace.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Pantoja-Cahue v. Ford Motor Credit Co.</w:t>
      </w:r>
      <w:r>
        <w:rPr>
          <w:rFonts w:ascii="Georgia" w:hAnsi="Georgia" w:cs="Calibri"/>
          <w:color w:val="333333"/>
          <w:sz w:val="20"/>
          <w:szCs w:val="20"/>
          <w:lang w:val="en"/>
        </w:rPr>
        <w:t>, a case discussing repossession,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33.5 "Cases"</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Fonts w:ascii="Georgia" w:hAnsi="Georgia" w:cs="Calibri"/>
          <w:color w:val="333333"/>
          <w:sz w:val="20"/>
          <w:szCs w:val="20"/>
          <w:lang w:val="en"/>
        </w:rPr>
        <w:t>Rendering the equipment unusable would mean disassembling some critical part of the machine—letting it sit there until an auction is set up on the premises.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Disposition after Repossession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repossession, the creditor has two options: sell the collateral or accept it in satisfaction of the debt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33.5 "Disposition after Repossession"</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33.5</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Disposition after Repossession</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2000250"/>
            <wp:effectExtent l="0" t="0" r="0" b="0"/>
            <wp:docPr id="181" name="Picture 46" descr="http://images.flatworldknowledge.com/mayerlawentrep/mayerlawentrep-fig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mayerlawentrep/mayerlawentrep-fig28_00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200025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Most frequently the collateral is auctioned off.</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Strict Foreclosure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resale can be a bother (or the collateral is appreciating in value), the secured creditor may wish simply to accept the collateral in full satisfaction or partial satisfaction of the debt, as permitted in UCC Section 9-620(a). This is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strict foreclosure</w:t>
      </w:r>
      <w:r>
        <w:rPr>
          <w:rFonts w:ascii="Georgia" w:hAnsi="Georgia" w:cs="Calibri"/>
          <w:color w:val="333333"/>
          <w:sz w:val="20"/>
          <w:szCs w:val="20"/>
          <w:lang w:val="en"/>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Fonts w:ascii="Georgia" w:hAnsi="Georgia" w:cs="Calibri"/>
          <w:color w:val="2689C6"/>
          <w:sz w:val="20"/>
          <w:szCs w:val="20"/>
          <w:lang w:val="en"/>
        </w:rPr>
        <w:t>Figure 33.5 "Disposition after Repossession"</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Foreclosure on Intangible Collateral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always in parsing the UCC here, some of the details and nuances are necessarily omitted because of lack of space or because a more detailed analysis is beyond this book’s scope.</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Although a creditor could sue the debtor, get a judgment against it, and collect on the judgment, usually the creditor repossesses the collateral. Why is repossession the preferred method of realizing on the security?</w:t>
      </w:r>
    </w:p>
    <w:p w:rsidR="00A86150" w:rsidRDefault="00F714D4">
      <w:pPr>
        <w:numPr>
          <w:ilvl w:val="0"/>
          <w:numId w:val="8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is repossession allowed</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so long as</w:t>
      </w:r>
      <w:r>
        <w:rPr>
          <w:rStyle w:val="apple-converted-space"/>
          <w:rFonts w:ascii="Calibri" w:hAnsi="Calibri" w:cs="Calibri"/>
          <w:color w:val="333333"/>
          <w:sz w:val="20"/>
          <w:szCs w:val="20"/>
          <w:lang w:val="en"/>
        </w:rPr>
        <w:t> </w:t>
      </w:r>
      <w:r>
        <w:rPr>
          <w:rFonts w:ascii="Calibri" w:hAnsi="Calibri" w:cs="Calibri"/>
          <w:color w:val="333333"/>
          <w:sz w:val="20"/>
          <w:szCs w:val="20"/>
          <w:lang w:val="en"/>
        </w:rPr>
        <w:t>it can be done without a breach of the peace?</w:t>
      </w:r>
    </w:p>
    <w:p w:rsidR="00A86150" w:rsidRDefault="00F714D4">
      <w:pPr>
        <w:numPr>
          <w:ilvl w:val="0"/>
          <w:numId w:val="8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 what circumstances is strict foreclosure not allowed?</w:t>
      </w:r>
    </w:p>
    <w:p w:rsidR="00A86150" w:rsidRDefault="0081777E">
      <w:pPr>
        <w:spacing w:after="0"/>
        <w:jc w:val="center"/>
        <w:divId w:val="1727294463"/>
      </w:pPr>
      <w:r>
        <w:pict>
          <v:rect id="_x0000_i1164"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Here is an example of sophisticated online advertising for a repossession firm: SSR, “Southern &amp; Central Coast California Repossession Services,”</w:t>
      </w:r>
      <w:hyperlink r:id="rId113" w:tgtFrame="_blank" w:history="1">
        <w:r>
          <w:rPr>
            <w:rStyle w:val="Hyperlink"/>
            <w:rFonts w:ascii="Calibri" w:hAnsi="Calibri" w:cs="Calibri"/>
            <w:color w:val="2689C6"/>
            <w:sz w:val="20"/>
            <w:szCs w:val="20"/>
          </w:rPr>
          <w:t>http://www.simonsrecovery.com/index.htm</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9-609(a)(2), Official Comment 6.</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9-611; Uniform Commercial Code, Section 9-610.</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9-620(e); Uniform Commercial Code, Section 9-624.</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1-203.</w:t>
      </w:r>
    </w:p>
    <w:p w:rsidR="00A86150" w:rsidRDefault="00F714D4">
      <w:pPr>
        <w:rPr>
          <w:rFonts w:ascii="Calibri" w:eastAsia="Times New Roman" w:hAnsi="Calibri" w:cs="Calibri"/>
          <w:color w:val="333333"/>
          <w:sz w:val="20"/>
          <w:szCs w:val="20"/>
        </w:rPr>
      </w:pPr>
      <w:r>
        <w:rPr>
          <w:rFonts w:ascii="Calibri"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33.4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Suretyship</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17"/>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a surety is and why sureties are used in commercial transactions.</w:t>
      </w:r>
    </w:p>
    <w:p w:rsidR="00A86150" w:rsidRDefault="00F714D4">
      <w:pPr>
        <w:numPr>
          <w:ilvl w:val="0"/>
          <w:numId w:val="81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suretyships are created.</w:t>
      </w:r>
    </w:p>
    <w:p w:rsidR="00A86150" w:rsidRDefault="00F714D4">
      <w:pPr>
        <w:numPr>
          <w:ilvl w:val="0"/>
          <w:numId w:val="81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general duty owed by the surety to the creditor, and the surety’s defenses.</w:t>
      </w:r>
    </w:p>
    <w:p w:rsidR="00A86150" w:rsidRDefault="00F714D4">
      <w:pPr>
        <w:numPr>
          <w:ilvl w:val="0"/>
          <w:numId w:val="81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principal obligor’s duty to the surety, and the surety’s rights against the surety.</w:t>
      </w:r>
    </w:p>
    <w:p w:rsidR="00A86150" w:rsidRDefault="00F714D4">
      <w:pPr>
        <w:numPr>
          <w:ilvl w:val="0"/>
          <w:numId w:val="817"/>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rights among cosureties.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Definition, Types of Sureties, and Creation of the Suretyship</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Definition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surety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one who promises to pay or perform an obligation owed by the</w:t>
      </w:r>
      <w:r>
        <w:rPr>
          <w:rStyle w:val="marginterm"/>
          <w:rFonts w:ascii="Georgia" w:hAnsi="Georgia" w:cs="Calibri"/>
          <w:color w:val="333333"/>
          <w:sz w:val="20"/>
          <w:szCs w:val="20"/>
          <w:lang w:val="en"/>
        </w:rPr>
        <w:t>principal debtor</w:t>
      </w:r>
      <w:r>
        <w:rPr>
          <w:rFonts w:ascii="Georgia" w:hAnsi="Georgia" w:cs="Calibri"/>
          <w:color w:val="333333"/>
          <w:sz w:val="20"/>
          <w:szCs w:val="20"/>
          <w:lang w:val="en"/>
        </w:rPr>
        <w:t>,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guarantor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also is one who guarantees an obligation of another, and for practical purposes, therefore,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guarantor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usually synonymous with</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surety</w:t>
      </w:r>
      <w:r>
        <w:rPr>
          <w:rFonts w:ascii="Georgia" w:hAnsi="Georgia" w:cs="Calibri"/>
          <w:color w:val="333333"/>
          <w:sz w:val="20"/>
          <w:szCs w:val="20"/>
          <w:lang w:val="en"/>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surety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used here to encompass both.</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33.6</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Defenses of Principal Debtor and Surety</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2905125"/>
            <wp:effectExtent l="0" t="0" r="0" b="9525"/>
            <wp:docPr id="183" name="Picture 47" descr="http://images.flatworldknowledge.com/mayerlawentrep/mayerlawentrep-fig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mayerlawentrep/mayerlawentrep-fig28_00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2905125"/>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Types of Suretyship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w:t>
      </w:r>
      <w:r>
        <w:rPr>
          <w:rStyle w:val="marginterm"/>
          <w:rFonts w:ascii="Georgia" w:hAnsi="Georgia" w:cs="Calibri"/>
          <w:color w:val="333333"/>
          <w:sz w:val="20"/>
          <w:szCs w:val="20"/>
          <w:lang w:val="en"/>
        </w:rPr>
        <w:t>performance bond</w:t>
      </w:r>
      <w:r>
        <w:rPr>
          <w:rFonts w:ascii="Georgia" w:hAnsi="Georgia" w:cs="Calibri"/>
          <w:color w:val="333333"/>
          <w:sz w:val="20"/>
          <w:szCs w:val="20"/>
          <w:lang w:val="en"/>
        </w:rPr>
        <w:t>. A judge will often require that a criminal defendant put up a bond guaranteeing his appearance in court—that’s a type of suretyship where the bail-bonder is the surety—or that a plaintiff put up a bond indemnifying the defendant for the costs of delays caused by the lawsuit—a</w:t>
      </w:r>
      <w:r>
        <w:rPr>
          <w:rStyle w:val="marginterm"/>
          <w:rFonts w:ascii="Georgia" w:hAnsi="Georgia" w:cs="Calibri"/>
          <w:color w:val="333333"/>
          <w:sz w:val="20"/>
          <w:szCs w:val="20"/>
          <w:lang w:val="en"/>
        </w:rPr>
        <w:t>judicial bond</w:t>
      </w:r>
      <w:r>
        <w:rPr>
          <w:rFonts w:ascii="Georgia" w:hAnsi="Georgia" w:cs="Calibri"/>
          <w:color w:val="333333"/>
          <w:sz w:val="20"/>
          <w:szCs w:val="20"/>
          <w:lang w:val="en"/>
        </w:rPr>
        <w:t>. A bank will take out a bond on its employees in case they steal money from the bank—the bank teller, in this case, is the principal debtor (a</w:t>
      </w:r>
      <w:r>
        <w:rPr>
          <w:rStyle w:val="marginterm"/>
          <w:rFonts w:ascii="Georgia" w:hAnsi="Georgia" w:cs="Calibri"/>
          <w:color w:val="333333"/>
          <w:sz w:val="20"/>
          <w:szCs w:val="20"/>
          <w:lang w:val="en"/>
        </w:rPr>
        <w:t>fidelity bond</w:t>
      </w:r>
      <w:r>
        <w:rPr>
          <w:rFonts w:ascii="Georgia" w:hAnsi="Georgia" w:cs="Calibri"/>
          <w:color w:val="333333"/>
          <w:sz w:val="20"/>
          <w:szCs w:val="20"/>
          <w:lang w:val="en"/>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Creation of the Suretyship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after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Creditor has already extended credit, new consideration would be required (absent application of the doctrine of promissory estoppel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Fonts w:ascii="Georgia" w:hAnsi="Georgia" w:cs="Calibri"/>
          <w:color w:val="333333"/>
          <w:sz w:val="20"/>
          <w:szCs w:val="20"/>
          <w:lang w:val="en"/>
        </w:rPr>
        <w:t>). You may recall from the chapters on contracts that the promise by one person to pay or perform for the debts or defaults of another must be evidenced by a writing under the statute of frauds (subject to the “main purpose” exception).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Duties and Rights of the Surety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Duties of the Surety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Fidelity and Deposit Co. of Maryland v. Douglas Asphalt Co.,</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33.5 "Cases"</w:t>
      </w:r>
      <w:r>
        <w:rPr>
          <w:rFonts w:ascii="Georgia" w:hAnsi="Georgia" w:cs="Calibri"/>
          <w:color w:val="333333"/>
          <w:sz w:val="20"/>
          <w:szCs w:val="20"/>
          <w:lang w:val="en"/>
        </w:rPr>
        <w:t>, is typical.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Rights of the Surety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surety has four main rights stemming from its obligation to answer for the debt or default of the principal debtor.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Exoneration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at the time a surety’s obligation has matured, the principal can satisfy the obligation but refuses to do so, the surety is entitled to</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exoneration</w:t>
      </w:r>
      <w:r>
        <w:rPr>
          <w:rFonts w:ascii="Georgia" w:hAnsi="Georgia" w:cs="Calibri"/>
          <w:color w:val="333333"/>
          <w:sz w:val="20"/>
          <w:szCs w:val="20"/>
          <w:lang w:val="en"/>
        </w:rPr>
        <w:t>—a court order requiring the principal to perform. It would be inequitable to force the surety to perform and then to have to seek</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reimbursement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from the principal if all along the principal is able to perform.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Reimbursement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surety must pay the creditor because the principal has defaulted, the principal is obligated to reimburse the surety. The amount required to be reimbursed includes the surety’s reasonable, good-faith outlays, including interest and legal fees.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Subrogation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subrogation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Contribution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Two or more sureties who are bound to answer for the principal’s default and who should share between them the loss caused by the default are known as</w:t>
      </w:r>
      <w:r>
        <w:rPr>
          <w:rStyle w:val="marginterm"/>
          <w:rFonts w:ascii="Georgia" w:hAnsi="Georgia" w:cs="Calibri"/>
          <w:color w:val="333333"/>
          <w:sz w:val="20"/>
          <w:szCs w:val="20"/>
          <w:lang w:val="en"/>
        </w:rPr>
        <w:t>cosureties</w:t>
      </w:r>
      <w:r>
        <w:rPr>
          <w:rFonts w:ascii="Georgia" w:hAnsi="Georgia" w:cs="Calibri"/>
          <w:color w:val="333333"/>
          <w:sz w:val="20"/>
          <w:szCs w:val="20"/>
          <w:lang w:val="en"/>
        </w:rPr>
        <w:t>. A surety who in performing its own obligation to the creditor winds up paying more than its proportionate share is entitled to</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contribution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from the cosureties.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Defenses of the Parties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principal and the surety may have defenses to paying.</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Defenses of the Principal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principal debtor may avail itself of any standard contract defenses as against the creditor, including impossibility, illegality, incapacity, fraud,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of the main reasons creditors want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Defenses of the Surety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Release of the principal</w:t>
      </w:r>
      <w:r>
        <w:rPr>
          <w:rFonts w:ascii="Georgia" w:hAnsi="Georgia" w:cs="Calibri"/>
          <w:color w:val="333333"/>
          <w:sz w:val="20"/>
          <w:szCs w:val="20"/>
          <w:lang w:val="en"/>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Modification of the contract</w:t>
      </w:r>
      <w:r>
        <w:rPr>
          <w:rFonts w:ascii="Georgia" w:hAnsi="Georgia" w:cs="Calibri"/>
          <w:color w:val="333333"/>
          <w:sz w:val="20"/>
          <w:szCs w:val="20"/>
          <w:lang w:val="en"/>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Creditor’s failure to perfect</w:t>
      </w:r>
      <w:r>
        <w:rPr>
          <w:rFonts w:ascii="Georgia" w:hAnsi="Georgia" w:cs="Calibri"/>
          <w:color w:val="333333"/>
          <w:sz w:val="20"/>
          <w:szCs w:val="20"/>
          <w:lang w:val="en"/>
        </w:rPr>
        <w:t>. A creditor who fails to file a financing statement or record a mortgage risks losing the security for the loan and might also inadvertently release a surety, but the failure of the creditor to resort first to collateral is no defense.</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Statute of frauds</w:t>
      </w:r>
      <w:r>
        <w:rPr>
          <w:rFonts w:ascii="Georgia" w:hAnsi="Georgia" w:cs="Calibri"/>
          <w:color w:val="333333"/>
          <w:sz w:val="20"/>
          <w:szCs w:val="20"/>
          <w:lang w:val="en"/>
        </w:rPr>
        <w:t>. Suretyship contracts are among those required to be evidenced by some writing under the statute of frauds, and failure to do so may discharge the surety from liability.</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Creditor’s failure to inform surety of material facts within creditor’s knowledge affecting debtor’s ability to perform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(e.g., that debtor has defaulted several times before).</w:t>
      </w:r>
    </w:p>
    <w:p w:rsidR="00A86150" w:rsidRDefault="00F714D4">
      <w:pPr>
        <w:pStyle w:val="ListParagraph"/>
        <w:numPr>
          <w:ilvl w:val="0"/>
          <w:numId w:val="818"/>
        </w:numPr>
        <w:shd w:val="clear" w:color="auto" w:fill="FFFFFF"/>
        <w:spacing w:after="24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General contract defenses</w:t>
      </w:r>
      <w:r>
        <w:rPr>
          <w:rFonts w:ascii="Georgia" w:hAnsi="Georgia" w:cs="Calibri"/>
          <w:color w:val="333333"/>
          <w:sz w:val="20"/>
          <w:szCs w:val="20"/>
          <w:lang w:val="en"/>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33.6 "Defenses of Principal Debtor and Surety"</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following are defenses of principal debtor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only:</w:t>
      </w:r>
    </w:p>
    <w:p w:rsidR="00A86150" w:rsidRDefault="00F714D4">
      <w:pPr>
        <w:pStyle w:val="ListParagraph"/>
        <w:numPr>
          <w:ilvl w:val="0"/>
          <w:numId w:val="81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Death or incapacity of principal debtor</w:t>
      </w:r>
    </w:p>
    <w:p w:rsidR="00A86150" w:rsidRDefault="00F714D4">
      <w:pPr>
        <w:pStyle w:val="ListParagraph"/>
        <w:numPr>
          <w:ilvl w:val="0"/>
          <w:numId w:val="81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Bankruptcy of principal debtor</w:t>
      </w:r>
    </w:p>
    <w:p w:rsidR="00A86150" w:rsidRDefault="00F714D4">
      <w:pPr>
        <w:pStyle w:val="ListParagraph"/>
        <w:numPr>
          <w:ilvl w:val="0"/>
          <w:numId w:val="81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Principal debtor’s setoffs against creditor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following are defenses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both</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principal debtor and surety:</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Material breach by creditor</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Lack of mutual assent, failure of consideration</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Creditor’s fraud, duress, or misrepresentation of debtor</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Impossibility or illegality of performance</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Material and fraudulent alteration of the contract</w:t>
      </w:r>
    </w:p>
    <w:p w:rsidR="00A86150" w:rsidRDefault="00F714D4">
      <w:pPr>
        <w:pStyle w:val="ListParagraph"/>
        <w:numPr>
          <w:ilvl w:val="0"/>
          <w:numId w:val="820"/>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Statute of limitations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following are defenses of surety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only</w:t>
      </w:r>
      <w:r>
        <w:rPr>
          <w:rFonts w:ascii="Georgia" w:hAnsi="Georgia" w:cs="Calibri"/>
          <w:color w:val="333333"/>
          <w:sz w:val="20"/>
          <w:szCs w:val="20"/>
          <w:lang w:val="en"/>
        </w:rPr>
        <w:t>:</w:t>
      </w:r>
    </w:p>
    <w:p w:rsidR="00A86150" w:rsidRDefault="00F714D4">
      <w:pPr>
        <w:pStyle w:val="para"/>
        <w:numPr>
          <w:ilvl w:val="0"/>
          <w:numId w:val="821"/>
        </w:numPr>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Fraud or duress by creditor on surety</w:t>
      </w:r>
    </w:p>
    <w:p w:rsidR="00A86150" w:rsidRDefault="00F714D4">
      <w:pPr>
        <w:pStyle w:val="ListParagraph"/>
        <w:numPr>
          <w:ilvl w:val="1"/>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Illegality of suretyship contract</w:t>
      </w:r>
    </w:p>
    <w:p w:rsidR="00A86150" w:rsidRDefault="00F714D4">
      <w:pPr>
        <w:pStyle w:val="ListParagraph"/>
        <w:numPr>
          <w:ilvl w:val="1"/>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Surety’s incapacity</w:t>
      </w:r>
    </w:p>
    <w:p w:rsidR="00A86150" w:rsidRDefault="00F714D4">
      <w:pPr>
        <w:pStyle w:val="ListParagraph"/>
        <w:numPr>
          <w:ilvl w:val="1"/>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Failure of consideration for surety contract (unless excused)</w:t>
      </w:r>
    </w:p>
    <w:p w:rsidR="00A86150" w:rsidRDefault="00F714D4">
      <w:pPr>
        <w:pStyle w:val="ListParagraph"/>
        <w:numPr>
          <w:ilvl w:val="1"/>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Statute of frauds</w:t>
      </w:r>
    </w:p>
    <w:p w:rsidR="00A86150" w:rsidRDefault="00F714D4">
      <w:pPr>
        <w:pStyle w:val="para"/>
        <w:numPr>
          <w:ilvl w:val="1"/>
          <w:numId w:val="821"/>
        </w:numPr>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Acts of creditor or debtor materially affecting surety’s obligations:</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Refusal by creditor to accept tender of performance</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Release of principal debtor without surety’s consent</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Release of surety</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Release, surrender, destruction, or impairment of collateral</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Extension of time on principal debtor’s obligation</w:t>
      </w:r>
    </w:p>
    <w:p w:rsidR="00A86150" w:rsidRDefault="00F714D4">
      <w:pPr>
        <w:pStyle w:val="ListParagraph"/>
        <w:numPr>
          <w:ilvl w:val="2"/>
          <w:numId w:val="821"/>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Modification of debtor’s duties, place, amount, or manner of debtor’s obligations</w:t>
      </w:r>
    </w:p>
    <w:p w:rsidR="00A86150" w:rsidRDefault="00F714D4">
      <w:pPr>
        <w:pStyle w:val="Heading3"/>
        <w:shd w:val="clear" w:color="auto" w:fill="39892F"/>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2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isn’t collateral put up by the debtor sufficient security for the creditor—why is a surety often required?</w:t>
      </w:r>
    </w:p>
    <w:p w:rsidR="00A86150" w:rsidRDefault="00F714D4">
      <w:pPr>
        <w:numPr>
          <w:ilvl w:val="0"/>
          <w:numId w:val="82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can it be said that sureties do not anticipate financial losses like insurance companies do? What’s the difference, and how does the surety avoid losses?</w:t>
      </w:r>
    </w:p>
    <w:p w:rsidR="00A86150" w:rsidRDefault="00F714D4">
      <w:pPr>
        <w:numPr>
          <w:ilvl w:val="0"/>
          <w:numId w:val="82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does the creditor’s failure to perfect a security interest discharge the surety from liability? Why doesn’t failure of the creditor to resort first to perfected collateral discharge the surety?</w:t>
      </w:r>
    </w:p>
    <w:p w:rsidR="00A86150" w:rsidRDefault="00F714D4">
      <w:pPr>
        <w:numPr>
          <w:ilvl w:val="0"/>
          <w:numId w:val="82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between a guarantor and a surety?</w:t>
      </w:r>
    </w:p>
    <w:p w:rsidR="00A86150" w:rsidRDefault="0081777E">
      <w:pPr>
        <w:spacing w:after="0"/>
        <w:jc w:val="center"/>
        <w:divId w:val="1625117624"/>
      </w:pPr>
      <w:r>
        <w:pict>
          <v:rect id="_x0000_i1165"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Druggists’ Ins. Co. v. Shoppe</w:t>
      </w:r>
      <w:r>
        <w:rPr>
          <w:rFonts w:ascii="Calibri" w:hAnsi="Calibri" w:cs="Calibri"/>
          <w:color w:val="333333"/>
          <w:sz w:val="20"/>
          <w:szCs w:val="20"/>
        </w:rPr>
        <w:t>, 448 N.W.2d 103, Minn. App. (1989).</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Here is an example of the required notice: Federal Trade Commission, “Facts for Consumers: The Credit Practices Rule,”</w:t>
      </w:r>
      <w:hyperlink r:id="rId115" w:tgtFrame="_blank" w:history="1">
        <w:r>
          <w:rPr>
            <w:rStyle w:val="Hyperlink"/>
            <w:rFonts w:ascii="Calibri" w:hAnsi="Calibri" w:cs="Calibri"/>
            <w:color w:val="2689C6"/>
            <w:sz w:val="20"/>
            <w:szCs w:val="20"/>
          </w:rPr>
          <w:t>http://www.ftc.gov/bcp/edu/pubs/consumer/credit/cre12.shtm</w:t>
        </w:r>
      </w:hyperlink>
      <w:r>
        <w:rPr>
          <w:rFonts w:ascii="Calibri" w:hAnsi="Calibri" w:cs="Calibri"/>
          <w:color w:val="333333"/>
          <w:sz w:val="20"/>
          <w:szCs w:val="20"/>
        </w:rPr>
        <w:t>.</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33.5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Perfection by Mere Attachment; Priorities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re NICOLOSI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4 UCC Rep. 111 (Ohio 1966)</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Preliminary Statement and Issues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Findings of Fact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controversy is between the trustee in bankruptcy and the party claiming a perfected security interest in the property. The recipient of the property has terminated her relationship with the [debtor], and delivered the property to the trustee.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Conclusion of Law, Decision, and Order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 judicial precedents have been cited in the briefs.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difficulty is that the code provisions use terms arising in commercial circles which have different semantical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Another problem is implicit, although not covered by the briefs.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scienter question.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Even if the trustee, in behalf of the unsecured creditors, would feel inclined to insert love, romance and morals into commercial law, he is appearing in the wrong era, and possibly the wrong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Ordered, that the Rike-Kumler Company holds a perfected security interest in the diamond engagement ring, and the security interest attached to the proceeds realized from the sale of the goods by the trustee in bankruptcy.</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82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didn’t the jewelry store, Rike-Kumler, file a financing statement to protect its security interest in the ring?</w:t>
      </w:r>
    </w:p>
    <w:p w:rsidR="00A86150" w:rsidRDefault="00F714D4">
      <w:pPr>
        <w:numPr>
          <w:ilvl w:val="0"/>
          <w:numId w:val="82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did the bankruptcy trustee get the ring?</w:t>
      </w:r>
    </w:p>
    <w:p w:rsidR="00A86150" w:rsidRDefault="00F714D4">
      <w:pPr>
        <w:numPr>
          <w:ilvl w:val="0"/>
          <w:numId w:val="82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argument did the trustee make as to why he should be able to take the ring as an asset belonging to the estate of the debtor? What did the court determine on this issue?</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Repossession and Breach of the Peace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Pantoja-Cahue v. Ford Motor Credit Co.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872 N.E.2d 1039 (Ill. App. 2007)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Plaintiff Mario Pantoja-Cahue filed a six-count complaint seeking damages from defendant Ford Motor Credit Company for Ford’s alleged breach of the peace and “illegal activities” in repossessing plaintiff’s automobile from his locked garage.…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Uniform Commercial Code Section 2A-525(3)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a default by the lessee under the lease contract * * * or, if agreed, after other default by the lessee, the lessor has the right to take possession of the goods. *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lessor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may proceed under subsection (2) without judicial process if it can be done without breach of the peace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the lessor may proceed by action.” [emphasis added.]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a repossession is a breach of the peace in violation of section 2A-525(3).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any use in resolving the issue, is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Chrysler Credit Corp. v. Koontz,</w:t>
      </w:r>
      <w:r>
        <w:rPr>
          <w:rStyle w:val="apple-converted-space"/>
          <w:rFonts w:ascii="Georgia" w:hAnsi="Georgia" w:cs="Calibri"/>
          <w:color w:val="333333"/>
          <w:sz w:val="20"/>
          <w:szCs w:val="20"/>
          <w:lang w:val="en"/>
        </w:rPr>
        <w:t> </w:t>
      </w:r>
      <w:r>
        <w:rPr>
          <w:rFonts w:ascii="Georgia" w:hAnsi="Georgia" w:cs="Calibri"/>
          <w:color w:val="333333"/>
          <w:sz w:val="20"/>
          <w:szCs w:val="20"/>
          <w:lang w:val="en"/>
        </w:rPr>
        <w:t>277 Ill.App.3d 1078, 214 Ill.Dec. 726, 661 N.E.2d 1171 (1996).</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Koontz,</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Koontz</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court] held the circumstances of the repossession did not amount to a breach the peace.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Davenport v. Chrysler Credit Corp.</w:t>
      </w:r>
      <w:r>
        <w:rPr>
          <w:rFonts w:ascii="Georgia" w:hAnsi="Georgia" w:cs="Calibri"/>
          <w:color w:val="333333"/>
          <w:sz w:val="20"/>
          <w:szCs w:val="20"/>
          <w:lang w:val="en"/>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non-trespassory repossessions when the secured party has a free right of entry” and “forced entries onto the debtor’s property or into the debtor’s premises are viewed as seriously detrimental to the ordinary conduct of human affairs.”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Davenport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Davenport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agree with [this] analysis of the term “breach of the peace” in the context of repossession and hold, with regard to section 2A-525(3) of the Code, that breaking into a locked garage to effectuate a repossession may constitute a breach of the peace.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Uniform Commercial Code Section 2A-108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8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 what circumstances, if any, would breaking into a locked garage to repossess a car</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not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be considered a breach of the peace?</w:t>
      </w:r>
    </w:p>
    <w:p w:rsidR="00A86150" w:rsidRDefault="00F714D4">
      <w:pPr>
        <w:numPr>
          <w:ilvl w:val="0"/>
          <w:numId w:val="8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court did not decide that a breach of the peace had occurred. What would determine that such a breach had occurred?</w:t>
      </w:r>
    </w:p>
    <w:p w:rsidR="00A86150" w:rsidRDefault="00F714D4">
      <w:pPr>
        <w:numPr>
          <w:ilvl w:val="0"/>
          <w:numId w:val="8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A86150" w:rsidRDefault="00F714D4">
      <w:pPr>
        <w:numPr>
          <w:ilvl w:val="0"/>
          <w:numId w:val="8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alternatives had Ford besides taking the car from the plaintiff’s locked garage?</w:t>
      </w:r>
    </w:p>
    <w:p w:rsidR="00A86150" w:rsidRDefault="00F714D4">
      <w:pPr>
        <w:numPr>
          <w:ilvl w:val="0"/>
          <w:numId w:val="8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If it was determined on remand that a breach of the peace had occurred, what happens to Ford?</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Defenses of the Principal Debtor as against Reimbursement to Surety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Fidelity and Deposit Co. of Maryland v. Douglas Asphalt Co.</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338 Fed.Appx. 886, 11th Cir. Ct. (2009)</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Per Curium:</w:t>
      </w:r>
      <w:r>
        <w:rPr>
          <w:rStyle w:val="apple-converted-space"/>
          <w:rFonts w:ascii="Calibri" w:hAnsi="Calibri" w:cs="Calibri"/>
          <w:color w:val="2689C6"/>
          <w:sz w:val="24"/>
          <w:szCs w:val="24"/>
          <w:lang w:val="en"/>
        </w:rPr>
        <w:t> </w:t>
      </w:r>
      <w:r>
        <w:rPr>
          <w:rFonts w:ascii="Calibri" w:hAnsi="Calibri" w:cs="Calibri"/>
          <w:color w:val="2689C6"/>
          <w:sz w:val="24"/>
          <w:szCs w:val="24"/>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a bench trial, the district court entered judgment in favor of Fidelity and Zurich for $16,524,798. Douglas Asphalt and the Spiveys now appeal.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Douglas Asphalt and the Spiveys argue that the district court erred in entering judgment in favor of Fidelity and Zurich because Fidelity and Zurich acted in bad faith in three ways.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Finding no error, we affirm the judgment of the district court.</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CASE QUESTIONS</w:t>
      </w:r>
    </w:p>
    <w:p w:rsidR="00A86150" w:rsidRDefault="00F714D4">
      <w:pPr>
        <w:numPr>
          <w:ilvl w:val="0"/>
          <w:numId w:val="82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were Douglas Asphalt and the Spiveys supposed to pay the sureties nearly $15.5 million?</w:t>
      </w:r>
    </w:p>
    <w:p w:rsidR="00A86150" w:rsidRDefault="00F714D4">
      <w:pPr>
        <w:numPr>
          <w:ilvl w:val="0"/>
          <w:numId w:val="82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did the plaintiffs claim the defendant sureties did wrong as relates to how much money they spent to cure the default?</w:t>
      </w:r>
    </w:p>
    <w:p w:rsidR="00A86150" w:rsidRDefault="00F714D4">
      <w:pPr>
        <w:numPr>
          <w:ilvl w:val="0"/>
          <w:numId w:val="82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 “contest of the default”?</w:t>
      </w:r>
    </w:p>
    <w:p w:rsidR="00A86150" w:rsidRDefault="00F714D4">
      <w:pPr>
        <w:numPr>
          <w:ilvl w:val="0"/>
          <w:numId w:val="82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would the sureties probably</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not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want the principal involved in the project?</w:t>
      </w:r>
    </w:p>
    <w:p w:rsidR="00A86150" w:rsidRDefault="0081777E">
      <w:pPr>
        <w:spacing w:after="0"/>
        <w:jc w:val="center"/>
        <w:divId w:val="1974631578"/>
      </w:pPr>
      <w:r>
        <w:pict>
          <v:rect id="_x0000_i1166"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Latin for “by the court.” A decision of an appeals court as a whole in which no judge is identified as the specific author.</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They promised to reimburse the surety for its expenses and hold it harmless for further liability.</w:t>
      </w:r>
      <w:r>
        <w:rPr>
          <w:rFonts w:ascii="Calibri"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33.6</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8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A86150" w:rsidRDefault="00F714D4">
      <w:pPr>
        <w:numPr>
          <w:ilvl w:val="0"/>
          <w:numId w:val="8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the same facts as in Exercise 1, except Creditor—again, aware of Bank’s security interest—filed a financing statement to perfect its interest. Who has priority, Bank or Creditor?</w:t>
      </w:r>
    </w:p>
    <w:p w:rsidR="00A86150" w:rsidRDefault="00F714D4">
      <w:pPr>
        <w:numPr>
          <w:ilvl w:val="0"/>
          <w:numId w:val="8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A86150" w:rsidRDefault="00A86150">
      <w:pPr>
        <w:numPr>
          <w:ilvl w:val="0"/>
          <w:numId w:val="826"/>
        </w:numPr>
        <w:shd w:val="clear" w:color="auto" w:fill="E3EFF7"/>
        <w:spacing w:after="0" w:line="439" w:lineRule="atLeast"/>
        <w:ind w:left="360" w:right="375"/>
        <w:textAlignment w:val="baseline"/>
        <w:rPr>
          <w:rFonts w:ascii="Calibri" w:hAnsi="Calibri" w:cs="Calibri"/>
          <w:color w:val="333333"/>
          <w:sz w:val="20"/>
          <w:szCs w:val="20"/>
        </w:rPr>
      </w:pPr>
    </w:p>
    <w:p w:rsidR="00A86150" w:rsidRDefault="00F714D4">
      <w:pPr>
        <w:numPr>
          <w:ilvl w:val="1"/>
          <w:numId w:val="82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A86150" w:rsidRDefault="00F714D4">
      <w:pPr>
        <w:numPr>
          <w:ilvl w:val="1"/>
          <w:numId w:val="82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A86150" w:rsidRDefault="00F714D4">
      <w:pPr>
        <w:numPr>
          <w:ilvl w:val="1"/>
          <w:numId w:val="82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What recourse does Customer have now?</w:t>
      </w:r>
    </w:p>
    <w:p w:rsidR="00A86150" w:rsidRDefault="00F714D4">
      <w:pPr>
        <w:numPr>
          <w:ilvl w:val="0"/>
          <w:numId w:val="8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A86150" w:rsidRDefault="00A86150">
      <w:pPr>
        <w:numPr>
          <w:ilvl w:val="0"/>
          <w:numId w:val="827"/>
        </w:numPr>
        <w:shd w:val="clear" w:color="auto" w:fill="E3EFF7"/>
        <w:spacing w:after="0" w:line="439" w:lineRule="atLeast"/>
        <w:ind w:left="360" w:right="375"/>
        <w:textAlignment w:val="baseline"/>
        <w:rPr>
          <w:rFonts w:ascii="Calibri" w:hAnsi="Calibri" w:cs="Calibri"/>
          <w:color w:val="333333"/>
          <w:sz w:val="20"/>
          <w:szCs w:val="20"/>
        </w:rPr>
      </w:pPr>
    </w:p>
    <w:p w:rsidR="00A86150" w:rsidRDefault="00F714D4">
      <w:pPr>
        <w:numPr>
          <w:ilvl w:val="1"/>
          <w:numId w:val="828"/>
        </w:numPr>
        <w:shd w:val="clear" w:color="auto" w:fill="E3EFF7"/>
        <w:spacing w:after="0" w:line="439" w:lineRule="atLeast"/>
        <w:ind w:left="360" w:right="750" w:hanging="360"/>
        <w:textAlignment w:val="baseline"/>
        <w:rPr>
          <w:rFonts w:ascii="Calibri" w:hAnsi="Calibri" w:cs="Calibri"/>
          <w:color w:val="333333"/>
          <w:sz w:val="20"/>
          <w:szCs w:val="20"/>
        </w:rPr>
      </w:pPr>
      <w:r>
        <w:rPr>
          <w:rFonts w:ascii="Calibri" w:hAnsi="Calibri" w:cs="Calibri"/>
          <w:color w:val="333333"/>
          <w:sz w:val="20"/>
          <w:szCs w:val="20"/>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A86150" w:rsidRDefault="00F714D4">
      <w:pPr>
        <w:numPr>
          <w:ilvl w:val="1"/>
          <w:numId w:val="82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A86150" w:rsidRDefault="00A86150">
      <w:pPr>
        <w:numPr>
          <w:ilvl w:val="0"/>
          <w:numId w:val="828"/>
        </w:numPr>
        <w:shd w:val="clear" w:color="auto" w:fill="E3EFF7"/>
        <w:spacing w:after="0" w:line="439" w:lineRule="atLeast"/>
        <w:ind w:left="360" w:right="375"/>
        <w:textAlignment w:val="baseline"/>
        <w:rPr>
          <w:rFonts w:ascii="Calibri" w:hAnsi="Calibri" w:cs="Calibri"/>
          <w:color w:val="333333"/>
          <w:sz w:val="20"/>
          <w:szCs w:val="20"/>
        </w:rPr>
      </w:pPr>
    </w:p>
    <w:p w:rsidR="00A86150" w:rsidRDefault="00F714D4">
      <w:pPr>
        <w:numPr>
          <w:ilvl w:val="1"/>
          <w:numId w:val="829"/>
        </w:numPr>
        <w:shd w:val="clear" w:color="auto" w:fill="E3EFF7"/>
        <w:spacing w:after="0" w:line="439" w:lineRule="atLeast"/>
        <w:ind w:left="360" w:right="750" w:hanging="360"/>
        <w:textAlignment w:val="baseline"/>
        <w:rPr>
          <w:rFonts w:ascii="Calibri" w:hAnsi="Calibri" w:cs="Calibri"/>
          <w:color w:val="333333"/>
          <w:sz w:val="20"/>
          <w:szCs w:val="20"/>
        </w:rPr>
      </w:pPr>
      <w:r>
        <w:rPr>
          <w:rFonts w:ascii="Calibri" w:hAnsi="Calibri" w:cs="Calibri"/>
          <w:color w:val="333333"/>
          <w:sz w:val="20"/>
          <w:szCs w:val="20"/>
        </w:rPr>
        <w:t>First Bank has a security interest in equipment owned by Kathy Knittle in her Knit Shop. If Kathy defaults on her loan and First Bank lawfully repossesses, what are the bank’s options? Explain.</w:t>
      </w:r>
    </w:p>
    <w:p w:rsidR="00A86150" w:rsidRDefault="00F714D4">
      <w:pPr>
        <w:numPr>
          <w:ilvl w:val="1"/>
          <w:numId w:val="8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Suppose, instead, that First Bank had a security interest in Kathy’s home knitting machine, worth $10,000. She paid $6,200 on the machine and then defaulted. Now what are the bank’s options?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830"/>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Creditors may obtain security</w:t>
      </w:r>
    </w:p>
    <w:p w:rsidR="00A86150" w:rsidRDefault="00F714D4">
      <w:pPr>
        <w:pStyle w:val="ListParagraph"/>
        <w:numPr>
          <w:ilvl w:val="0"/>
          <w:numId w:val="8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by agreement with the debtor</w:t>
      </w:r>
    </w:p>
    <w:p w:rsidR="00A86150" w:rsidRDefault="00F714D4">
      <w:pPr>
        <w:pStyle w:val="ListParagraph"/>
        <w:numPr>
          <w:ilvl w:val="0"/>
          <w:numId w:val="8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through operation of law</w:t>
      </w:r>
    </w:p>
    <w:p w:rsidR="00A86150" w:rsidRDefault="00F714D4">
      <w:pPr>
        <w:pStyle w:val="ListParagraph"/>
        <w:numPr>
          <w:ilvl w:val="0"/>
          <w:numId w:val="8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through both of the above</w:t>
      </w:r>
    </w:p>
    <w:p w:rsidR="00A86150" w:rsidRDefault="00F714D4">
      <w:pPr>
        <w:pStyle w:val="ListParagraph"/>
        <w:numPr>
          <w:ilvl w:val="0"/>
          <w:numId w:val="8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through neither of the above</w:t>
      </w:r>
    </w:p>
    <w:p w:rsidR="00A86150" w:rsidRDefault="00F714D4">
      <w:pPr>
        <w:pStyle w:val="para"/>
        <w:numPr>
          <w:ilvl w:val="0"/>
          <w:numId w:val="83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UCC Article 9, when the debtor has pledged collateral to the creditor, what other condition is required for attachment of the security interest?</w:t>
      </w:r>
    </w:p>
    <w:p w:rsidR="00A86150" w:rsidRDefault="00F714D4">
      <w:pPr>
        <w:pStyle w:val="ListParagraph"/>
        <w:numPr>
          <w:ilvl w:val="0"/>
          <w:numId w:val="8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written security agreement must be authenticated by the debtor.</w:t>
      </w:r>
    </w:p>
    <w:p w:rsidR="00A86150" w:rsidRDefault="00F714D4">
      <w:pPr>
        <w:pStyle w:val="ListParagraph"/>
        <w:numPr>
          <w:ilvl w:val="0"/>
          <w:numId w:val="8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There must be a financing statement filed by or for the creditor.</w:t>
      </w:r>
    </w:p>
    <w:p w:rsidR="00A86150" w:rsidRDefault="00F714D4">
      <w:pPr>
        <w:pStyle w:val="ListParagraph"/>
        <w:numPr>
          <w:ilvl w:val="0"/>
          <w:numId w:val="8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secured party received consideration.</w:t>
      </w:r>
    </w:p>
    <w:p w:rsidR="00A86150" w:rsidRDefault="00F714D4">
      <w:pPr>
        <w:pStyle w:val="ListParagraph"/>
        <w:numPr>
          <w:ilvl w:val="0"/>
          <w:numId w:val="8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debtor must have rights in the collateral.</w:t>
      </w:r>
    </w:p>
    <w:p w:rsidR="00A86150" w:rsidRDefault="00F714D4">
      <w:pPr>
        <w:pStyle w:val="para"/>
        <w:numPr>
          <w:ilvl w:val="0"/>
          <w:numId w:val="8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perfect a security interest, one may</w:t>
      </w:r>
    </w:p>
    <w:p w:rsidR="00A86150" w:rsidRDefault="00F714D4">
      <w:pPr>
        <w:pStyle w:val="ListParagraph"/>
        <w:numPr>
          <w:ilvl w:val="0"/>
          <w:numId w:val="8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file a financing statement</w:t>
      </w:r>
    </w:p>
    <w:p w:rsidR="00A86150" w:rsidRDefault="00F714D4">
      <w:pPr>
        <w:pStyle w:val="ListParagraph"/>
        <w:numPr>
          <w:ilvl w:val="0"/>
          <w:numId w:val="8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pledge collateral</w:t>
      </w:r>
    </w:p>
    <w:p w:rsidR="00A86150" w:rsidRDefault="00F714D4">
      <w:pPr>
        <w:pStyle w:val="ListParagraph"/>
        <w:numPr>
          <w:ilvl w:val="0"/>
          <w:numId w:val="8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take a purchase-money security interest in consumer goods</w:t>
      </w:r>
    </w:p>
    <w:p w:rsidR="00A86150" w:rsidRDefault="00F714D4">
      <w:pPr>
        <w:pStyle w:val="ListParagraph"/>
        <w:numPr>
          <w:ilvl w:val="0"/>
          <w:numId w:val="8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do any of the above</w:t>
      </w:r>
    </w:p>
    <w:p w:rsidR="00A86150" w:rsidRDefault="00F714D4">
      <w:pPr>
        <w:pStyle w:val="para"/>
        <w:numPr>
          <w:ilvl w:val="0"/>
          <w:numId w:val="8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Perfection benefits the secured party by</w:t>
      </w:r>
    </w:p>
    <w:p w:rsidR="00A86150" w:rsidRDefault="00F714D4">
      <w:pPr>
        <w:pStyle w:val="ListParagraph"/>
        <w:numPr>
          <w:ilvl w:val="0"/>
          <w:numId w:val="83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keeping the collateral out of the debtor’s reach</w:t>
      </w:r>
    </w:p>
    <w:p w:rsidR="00A86150" w:rsidRDefault="00F714D4">
      <w:pPr>
        <w:pStyle w:val="ListParagraph"/>
        <w:numPr>
          <w:ilvl w:val="0"/>
          <w:numId w:val="83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preventing another creditor from getting a secured interest in the collateral</w:t>
      </w:r>
    </w:p>
    <w:p w:rsidR="00A86150" w:rsidRDefault="00F714D4">
      <w:pPr>
        <w:pStyle w:val="ListParagraph"/>
        <w:numPr>
          <w:ilvl w:val="0"/>
          <w:numId w:val="83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obviating the need to file a financing statement</w:t>
      </w:r>
    </w:p>
    <w:p w:rsidR="00A86150" w:rsidRDefault="00F714D4">
      <w:pPr>
        <w:pStyle w:val="ListParagraph"/>
        <w:numPr>
          <w:ilvl w:val="0"/>
          <w:numId w:val="83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establishing who gets priority if the debtor defaults</w:t>
      </w:r>
    </w:p>
    <w:p w:rsidR="00A86150" w:rsidRDefault="00F714D4">
      <w:pPr>
        <w:pStyle w:val="para"/>
        <w:numPr>
          <w:ilvl w:val="0"/>
          <w:numId w:val="83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Creditor filed a security interest in inventory on June 1, 2012. Creditor’s interest takes priority over which of the following?</w:t>
      </w:r>
    </w:p>
    <w:p w:rsidR="00A86150" w:rsidRDefault="00F714D4">
      <w:pPr>
        <w:pStyle w:val="ListParagraph"/>
        <w:numPr>
          <w:ilvl w:val="0"/>
          <w:numId w:val="8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purchaser in the ordinary course of business who bought on June 5</w:t>
      </w:r>
    </w:p>
    <w:p w:rsidR="00A86150" w:rsidRDefault="00F714D4">
      <w:pPr>
        <w:pStyle w:val="ListParagraph"/>
        <w:numPr>
          <w:ilvl w:val="0"/>
          <w:numId w:val="8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mechanic’s lien filed on May 10</w:t>
      </w:r>
    </w:p>
    <w:p w:rsidR="00A86150" w:rsidRDefault="00F714D4">
      <w:pPr>
        <w:pStyle w:val="ListParagraph"/>
        <w:numPr>
          <w:ilvl w:val="0"/>
          <w:numId w:val="8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purchase-money security interest in after-acquired property who filed on May 15</w:t>
      </w:r>
    </w:p>
    <w:p w:rsidR="00A86150" w:rsidRDefault="00F714D4">
      <w:pPr>
        <w:pStyle w:val="ListParagraph"/>
        <w:numPr>
          <w:ilvl w:val="0"/>
          <w:numId w:val="8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judgment lien creditor who filed the judgment on June 10</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8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8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34</w:t>
      </w:r>
    </w:p>
    <w:p w:rsidR="00A86150" w:rsidRDefault="0081777E">
      <w:pPr>
        <w:pStyle w:val="Heading1"/>
        <w:shd w:val="clear" w:color="auto" w:fill="FFFFFF"/>
        <w:spacing w:before="0" w:line="240" w:lineRule="atLeast"/>
        <w:jc w:val="center"/>
        <w:textAlignment w:val="baseline"/>
      </w:pPr>
      <w:r>
        <w:pict>
          <v:rect id="_x0000_i1167"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Mortgages and Nonconsensual Liens</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841"/>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concepts of mortgages</w:t>
      </w:r>
    </w:p>
    <w:p w:rsidR="00A86150" w:rsidRDefault="00F714D4">
      <w:pPr>
        <w:numPr>
          <w:ilvl w:val="0"/>
          <w:numId w:val="841"/>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How the mortgage is created</w:t>
      </w:r>
    </w:p>
    <w:p w:rsidR="00A86150" w:rsidRDefault="00F714D4">
      <w:pPr>
        <w:numPr>
          <w:ilvl w:val="0"/>
          <w:numId w:val="841"/>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Priorities with mortgages as security devices</w:t>
      </w:r>
    </w:p>
    <w:p w:rsidR="00A86150" w:rsidRDefault="00F714D4">
      <w:pPr>
        <w:numPr>
          <w:ilvl w:val="0"/>
          <w:numId w:val="841"/>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Termination of the mortgage</w:t>
      </w:r>
    </w:p>
    <w:p w:rsidR="00A86150" w:rsidRDefault="00F714D4">
      <w:pPr>
        <w:numPr>
          <w:ilvl w:val="0"/>
          <w:numId w:val="841"/>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Other methods of using real estate as security</w:t>
      </w:r>
    </w:p>
    <w:p w:rsidR="00A86150" w:rsidRDefault="00F714D4">
      <w:pPr>
        <w:numPr>
          <w:ilvl w:val="0"/>
          <w:numId w:val="841"/>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Nonconsensual liens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34.1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Uses, History, and Creation of Mortgages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42"/>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terminology used in mortgage transactions, and how mortgages are used as security devices.</w:t>
      </w:r>
    </w:p>
    <w:p w:rsidR="00A86150" w:rsidRDefault="00F714D4">
      <w:pPr>
        <w:numPr>
          <w:ilvl w:val="0"/>
          <w:numId w:val="842"/>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a bit about the history of mortgages.</w:t>
      </w:r>
    </w:p>
    <w:p w:rsidR="00A86150" w:rsidRDefault="00F714D4">
      <w:pPr>
        <w:numPr>
          <w:ilvl w:val="0"/>
          <w:numId w:val="842"/>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the mortgage is created.</w:t>
      </w:r>
    </w:p>
    <w:p w:rsidR="00A86150" w:rsidRDefault="00A86150">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Having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security interests in personal property and suretyship—two of the three common types of consensual security arrangements—we turn now to the third type of consensual security arrangement, the mortgage. We also discuss briefly various forms of nonconsensual liens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34.1 "Security Arrangements"</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34.1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Security Arrangements</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3933825"/>
            <wp:effectExtent l="0" t="0" r="0" b="9525"/>
            <wp:docPr id="187" name="Picture 49" descr="http://images.flatworldknowledge.com/mayerlawentrep/mayerlawentrep-fig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mayerlawentrep/mayerlawentrep-fig29_00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0" cy="3933825"/>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Definitions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mortgage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w:t>
      </w:r>
      <w:r>
        <w:rPr>
          <w:rStyle w:val="marginterm"/>
          <w:rFonts w:ascii="Georgia" w:hAnsi="Georgia" w:cs="Calibri"/>
          <w:color w:val="333333"/>
          <w:sz w:val="20"/>
          <w:szCs w:val="20"/>
          <w:lang w:val="en"/>
        </w:rPr>
        <w:t>mortgagor</w:t>
      </w:r>
      <w:r>
        <w:rPr>
          <w:rFonts w:ascii="Georgia" w:hAnsi="Georgia" w:cs="Calibri"/>
          <w:color w:val="333333"/>
          <w:sz w:val="20"/>
          <w:szCs w:val="20"/>
          <w:lang w:val="en"/>
        </w:rPr>
        <w:t>, or borrower. In the typical home purchase, that’s the buyer. The buyer needs to borrow to finance the purchase; in exchange for the money with which to pay the seller, the buyer “takes out a mortgage” with, say, a bank. The lender is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mortgagee</w:t>
      </w:r>
      <w:r>
        <w:rPr>
          <w:rFonts w:ascii="Georgia" w:hAnsi="Georgia" w:cs="Calibri"/>
          <w:color w:val="333333"/>
          <w:sz w:val="20"/>
          <w:szCs w:val="20"/>
          <w:lang w:val="en"/>
        </w:rPr>
        <w:t>, the person or institution holding the mortgage, with the right to foreclose on the property if the debt is not timely paid. Although the law of real estate mortgages is different from the set of rules in Article 9 of the Uniform Commercial Code (UCC) that we examined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Fonts w:ascii="Georgia" w:hAnsi="Georgia" w:cs="Calibri"/>
          <w:color w:val="333333"/>
          <w:sz w:val="20"/>
          <w:szCs w:val="20"/>
          <w:lang w:val="en"/>
        </w:rPr>
        <w:t>, the circumstances are the same, except that the security is real estate rather than personal property (secured transactions) or the promise of another (suretyship).</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Uses of Mortgages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Short History of Mortgage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became void and the mortgagor was entitled to recover the property. If the mortgagor failed to pay the debt, the property automatically vested in the mortgagee. No further proceedings were necessary.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equitable right of redemption</w:t>
      </w:r>
      <w:r>
        <w:rPr>
          <w:rFonts w:ascii="Georgia" w:hAnsi="Georgia" w:cs="Calibri"/>
          <w:color w:val="333333"/>
          <w:sz w:val="20"/>
          <w:szCs w:val="20"/>
          <w:lang w:val="en"/>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did not rest there. Mortgagees won a measure of relief in the development of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foreclosure</w:t>
      </w:r>
      <w:r>
        <w:rPr>
          <w:rFonts w:ascii="Georgia" w:hAnsi="Georgia" w:cs="Calibri"/>
          <w:color w:val="333333"/>
          <w:sz w:val="20"/>
          <w:szCs w:val="20"/>
          <w:lang w:val="en"/>
        </w:rPr>
        <w:t>. On default, the mortgagee would seek a court order giving the mortgagor a fixed time—perhaps six months or a year—within which to pay off the debt; under the court decree, failure meant that the mortgagor was forever foreclosed from asserting his right of redemption. This</w:t>
      </w:r>
      <w:r>
        <w:rPr>
          <w:rStyle w:val="marginterm"/>
          <w:rFonts w:ascii="Georgia" w:hAnsi="Georgia" w:cs="Calibri"/>
          <w:color w:val="333333"/>
          <w:sz w:val="20"/>
          <w:szCs w:val="20"/>
          <w:lang w:val="en"/>
        </w:rPr>
        <w:t>strict foreclosure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gave the mortgagee outright title at the end of the time period.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United States today, most jurisdictions follow a somewhat different approach: the mortgagee forecloses by forcing a public sale at auction. Proceeds up to the amount of the debt are the mortgagee’s to keep; surplus is paid over to the mortgagor.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Foreclosure by sale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usual procedure in the United States. At bottom, its theory is that a mortgage is a lien on land. (Foreclosure issues are further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34.2 "Priority, Termination of the Mortgage, and Other Methods of Using Real Estate as Security"</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statutes enacted in many states, the mortgagor has one last chance to recover his property, even after foreclosure. This statutory</w:t>
      </w:r>
      <w:r>
        <w:rPr>
          <w:rStyle w:val="marginterm"/>
          <w:rFonts w:ascii="Georgia" w:hAnsi="Georgia" w:cs="Calibri"/>
          <w:color w:val="333333"/>
          <w:sz w:val="20"/>
          <w:szCs w:val="20"/>
          <w:lang w:val="en"/>
        </w:rPr>
        <w:t>right of redemption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extends the period to repay, often by one year.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Creation of the Mortgage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Statutory Regulation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decision whether to lend money and take a mortgage is affected by several federal and state regulations.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Consumer Credit Statutes Apply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Statutes dealing with consumer credit transactions (as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32 "Consumer Credit Transactions"</w:t>
      </w:r>
      <w:r>
        <w:rPr>
          <w:rFonts w:ascii="Georgia" w:hAnsi="Georgia" w:cs="Calibri"/>
          <w:color w:val="333333"/>
          <w:sz w:val="20"/>
          <w:szCs w:val="20"/>
          <w:lang w:val="en"/>
        </w:rPr>
        <w:t>) have a bearing on the mortgage, including state usury statutes, and the federal Truth in Lending Act and Equal Credit Opportunity Act.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Real Estate Settlement Procedures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Redlining. Several statutes are directed to the practice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redlining</w:t>
      </w:r>
      <w:r>
        <w:rPr>
          <w:rFonts w:ascii="Georgia" w:hAnsi="Georgia" w:cs="Calibri"/>
          <w:color w:val="333333"/>
          <w:sz w:val="20"/>
          <w:szCs w:val="20"/>
          <w:lang w:val="en"/>
        </w:rPr>
        <w:t>—the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act requires the appropriate federal financial supervisory agencies to encourage regulated financial institutions to meet the credit needs of the local communities in which they are chartered, 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Note and the Mortgage Documents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note and the mortgage documents are the contracts that set up the deal: the mortgagor gets credit, and the mortgagee gets the right to repossess the property in case of default.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Note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lender decides to grant a mortgage, the mortgagor signs two critical documents at the closing: the note and the mortgage. It is enough here to recall that in a note (really a type of IOU), the mortgagor promises to pay a specified principal sum, plus interest, by a certain date or dates. The note is the underlying obligation for which the mortgage serves as security. Without the note, the mortgagee would have an empty document, since the mortgage would secure nothing. Without a mortgage, a note is still quite valid, evidencing the debtor’s personal obligation.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particular provision that usually appears in both mortgages and the underlying notes is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acceleration clause</w:t>
      </w:r>
      <w:r>
        <w:rPr>
          <w:rFonts w:ascii="Georgia" w:hAnsi="Georgia" w:cs="Calibri"/>
          <w:color w:val="333333"/>
          <w:sz w:val="20"/>
          <w:szCs w:val="20"/>
          <w:lang w:val="en"/>
        </w:rPr>
        <w:t>.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Paul H. Cherry v. Chase Manhattan Mortgage Group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34.4 "Cases"</w:t>
      </w:r>
      <w:r>
        <w:rPr>
          <w:rFonts w:ascii="Georgia" w:hAnsi="Georgia" w:cs="Calibri"/>
          <w:color w:val="333333"/>
          <w:sz w:val="20"/>
          <w:szCs w:val="20"/>
          <w:lang w:val="en"/>
        </w:rPr>
        <w:t>), the equitable powers of the court were invoked to prevent acceleration.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Mortgage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34.2 "Sample Mortgage Form"</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34.2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Sample Mortgage Form</w:t>
      </w:r>
    </w:p>
    <w:p w:rsidR="00A86150" w:rsidRDefault="00F714D4">
      <w:pPr>
        <w:shd w:val="clear" w:color="auto" w:fill="FFFFFF"/>
        <w:spacing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3657600" cy="4162425"/>
            <wp:effectExtent l="0" t="0" r="0" b="9525"/>
            <wp:docPr id="188" name="Picture 48" descr="http://images.flatworldknowledge.com/mayerlawentrep/mayerlawentrep-fig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mayerlawentrep/mayerlawentrep-fig29_00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7600" cy="4162425"/>
                    </a:xfrm>
                    <a:prstGeom prst="rect">
                      <a:avLst/>
                    </a:prstGeom>
                    <a:noFill/>
                    <a:ln>
                      <a:noFill/>
                    </a:ln>
                  </pic:spPr>
                </pic:pic>
              </a:graphicData>
            </a:graphic>
          </wp:inline>
        </w:drawing>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any value above that necessary to pay the debt and the expenses of foreclosure. Mortgage law is regulated by state and federal statute.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4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role did the right of redemption play in courts of equity changing the substance of a mortgage from an actual transfer of title to the mortgagee to a mere lien on the property?</w:t>
      </w:r>
    </w:p>
    <w:p w:rsidR="00A86150" w:rsidRDefault="00F714D4">
      <w:pPr>
        <w:numPr>
          <w:ilvl w:val="0"/>
          <w:numId w:val="84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abuses did the federal RESPA address?</w:t>
      </w:r>
    </w:p>
    <w:p w:rsidR="00A86150" w:rsidRDefault="00F714D4">
      <w:pPr>
        <w:numPr>
          <w:ilvl w:val="0"/>
          <w:numId w:val="843"/>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two documents most commonly associated with mortgage transactions?</w:t>
      </w:r>
    </w:p>
    <w:p w:rsidR="00A86150" w:rsidRDefault="0081777E">
      <w:pPr>
        <w:spacing w:after="0"/>
        <w:jc w:val="center"/>
        <w:divId w:val="314991147"/>
      </w:pPr>
      <w:r>
        <w:pict>
          <v:rect id="_x0000_i1168"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12 United States Code, Section 2901.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34.2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Priority, Termination of the Mortgage, and Other Methods of Using Real Estate as Security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44"/>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why it is important that the mortgagee (creditor) record her interest in the debtor’s real estate.</w:t>
      </w:r>
    </w:p>
    <w:p w:rsidR="00A86150" w:rsidRDefault="00F714D4">
      <w:pPr>
        <w:numPr>
          <w:ilvl w:val="0"/>
          <w:numId w:val="844"/>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basic rule of priority—who gets an interest in the property first in case of default—and the exceptions to the rule.</w:t>
      </w:r>
    </w:p>
    <w:p w:rsidR="00A86150" w:rsidRDefault="00F714D4">
      <w:pPr>
        <w:numPr>
          <w:ilvl w:val="0"/>
          <w:numId w:val="844"/>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three ways mortgages can be terminated: payment, assumption, and foreclosure.</w:t>
      </w:r>
    </w:p>
    <w:p w:rsidR="00A86150" w:rsidRDefault="00F714D4">
      <w:pPr>
        <w:numPr>
          <w:ilvl w:val="0"/>
          <w:numId w:val="844"/>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Be familiar with other methods (besides mortgages) by which real property can be used as security for a creditor.</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Priorities in Real Property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You may recall from</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General Rule of Priorities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general rule of priority is the same for real property security as for personal property security: the first in time to give notice of the secured interest is first in right. For real property, the notice is by</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recording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mortgage is valid between the parties whether or not it is recorded, but a mortgagee might lose to a third party—another mortgagee or a good-faith purchaser of the property—unless the mortgage is recorded.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Exceptions to the General Rule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exceptions to the general rule; two are taken up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Fixture Filing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fixture-filing provision in Article 9 of the UCC is one exception to the general rule. As noted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Fonts w:ascii="Georgia" w:hAnsi="Georgia" w:cs="Calibri"/>
          <w:color w:val="333333"/>
          <w:sz w:val="20"/>
          <w:szCs w:val="20"/>
          <w:lang w:val="en"/>
        </w:rPr>
        <w:t>, the UCC gives priority to purchase-money security interests in fixtures if certain requirements are met.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Future Advances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Termination of the Mortgage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mortgagor’s liability can terminate in three ways: payment, assumption (with a novation), or foreclosure.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Payment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Paul H. Cherry v. Chase Manhattan Mortgage Group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w:t>
      </w:r>
      <w:r>
        <w:rPr>
          <w:rFonts w:ascii="Georgia" w:hAnsi="Georgia" w:cs="Calibri"/>
          <w:color w:val="2689C6"/>
          <w:sz w:val="20"/>
          <w:szCs w:val="20"/>
          <w:lang w:val="en"/>
        </w:rPr>
        <w:t>Section 34.4 "Cases"</w:t>
      </w:r>
      <w:r>
        <w:rPr>
          <w:rFonts w:ascii="Georgia" w:hAnsi="Georgia" w:cs="Calibri"/>
          <w:color w:val="333333"/>
          <w:sz w:val="20"/>
          <w:szCs w:val="20"/>
          <w:lang w:val="en"/>
        </w:rPr>
        <w:t>), the bank</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mistakenly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Assumption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property can be sold without paying off the mortgage if the mortgage is assumed by the new buyer, who agrees to pay the seller’s (the original mortgagor’s) debt. This is a novation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if</w:t>
      </w:r>
      <w:r>
        <w:rPr>
          <w:rFonts w:ascii="Georgia" w:hAnsi="Georgia" w:cs="Calibri"/>
          <w:color w:val="333333"/>
          <w:sz w:val="20"/>
          <w:szCs w:val="20"/>
          <w:lang w:val="en"/>
        </w:rPr>
        <w:t>, in approving the assumption, the bank releases the old mortgagor and substitutes the buyer as the new debtor.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buyer need not assume the mortgage. If the buyer purchases the property without agreeing to be personally liable, this is a sale “subject to” the mortgage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34.3 "“Subject to” Sales versus Assumption"</w:t>
      </w:r>
      <w:r>
        <w:rPr>
          <w:rFonts w:ascii="Georgia" w:hAnsi="Georgia" w:cs="Calibri"/>
          <w:color w:val="333333"/>
          <w:sz w:val="20"/>
          <w:szCs w:val="20"/>
          <w:lang w:val="en"/>
        </w:rPr>
        <w:t>). In the event of the seller’s subsequent default, the bank can foreclose the mortgage and sell the property that the buyer has purchased, but the buyer is not liable for any deficiency.</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34.3</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“Subject to” Sales versus Assumption</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3657600" cy="4286250"/>
            <wp:effectExtent l="0" t="0" r="0" b="0"/>
            <wp:docPr id="190" name="Picture 51" descr="http://images.flatworldknowledge.com/mayerlawentrep/mayerlawentrep-fig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mayerlawentrep/mayerlawentrep-fig29_00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57600" cy="4286250"/>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due-on-sale clause</w:t>
      </w:r>
      <w:r>
        <w:rPr>
          <w:rFonts w:ascii="Georgia" w:hAnsi="Georgia" w:cs="Calibri"/>
          <w:color w:val="333333"/>
          <w:sz w:val="20"/>
          <w:szCs w:val="20"/>
          <w:lang w:val="en"/>
        </w:rPr>
        <w:t>,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Fonts w:ascii="Georgia" w:hAnsi="Georgia" w:cs="Calibri"/>
          <w:color w:val="333333"/>
          <w:sz w:val="20"/>
          <w:szCs w:val="20"/>
          <w:lang w:val="en"/>
        </w:rPr>
        <w:t>The act preempts state laws and upholds the validity of due-on-sale clauses. When interest rates are low, banks have no interest in enforcing such clauses, and there are ways to work around the due-on-sale clause.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Foreclosure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third method of terminating the mortgage is by foreclosure when a mortgagor defaults. Even after default, the mortgagor has the right to exercise his equity of redemption—that is, to redeem the property by paying the principal and interest in full. If he does not, the mortgagee may foreclose the equity of redemption. Although strict foreclosure is used occasionally, in most cases the mortgagee forecloses by one of two types of sale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34.4 "Foreclosure"</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first type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judicial sale</w:t>
      </w:r>
      <w:r>
        <w:rPr>
          <w:rFonts w:ascii="Georgia" w:hAnsi="Georgia" w:cs="Calibri"/>
          <w:color w:val="333333"/>
          <w:sz w:val="20"/>
          <w:szCs w:val="20"/>
          <w:lang w:val="en"/>
        </w:rPr>
        <w:t>. The mortgagee seeks a court order authorizing the sale to be conducted by a public official, usually the sheriff. The mortgagor is entitled to be notified of the proceeding and to a hearing. The second type of sale is that conducted under a clause called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power of sale</w:t>
      </w:r>
      <w:r>
        <w:rPr>
          <w:rFonts w:ascii="Georgia" w:hAnsi="Georgia" w:cs="Calibri"/>
          <w:color w:val="333333"/>
          <w:sz w:val="20"/>
          <w:szCs w:val="20"/>
          <w:lang w:val="en"/>
        </w:rPr>
        <w:t>,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34.4</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Foreclosure</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5486400" cy="2162175"/>
            <wp:effectExtent l="0" t="0" r="0" b="9525"/>
            <wp:docPr id="191" name="Picture 50" descr="http://images.flatworldknowledge.com/mayerlawentrep/mayerlawentrep-fig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mayerlawentrep/mayerlawentrep-fig29_00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216217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Other Methods of Using Real Estate as Security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Besides the mortgage, there are other ways to use real estate as security. Here we take up two: the deed of trust and the installment or land contract.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Deed of Trust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deed of trust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Alpha Imperial Building, LLC v. Schnitzer Family Investment, LLC</w:t>
      </w:r>
      <w:r>
        <w:rPr>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34.4 "Cases"</w:t>
      </w:r>
      <w:r>
        <w:rPr>
          <w:rFonts w:ascii="Georgia" w:hAnsi="Georgia" w:cs="Calibri"/>
          <w:color w:val="333333"/>
          <w:sz w:val="20"/>
          <w:szCs w:val="20"/>
          <w:lang w:val="en"/>
        </w:rPr>
        <w:t>, discusses several issues involving deeds of trust.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Installment or Land Contract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installment contract or land contract</w:t>
      </w:r>
      <w:r>
        <w:rPr>
          <w:rFonts w:ascii="Georgia" w:hAnsi="Georgia" w:cs="Calibri"/>
          <w:color w:val="333333"/>
          <w:sz w:val="20"/>
          <w:szCs w:val="20"/>
          <w:lang w:val="en"/>
        </w:rPr>
        <w:t>, the purchaser takes possession and agrees to pay the seller over a period of years. Until the final payment, title belongs to the seller. The contract will specify the type of deed to be conveyed at closing, the terms of payment, the buyer’s duty to pay taxes and insure the premises, and the seller’s right to accelerate on default. The buyer’s particular concern in this type of sale is whether the seller in fact has title. The buyers can protect themselves by requiring proof of title and title insurance when the contract is signed. Moreover, the buyer should record the installment contract to protect against the seller’s attempt to convey title to an innocent third-party purchaser while the contract is in effect.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4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debtor borrowed $350,000 to finance the purchase of a house, and the bank recorded its interest on July 1. On July 15, the debtor bought $10,000 worth of replacement windows from Window Co.; Window Co. recorded its purchase-money security interest that day, and the windows were installed. Four years later, the debtor, in hard financial times, declared bankruptcy. As between the bank and Windows Co., who will get paid first?</w:t>
      </w:r>
    </w:p>
    <w:p w:rsidR="00A86150" w:rsidRDefault="00F714D4">
      <w:pPr>
        <w:numPr>
          <w:ilvl w:val="0"/>
          <w:numId w:val="84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 what interest rate circumstances would banks insist on a due-on-sale clause? Under what interest rate circumstance would banks not object to a new person assuming the mortgage?</w:t>
      </w:r>
    </w:p>
    <w:p w:rsidR="00A86150" w:rsidRDefault="00F714D4">
      <w:pPr>
        <w:numPr>
          <w:ilvl w:val="0"/>
          <w:numId w:val="84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primary advantage of the deed of trust? What is the primary advantage of the land contract?</w:t>
      </w:r>
    </w:p>
    <w:p w:rsidR="00A86150" w:rsidRDefault="00F714D4">
      <w:pPr>
        <w:numPr>
          <w:ilvl w:val="0"/>
          <w:numId w:val="84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debtor defaulted on her house payments. Under what circumstances might a court</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not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allow the bank’s foreclosure on the property?</w:t>
      </w:r>
    </w:p>
    <w:p w:rsidR="00A86150" w:rsidRDefault="0081777E">
      <w:pPr>
        <w:spacing w:after="0"/>
        <w:jc w:val="center"/>
        <w:divId w:val="244918980"/>
      </w:pPr>
      <w:r>
        <w:pict>
          <v:rect id="_x0000_i1169"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12 United States Code, Section 1701-j.</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34.3</w:t>
      </w:r>
      <w:r>
        <w:rPr>
          <w:rStyle w:val="apple-converted-space"/>
          <w:rFonts w:ascii="Calibri" w:hAnsi="Calibri" w:cs="Calibri"/>
          <w:color w:val="333333"/>
        </w:rPr>
        <w:t> </w:t>
      </w:r>
      <w:r>
        <w:rPr>
          <w:rFonts w:ascii="Calibri" w:hAnsi="Calibri" w:cs="Calibri"/>
          <w:color w:val="333333"/>
        </w:rPr>
        <w:t>Nonconsensual Lien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846"/>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Understand the nonconsensual liens issued by courts—attachment liens and judgment liens—and how they are created.</w:t>
      </w:r>
    </w:p>
    <w:p w:rsidR="00A86150" w:rsidRDefault="00F714D4">
      <w:pPr>
        <w:numPr>
          <w:ilvl w:val="0"/>
          <w:numId w:val="846"/>
        </w:numPr>
        <w:shd w:val="clear" w:color="auto" w:fill="EAE9DC"/>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Recognize other types of nonconsensual liens: mechanic’s lien, possessory lien, and tax lien.</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security arrangements discussed so far—security interests, suretyship, mortgages—are all obtained by the creditor with the debtor’s consent. A creditor may obtain certain liens without the debtor’s consent.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Court-Decreed Liens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nonconsensual liens are issued by courts.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Attachment Lien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attachment lien</w:t>
      </w:r>
      <w:r>
        <w:rPr>
          <w:rStyle w:val="apple-converted-space"/>
          <w:rFonts w:ascii="Georgia" w:hAnsi="Georgia" w:cs="Calibri"/>
          <w:color w:val="333333"/>
          <w:sz w:val="20"/>
          <w:szCs w:val="20"/>
        </w:rPr>
        <w:t> </w:t>
      </w:r>
      <w:r>
        <w:rPr>
          <w:rFonts w:ascii="Georgia" w:hAnsi="Georgia" w:cs="Calibri"/>
          <w:color w:val="333333"/>
          <w:sz w:val="20"/>
          <w:szCs w:val="20"/>
        </w:rPr>
        <w:t>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Judgment Lien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judgment lien</w:t>
      </w:r>
      <w:r>
        <w:rPr>
          <w:rStyle w:val="apple-converted-space"/>
          <w:rFonts w:ascii="Georgia" w:hAnsi="Georgia" w:cs="Calibri"/>
          <w:color w:val="333333"/>
          <w:sz w:val="20"/>
          <w:szCs w:val="20"/>
        </w:rPr>
        <w:t> </w:t>
      </w:r>
      <w:r>
        <w:rPr>
          <w:rFonts w:ascii="Georgia" w:hAnsi="Georgia" w:cs="Calibri"/>
          <w:color w:val="333333"/>
          <w:sz w:val="20"/>
          <w:szCs w:val="20"/>
        </w:rPr>
        <w:t>may be issued when a plaintiff wins a judgment in court if an attachment lien has not already been issued. Like the attachment lien, it provides a method by which the defendant’s property may be seized and sold.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Mechanic’s Lien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Overview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nonconsensual lien on real estate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mechanic’s lien</w:t>
      </w:r>
      <w:r>
        <w:rPr>
          <w:rFonts w:ascii="Georgia" w:hAnsi="Georgia" w:cs="Calibri"/>
          <w:color w:val="333333"/>
          <w:sz w:val="20"/>
          <w:szCs w:val="20"/>
        </w:rPr>
        <w:t>. A mechanic’s lien can be obtained by one who furnishes labor, services, or materials to improve real estate: this is statutory, and 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w:t>
      </w:r>
      <w:r>
        <w:rPr>
          <w:rStyle w:val="apple-converted-space"/>
          <w:rFonts w:ascii="Georgia" w:hAnsi="Georgia" w:cs="Calibri"/>
          <w:color w:val="333333"/>
          <w:sz w:val="20"/>
          <w:szCs w:val="20"/>
        </w:rPr>
        <w:t> </w:t>
      </w:r>
      <w:r>
        <w:rPr>
          <w:rFonts w:ascii="Georgia" w:hAnsi="Georgia" w:cs="Calibri"/>
          <w:color w:val="2689C6"/>
          <w:sz w:val="20"/>
          <w:szCs w:val="20"/>
        </w:rPr>
        <w:t>Section 34.3.3 "Possessory Lien"</w:t>
      </w:r>
      <w:r>
        <w:rPr>
          <w:rFonts w:ascii="Georgia" w:hAnsi="Georgia" w:cs="Calibri"/>
          <w:color w:val="333333"/>
          <w:sz w:val="20"/>
          <w:szCs w:val="20"/>
        </w:rPr>
        <w:t>) To qualify for a mechanic’s lien, the claimant must file a sworn statement describing the work done, the contract made, or the materials furnished that permanently improved the real 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particularly difficult problem crops up when the owner has paid the contractor, who in turn fails to pay his subcontractors. In many states, the subcontractors can file a lien on the owner’s property, thus forcing the owner to pay them (see</w:t>
      </w:r>
      <w:r>
        <w:rPr>
          <w:rStyle w:val="apple-converted-space"/>
          <w:rFonts w:ascii="Georgia" w:hAnsi="Georgia" w:cs="Calibri"/>
          <w:color w:val="333333"/>
          <w:sz w:val="20"/>
          <w:szCs w:val="20"/>
        </w:rPr>
        <w:t> </w:t>
      </w:r>
      <w:r>
        <w:rPr>
          <w:rFonts w:ascii="Georgia" w:hAnsi="Georgia" w:cs="Calibri"/>
          <w:color w:val="2689C6"/>
          <w:sz w:val="20"/>
          <w:szCs w:val="20"/>
        </w:rPr>
        <w:t>Figure 34.5 "Subcontractors’ Lien"</w:t>
      </w:r>
      <w:r>
        <w:rPr>
          <w:rFonts w:ascii="Georgia" w:hAnsi="Georgia" w:cs="Calibri"/>
          <w:color w:val="333333"/>
          <w:sz w:val="20"/>
          <w:szCs w:val="20"/>
        </w:rPr>
        <w:t>)—and maybe twice. To protect themselves, owners can demand a sworn statement from general contractors listing the subcontractors used on the job, and from them, owners can obtain a waiver of lien rights before paying the general contractor.</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34.5</w:t>
      </w:r>
      <w:r>
        <w:rPr>
          <w:rFonts w:ascii="Georgia" w:hAnsi="Georgia" w:cs="Calibri"/>
          <w:i/>
          <w:iCs/>
          <w:color w:val="BB9966"/>
          <w:sz w:val="18"/>
          <w:szCs w:val="18"/>
        </w:rPr>
        <w:t>Subcontractors’ Lien</w:t>
      </w:r>
    </w:p>
    <w:p w:rsidR="00A86150" w:rsidRDefault="00F714D4">
      <w:pPr>
        <w:shd w:val="clear" w:color="auto" w:fill="FFFFFF"/>
        <w:spacing w:after="240"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3657600" cy="2981325"/>
            <wp:effectExtent l="0" t="0" r="0" b="9525"/>
            <wp:docPr id="193" name="Picture 52" descr="http://images.flatworldknowledge.com/mayerlawentrep/mayerlawentrep-fig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mayerlawentrep/mayerlawentrep-fig29_00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57600" cy="2981325"/>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Procedure for Obtaining a Mechanic’s Lien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Anyone claiming a lien against real estate must record a lien statement stating the amount due and the nature of the improvement. The lienor has a specified period of time (e.g., ninety days) to file from the time the work is finished. Recording as such does not give the lienor an automatic right to the property if the debt remains unpaid. All states specify a limited period of time, usually one year, within which the claimant must file suit to enforce the lien. Only if the court decides the lien is valid may the property be sold to satisfy the debt. Difficult questions sometimes arise when a lien is filed against a landlord’s property as a result of improvements and services provided to a tenant, as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F &amp; D Elec. Contractors, Inc. v. Powder Coaters, Inc.</w:t>
      </w:r>
      <w:r>
        <w:rPr>
          <w:rFonts w:ascii="Georgia" w:hAnsi="Georgia" w:cs="Calibri"/>
          <w:color w:val="333333"/>
          <w:sz w:val="20"/>
          <w:szCs w:val="20"/>
        </w:rPr>
        <w:t>,</w:t>
      </w:r>
      <w:r>
        <w:rPr>
          <w:rFonts w:ascii="Georgia" w:hAnsi="Georgia" w:cs="Calibri"/>
          <w:color w:val="2689C6"/>
          <w:sz w:val="20"/>
          <w:szCs w:val="20"/>
        </w:rPr>
        <w:t>Section 34.4 "Cases"</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Mechanic’s Liens Priorities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Possessory Lien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nonconsensual lien on personal property (not real estate)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possessory lien</w:t>
      </w:r>
      <w:r>
        <w:rPr>
          <w:rFonts w:ascii="Georgia" w:hAnsi="Georgia" w:cs="Calibri"/>
          <w:color w:val="333333"/>
          <w:sz w:val="20"/>
          <w:szCs w:val="20"/>
        </w:rPr>
        <w:t>.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Tax Lien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statutory lien is the federal</w:t>
      </w:r>
      <w:r>
        <w:rPr>
          <w:rStyle w:val="apple-converted-space"/>
          <w:rFonts w:ascii="Georgia" w:hAnsi="Georgia" w:cs="Calibri"/>
          <w:color w:val="333333"/>
          <w:sz w:val="20"/>
          <w:szCs w:val="20"/>
        </w:rPr>
        <w:t> </w:t>
      </w:r>
      <w:r>
        <w:rPr>
          <w:rStyle w:val="marginterm"/>
          <w:rFonts w:ascii="Georgia" w:hAnsi="Georgia" w:cs="Calibri"/>
          <w:color w:val="333333"/>
          <w:sz w:val="20"/>
          <w:szCs w:val="20"/>
        </w:rPr>
        <w:t>tax lien</w:t>
      </w:r>
      <w:r>
        <w:rPr>
          <w:rFonts w:ascii="Georgia" w:hAnsi="Georgia" w:cs="Calibri"/>
          <w:color w:val="333333"/>
          <w:sz w:val="20"/>
          <w:szCs w:val="20"/>
        </w:rPr>
        <w:t>.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Local governments also can assess liens against real estate for failure to pay real estate taxes. After some period of time, the real estate may be sold to satisfy the tax amounts owing.</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8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mortgagor’s interests are protected in a judicial foreclosure by a court’s oversight of the process; how is the mortgagor’s interest protected when a deed of trust is used?</w:t>
      </w:r>
    </w:p>
    <w:p w:rsidR="00A86150" w:rsidRDefault="00F714D4">
      <w:pPr>
        <w:numPr>
          <w:ilvl w:val="0"/>
          <w:numId w:val="8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deed of trust becoming increasingly popular?</w:t>
      </w:r>
    </w:p>
    <w:p w:rsidR="00A86150" w:rsidRDefault="00F714D4">
      <w:pPr>
        <w:numPr>
          <w:ilvl w:val="0"/>
          <w:numId w:val="8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the common-law possessory lien?</w:t>
      </w:r>
    </w:p>
    <w:p w:rsidR="00A86150" w:rsidRDefault="00F714D4">
      <w:pPr>
        <w:numPr>
          <w:ilvl w:val="0"/>
          <w:numId w:val="8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Mike Mechanic repaired Alice Ace’s automobile in his shop, but Alice didn’t have enough money to pay for the repairs. May Mike have a mechanic’s lien on the car? A possessory lien?</w:t>
      </w:r>
    </w:p>
    <w:p w:rsidR="00A86150" w:rsidRDefault="00F714D4">
      <w:pPr>
        <w:numPr>
          <w:ilvl w:val="0"/>
          <w:numId w:val="8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federal law exempt unemployment benefits, books and tools of a trade, workers’ compensation, minimum amounts of wages and salary, personal effects, furniture, fuel, and other such items from the sweep of a tax lien?</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34.4</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Denial of Mortgagee’s Right to Foreclose; Erroneous Filings; Lost Instruments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Paul H. Cherry v. Chase Manhattan Mortgage Group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190 F.Supp.2d 1330 (Fed. Dist. Ct. FL 2002)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Background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[Paul Cherry filed a complaint suing Chase for Fair Debt Collection Practices Act violations and slander of credit.]…Chase counter-claimed for foreclosure and reestablishment of the lost note.…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2001, and had it notarized on March 27, 2001. Chase has also been unable to locate the original note, dated October 15, 1997, and deems it to be lost.…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Foreclosure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accelerated Cherry’s mortgage debt after determining he was in a default status under the mortgage provisions. Chase claims that the right to foreclose under the note and mortgage is “absolute,” [Citation], and that this Court should enforce the security interest in the mortgage though Chase made an administrative error in entering a Satisfaction of Mortgage into the public records.…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Mortgage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relies on the Florida Supreme Court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Service Corp. v. Vi-An Const. Corp.</w:t>
      </w:r>
      <w:r>
        <w:rPr>
          <w:rFonts w:ascii="Georgia" w:hAnsi="Georgia" w:cs="Calibri"/>
          <w:color w:val="333333"/>
          <w:sz w:val="20"/>
          <w:szCs w:val="20"/>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possibility nor existence of a third party interest. Although Cherry argues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Biggs v. Smith</w:t>
      </w:r>
      <w:r>
        <w:rPr>
          <w:rFonts w:ascii="Georgia" w:hAnsi="Georgia" w:cs="Calibri"/>
          <w:color w:val="333333"/>
          <w:sz w:val="20"/>
          <w:szCs w:val="20"/>
        </w:rPr>
        <w:t>, 184 So. 106, 107 (1938), that a recorded satisfaction of mortgage is “prima facie evidence of extinguishment of a mortgage lien,” Biggs does not apply this standard to mortgage rights affected by a mistake in the satisfaction.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Tender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w:t>
      </w:r>
      <w:r>
        <w:rPr>
          <w:rStyle w:val="apple-converted-space"/>
          <w:rFonts w:ascii="Georgia" w:hAnsi="Georgia" w:cs="Calibri"/>
          <w:color w:val="333333"/>
          <w:sz w:val="20"/>
          <w:szCs w:val="20"/>
        </w:rPr>
        <w:t> </w:t>
      </w:r>
      <w:r>
        <w:rPr>
          <w:rStyle w:val="Emphasis"/>
          <w:rFonts w:ascii="Georgia" w:hAnsi="Georgia" w:cs="Calibri"/>
          <w:color w:val="333333"/>
          <w:sz w:val="20"/>
          <w:szCs w:val="20"/>
        </w:rPr>
        <w:t>Matthews v. Lindsay</w:t>
      </w:r>
      <w:r>
        <w:rPr>
          <w:rFonts w:ascii="Georgia" w:hAnsi="Georgia" w:cs="Calibri"/>
          <w:color w:val="333333"/>
          <w:sz w:val="20"/>
          <w:szCs w:val="20"/>
        </w:rPr>
        <w:t>,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payments from the escrow account or make deposits with the court is more than just a “technical breach” of the mortgage and note.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Reestablishment of the Lost Note and Mortgage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requirements[.]…This Court holds the note to be reestablished and that Chase has the lawful right to enforce the note upon the issuance of this order.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Chase figured out that it had issued a Satisfaction of Mortgage erroneously, what did it file to rectify the error?</w:t>
      </w:r>
    </w:p>
    <w:p w:rsidR="00A86150" w:rsidRDefault="00F714D4">
      <w:pPr>
        <w:numPr>
          <w:ilvl w:val="0"/>
          <w:numId w:val="8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A86150" w:rsidRDefault="00F714D4">
      <w:pPr>
        <w:numPr>
          <w:ilvl w:val="0"/>
          <w:numId w:val="8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Cherry do with the mortgage payments after Chase erroneously told him the mortgage was satisfied? What did the court say he should have done with the payments?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Mechanic’s Lien Filed against Landlord for Payment of Tenant’s Improvements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 &amp; D Elec. Contractors, Inc. v. Powder Coaters, Inc.</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567 S.E.2d 842 (S.C. 2002)</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Factual/ Procedural Background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Coaters and BG Holding. Prior to signing the lease, Powder Coaters negotiated the terms with Mark Taylor, (“Taylor”) who was the property manager for the warehouse facility and an agent of BG Holding.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January 1997, F &amp; D filed a Notice and Certificate of Mechanic’s Lien and Affidavit of Mechanic’s Lien. In February 1997, F &amp; D filed this action against BG Holding foreclosing on its mechanic’s lien pursuant to S.C. [statute].…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Did the trial court err in denying BG Holding’s motion for directed verdict because the record was devoid of any evidence of owner’s consent to materialman’s performance of work on its property as required by [the S.C. statute]?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Law/Analysis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 &amp; D argues the majority of the Court of Appeals erred in holding the facts of the case failed to establish that BG Holding consented to the work performed by F &amp; D, as is required by the [South Carolina] Mechanic’s Lien Statute. We agree.…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 Carolina’s Mechanic’s Lien Statute provides: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to whom a debt is due for labor performed or furnished or for materials furnished and actually used in the erection, alteration, or repair of a building…by virtue of an agreement with, or</w:t>
      </w:r>
      <w:r>
        <w:rPr>
          <w:rStyle w:val="apple-converted-space"/>
          <w:rFonts w:ascii="Georgia" w:hAnsi="Georgia" w:cs="Calibri"/>
          <w:color w:val="333333"/>
          <w:sz w:val="20"/>
          <w:szCs w:val="20"/>
        </w:rPr>
        <w:t> </w:t>
      </w:r>
      <w:r>
        <w:rPr>
          <w:rStyle w:val="Emphasis"/>
          <w:rFonts w:ascii="Georgia" w:hAnsi="Georgia" w:cs="Calibri"/>
          <w:color w:val="333333"/>
          <w:sz w:val="20"/>
          <w:szCs w:val="20"/>
        </w:rPr>
        <w:t>by consent of, the owner of the building or structure, or a person having authority from, or rightfully acting for, the owner</w:t>
      </w:r>
      <w:r>
        <w:rPr>
          <w:rFonts w:ascii="Georgia" w:hAnsi="Georgia" w:cs="Calibri"/>
          <w:color w:val="333333"/>
          <w:sz w:val="20"/>
          <w:szCs w:val="20"/>
        </w:rPr>
        <w:t>in procuring or furnishing the labor or materials shall have a lien upon the building or structure and upon the interest of the owner of the building or structure …to secure the payment of the debt due. [emphasis added.]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Who Must Receive the Consent.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opinion in this case contemplates the consent must be between the materialman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materialman, as the Court of Appeals’ opinion indicates. A determination that the required consent must come from the owner to the materialman means the materialman can only succeed if he can prove an agreement with the owner. Such an interpretation would render meaningless the language of the statute that provides: “…by virtue of an agreement with, or by consent of the owner.…"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materialman or sub-contractors, but instead may wish to allow the tenant to handle any improvements or upgrades himself. In addition, the landlord/owner may be located far away and may own many properties, making it impractical for him to have direct involvement with the materialman. We find the landlord/owner or his agent is free to enter into a lease or agreement with a tenant which allows the tenant to direct the modifications to the property which have been specifically consented to by the landlord/owner or his agent.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a landlord/owner or his agent can give his consent to the lessee/tenant, as well as directly to the lien claimant, to make modifications to the leased premises.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 What Kind of Consent Is Necessary.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reasoning of [Connecticut and other states that have decided this issue] is persuasive. F &amp; D’s brief appears to argue that mere knowledge by the landowner that the work needed to be done, coupled with 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if the landlord/owner or his agent gives consent directly to the materialman, a lien can be established. Consent can also be given to the tenant, but the consent needs to be specific. The landlord/owner or his agent must know the scope of the project (for instance, as the lease provided in the 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 Evidence There Was No Consent</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The record is clear that no contract, express or implied, existed between BG Holding and F &amp; G. BG Holding had no knowledge F &amp; G would be performing the work.</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Mark Taylor, BG Holding’s agent, testified he never authorized any work by F &amp; D, nor did he see any work being performed by them on the site.</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The lease specifically provided that all work on the property was to be approved in writing by BG Holding.</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David Weatherington of F &amp; D testified he was looking to Powder Coaters, not BG Holding, for payment.</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Powder Coaters acknowledged it was not authorized to bind BG Holding to pay for the modifications.</w:t>
      </w:r>
    </w:p>
    <w:p w:rsidR="00A86150" w:rsidRDefault="00F714D4">
      <w:pPr>
        <w:pStyle w:val="ListParagraph"/>
        <w:numPr>
          <w:ilvl w:val="0"/>
          <w:numId w:val="849"/>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The lease states, “[i]f the Lessee should make any [alterations, modification, additions, or installations], the Lessee hereby agrees to indemnify, defend, and save harmless the Lessor from any liability…”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 Evidence There Was Consent</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Bruce Houston, owner of Powder Coaters testified that during the lease negotiations, he informed Mark Taylor, BG Holding’s property manager and agent, that electrical and gas upgrading would be necessary for Powder Coaters to perform their work.</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Houston testified Mark Taylor was present at the warehouse while F &amp; D performed their work. [However, Taylor testified he did not see F &amp; D performing any work on the premises.]</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Houston testified he would not have entered into the lease if he was not authorized to upgrade the electrical since the existing power source was insufficient to run the machinery needed for Powder Coaters to operate.</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Houston testified Mark Taylor, BG Holding’s agent, showed him the power source for the building so Taylor could understand the extent of the work that was going to be required.</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Houston testified Paragraph 5 of the addendum to the lease was specifically negotiated. He testified the following language granted him the authority to perform the electrical upfit,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A86150" w:rsidRDefault="00F714D4">
      <w:pPr>
        <w:pStyle w:val="ListParagraph"/>
        <w:numPr>
          <w:ilvl w:val="0"/>
          <w:numId w:val="85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Powder Coaters no longer occupies the property, and BG Holding possibly benefits from the work done.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there is some evidence of consent. However, it does not rise to the level required under the statute.…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materialman express or implied consent acknowledging he may be held liable for the work.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opinion is affirmed as modified.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lienor want to go after the landlord instead of the tenant?</w:t>
      </w:r>
    </w:p>
    <w:p w:rsidR="00A86150" w:rsidRDefault="00F714D4">
      <w:pPr>
        <w:numPr>
          <w:ilvl w:val="0"/>
          <w:numId w:val="8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landlord here know that there were electrical upgrades needed by the tenant?</w:t>
      </w:r>
    </w:p>
    <w:p w:rsidR="00A86150" w:rsidRDefault="00F714D4">
      <w:pPr>
        <w:numPr>
          <w:ilvl w:val="0"/>
          <w:numId w:val="8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 of knowledge or acceptance did the court determine the landlord-owner needed to have or give before a material man could have a lien on the real estate?</w:t>
      </w:r>
    </w:p>
    <w:p w:rsidR="00A86150" w:rsidRDefault="00F714D4">
      <w:pPr>
        <w:numPr>
          <w:ilvl w:val="0"/>
          <w:numId w:val="8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remedy has F &amp; D (the material man) now?</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Deeds of Trust; Duties of Trustee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Imperial Building, LLC v. Schnitzer Family Investment, LLC, II (SFI).</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2005 WL 715940, (Wash. Ct. App. 2005)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Applewick, J.</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Pioneer also took a third loan from Alpha at the time of the sale for $1.3 million. This loan from Alpha was junior to the two [other] loans[.]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Avenue entrance. When they met, Sheth told Currin that the sales were conducted at the Administration Building. Currin responded that the sale had already been conducted, and he was not required to go to the Administration Building. Currin told Sheth that the notice indicated the sale was to be at the Third Avenue entrance, and that the sale had been held at the correct location. Sheth did not ask to re-open the bidding.…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 filed the current lawsuit, with Alpha as the sole plaintiff, on February 14, 2003. The lawsuit asked for declaratory relief, restitution, and other damages. The trial court granted the defendants’ summary judgment motion on August 8, 2003. Alpha appeals.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Location of the 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w:t>
      </w:r>
      <w:r>
        <w:rPr>
          <w:rStyle w:val="Emphasis"/>
          <w:rFonts w:ascii="Georgia" w:hAnsi="Georgia" w:cs="Calibri"/>
          <w:color w:val="333333"/>
          <w:sz w:val="20"/>
          <w:szCs w:val="20"/>
        </w:rPr>
        <w:t>Morton v. Resolution Trust</w:t>
      </w:r>
      <w:r>
        <w:rPr>
          <w:rStyle w:val="apple-converted-space"/>
          <w:rFonts w:ascii="Georgia" w:hAnsi="Georgia" w:cs="Calibri"/>
          <w:color w:val="333333"/>
          <w:sz w:val="20"/>
          <w:szCs w:val="20"/>
        </w:rPr>
        <w:t> </w:t>
      </w:r>
      <w:r>
        <w:rPr>
          <w:rFonts w:ascii="Georgia" w:hAnsi="Georgia" w:cs="Calibri"/>
          <w:color w:val="333333"/>
          <w:sz w:val="20"/>
          <w:szCs w:val="20"/>
        </w:rPr>
        <w:t>(S.D. Miss. 1995) to support its contention that the venue of the sale was improper. [But]</w:t>
      </w:r>
      <w:r>
        <w:rPr>
          <w:rStyle w:val="apple-converted-space"/>
          <w:rFonts w:ascii="Georgia" w:hAnsi="Georgia" w:cs="Calibri"/>
          <w:color w:val="333333"/>
          <w:sz w:val="20"/>
          <w:szCs w:val="20"/>
        </w:rPr>
        <w:t> </w:t>
      </w:r>
      <w:r>
        <w:rPr>
          <w:rStyle w:val="Emphasis"/>
          <w:rFonts w:ascii="Georgia" w:hAnsi="Georgia" w:cs="Calibri"/>
          <w:color w:val="333333"/>
          <w:sz w:val="20"/>
          <w:szCs w:val="20"/>
        </w:rPr>
        <w:t>Morton</w:t>
      </w:r>
      <w:r>
        <w:rPr>
          <w:rStyle w:val="apple-converted-space"/>
          <w:rFonts w:ascii="Georgia" w:hAnsi="Georgia" w:cs="Calibri"/>
          <w:color w:val="333333"/>
          <w:sz w:val="20"/>
          <w:szCs w:val="20"/>
        </w:rPr>
        <w:t> </w:t>
      </w:r>
      <w:r>
        <w:rPr>
          <w:rFonts w:ascii="Georgia" w:hAnsi="Georgia" w:cs="Calibri"/>
          <w:color w:val="333333"/>
          <w:sz w:val="20"/>
          <w:szCs w:val="20"/>
        </w:rPr>
        <w:t>is not on point.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Re-Open 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protect his interest in the Property. But, this knowledge did not create in Currin any affirmative duty to offer to re-open the 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w:t>
      </w:r>
      <w:r>
        <w:rPr>
          <w:rStyle w:val="apple-converted-space"/>
          <w:rFonts w:ascii="Georgia" w:hAnsi="Georgia" w:cs="Calibri"/>
          <w:color w:val="333333"/>
          <w:sz w:val="20"/>
          <w:szCs w:val="20"/>
        </w:rPr>
        <w:t> </w:t>
      </w:r>
      <w:r>
        <w:rPr>
          <w:rStyle w:val="Emphasis"/>
          <w:rFonts w:ascii="Georgia" w:hAnsi="Georgia" w:cs="Calibri"/>
          <w:color w:val="333333"/>
          <w:sz w:val="20"/>
          <w:szCs w:val="20"/>
        </w:rPr>
        <w:t>Peterson v. Kansas City Life Ins. Co.,</w:t>
      </w:r>
      <w:r>
        <w:rPr>
          <w:rStyle w:val="apple-converted-space"/>
          <w:rFonts w:ascii="Georgia" w:hAnsi="Georgia" w:cs="Calibri"/>
          <w:color w:val="333333"/>
          <w:sz w:val="20"/>
          <w:szCs w:val="20"/>
        </w:rPr>
        <w:t> </w:t>
      </w:r>
      <w:r>
        <w:rPr>
          <w:rFonts w:ascii="Georgia" w:hAnsi="Georgia" w:cs="Calibri"/>
          <w:color w:val="333333"/>
          <w:sz w:val="20"/>
          <w:szCs w:val="20"/>
        </w:rPr>
        <w:t>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Chilled Bidding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contends that Currin chilled the bidding on the Property by telling bidders that he expected a full credit sale price and by holding the sale at the courthouse. Chilled bidding can be grounds for setting aside a sale.</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 Stores, Inc. v. Sims,</w:t>
      </w:r>
      <w:r>
        <w:rPr>
          <w:rStyle w:val="apple-converted-space"/>
          <w:rFonts w:ascii="Georgia" w:hAnsi="Georgia" w:cs="Calibri"/>
          <w:color w:val="333333"/>
          <w:sz w:val="20"/>
          <w:szCs w:val="20"/>
        </w:rPr>
        <w:t> </w:t>
      </w:r>
      <w:r>
        <w:rPr>
          <w:rFonts w:ascii="Georgia" w:hAnsi="Georgia" w:cs="Calibri"/>
          <w:color w:val="333333"/>
          <w:sz w:val="20"/>
          <w:szCs w:val="20"/>
        </w:rPr>
        <w:t>[Washington Court of Appeals] (1997).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w:t>
      </w:r>
      <w:r>
        <w:rPr>
          <w:rStyle w:val="apple-converted-space"/>
          <w:rFonts w:ascii="Georgia" w:hAnsi="Georgia" w:cs="Calibri"/>
          <w:color w:val="333333"/>
          <w:sz w:val="20"/>
          <w:szCs w:val="20"/>
        </w:rPr>
        <w:t> </w:t>
      </w:r>
      <w:r>
        <w:rPr>
          <w:rFonts w:ascii="Georgia" w:hAnsi="Georgia" w:cs="Calibri"/>
          <w:color w:val="333333"/>
          <w:sz w:val="20"/>
          <w:szCs w:val="20"/>
        </w:rPr>
        <w:t>court explained the two types of chilled bidding: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that there was no chilling. Alpha has not shown that Currin engaged in intentional chilling. There is no evidence that Currin knew about the signs indicating auctions were occurring at the Administration 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also argues that the chilled bidding could have been unintended by Currin.… [But the evidence is that] Currin’s actions did not intentionally or unintentionally chill the bidding, and the sale will not be set aside.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Adequacy of the Sale Price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Washington case law suggests that the price the property is sold for must be ‘grossly inadequate’ for a trustee’s sale to be set aside on those grounds alone. In</w:t>
      </w:r>
      <w:r>
        <w:rPr>
          <w:rStyle w:val="Emphasis"/>
          <w:rFonts w:ascii="Georgia" w:hAnsi="Georgia" w:cs="Calibri"/>
          <w:color w:val="333333"/>
          <w:sz w:val="20"/>
          <w:szCs w:val="20"/>
        </w:rPr>
        <w:t>Cox</w:t>
      </w:r>
      <w:r>
        <w:rPr>
          <w:rStyle w:val="apple-converted-space"/>
          <w:rFonts w:ascii="Georgia" w:hAnsi="Georgia" w:cs="Calibri"/>
          <w:color w:val="333333"/>
          <w:sz w:val="20"/>
          <w:szCs w:val="20"/>
        </w:rPr>
        <w:t> </w:t>
      </w:r>
      <w:r>
        <w:rPr>
          <w:rFonts w:ascii="Georgia" w:hAnsi="Georgia" w:cs="Calibri"/>
          <w:color w:val="333333"/>
          <w:sz w:val="20"/>
          <w:szCs w:val="20"/>
        </w:rPr>
        <w:t>[Citation, 1985], the property was worth between $200,000 and $300,000, and was sold to the beneficiary for $11,873. The Court held that amount to be grossly inadequate In</w:t>
      </w:r>
      <w:r>
        <w:rPr>
          <w:rStyle w:val="apple-converted-space"/>
          <w:rFonts w:ascii="Georgia" w:hAnsi="Georgia" w:cs="Calibri"/>
          <w:color w:val="333333"/>
          <w:sz w:val="20"/>
          <w:szCs w:val="20"/>
        </w:rPr>
        <w:t> </w:t>
      </w:r>
      <w:r>
        <w:rPr>
          <w:rStyle w:val="Emphasis"/>
          <w:rFonts w:ascii="Georgia" w:hAnsi="Georgia" w:cs="Calibri"/>
          <w:color w:val="333333"/>
          <w:sz w:val="20"/>
          <w:szCs w:val="20"/>
        </w:rPr>
        <w:t>Steward</w:t>
      </w:r>
      <w:r>
        <w:rPr>
          <w:rStyle w:val="apple-converted-space"/>
          <w:rFonts w:ascii="Georgia" w:hAnsi="Georgia" w:cs="Calibri"/>
          <w:color w:val="333333"/>
          <w:sz w:val="20"/>
          <w:szCs w:val="20"/>
        </w:rPr>
        <w:t> </w:t>
      </w:r>
      <w:r>
        <w:rPr>
          <w:rFonts w:ascii="Georgia" w:hAnsi="Georgia" w:cs="Calibri"/>
          <w:color w:val="333333"/>
          <w:sz w:val="20"/>
          <w:szCs w:val="20"/>
        </w:rPr>
        <w:t>[Citation, 1988] the property had been purchased for approximately $64,000, and then was sold to a third party at a foreclosure sale for $4,870. This court held that $4,870 was not grossly inadequate.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[Citation] (1984), the Court noted that a sale for less than two percent of the property’s fair market value was grossly inadequate.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percent will not be set aside. [Citation.] The Property was sold for between 40 and 48 percent of its value. These facts do not support a grossly inadequate purchase price.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cites</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for the proposition that ‘where the inadequacy of price is great the sale will be set aside with slight indications of fraud or unfairness,’ arguing that such indications existed here. However, the cases cited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a Junior Lienholder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claims that Currin owed a duty to Alpha, the junior lienholder. Alpha cites no case law for this proposition, and, indeed, there is none—Division Two specifically declined to decide this issue in</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w:t>
      </w:r>
      <w:r>
        <w:rPr>
          <w:rStyle w:val="apple-converted-space"/>
          <w:rFonts w:ascii="Georgia" w:hAnsi="Georgia" w:cs="Calibri"/>
          <w:color w:val="333333"/>
          <w:sz w:val="20"/>
          <w:szCs w:val="20"/>
        </w:rPr>
        <w:t> </w:t>
      </w:r>
      <w:r>
        <w:rPr>
          <w:rFonts w:ascii="Georgia" w:hAnsi="Georgia" w:cs="Calibri"/>
          <w:color w:val="333333"/>
          <w:sz w:val="20"/>
          <w:szCs w:val="20"/>
        </w:rPr>
        <w:t>[Citation].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w:t>
      </w:r>
      <w:r>
        <w:rPr>
          <w:rStyle w:val="apple-converted-space"/>
          <w:rFonts w:ascii="Georgia" w:hAnsi="Georgia" w:cs="Calibri"/>
          <w:color w:val="333333"/>
          <w:sz w:val="20"/>
          <w:szCs w:val="20"/>
        </w:rPr>
        <w:t> </w:t>
      </w:r>
      <w:r>
        <w:rPr>
          <w:rStyle w:val="Emphasis"/>
          <w:rFonts w:ascii="Georgia" w:hAnsi="Georgia" w:cs="Calibri"/>
          <w:color w:val="333333"/>
          <w:sz w:val="20"/>
          <w:szCs w:val="20"/>
        </w:rPr>
        <w:t>Cox</w:t>
      </w:r>
      <w:r>
        <w:rPr>
          <w:rStyle w:val="apple-converted-space"/>
          <w:rFonts w:ascii="Georgia" w:hAnsi="Georgia" w:cs="Calibri"/>
          <w:color w:val="333333"/>
          <w:sz w:val="20"/>
          <w:szCs w:val="20"/>
        </w:rPr>
        <w:t> </w:t>
      </w:r>
      <w:r>
        <w:rPr>
          <w:rFonts w:ascii="Georgia" w:hAnsi="Georgia" w:cs="Calibri"/>
          <w:color w:val="333333"/>
          <w:sz w:val="20"/>
          <w:szCs w:val="20"/>
        </w:rPr>
        <w:t>[Citation]. The fact that a sale in accordance with that contract can 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Attorney Fees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(Alpha) think the sale should have been set aside because of the location problems?</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decide the trustee had no duty to reopen bidding?</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“chilling bidding”? What argument did the plaintiff make to support its contention that bidding was chilled?</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notes precedent to the effect that a “grossly inadequate” bid price has some definition. What is the definition? What percentage of the real estate’s value in this case was the winning bid?</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trustee is one who owes a fiduciary duty of the utmost loyalty and good faith to another, the beneficiary. Who was the beneficiary here? What duty is owed to the junior lienholder (Alpha here)—any duty?</w:t>
      </w:r>
    </w:p>
    <w:p w:rsidR="00A86150" w:rsidRDefault="00F714D4">
      <w:pPr>
        <w:numPr>
          <w:ilvl w:val="0"/>
          <w:numId w:val="8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defendants not get the attorneys’ fee award they wanted?</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34.5</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Real estate may also be used as security under a deed of trust, which permits a trustee to sell the land automatically on default, without recourse to a court of law.</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pStyle w:val="para"/>
        <w:numPr>
          <w:ilvl w:val="0"/>
          <w:numId w:val="853"/>
        </w:numPr>
        <w:shd w:val="clear" w:color="auto" w:fill="E3EFF7"/>
        <w:spacing w:before="150" w:beforeAutospacing="0" w:after="0" w:afterAutospacing="0" w:line="439" w:lineRule="atLeast"/>
        <w:ind w:left="360" w:right="750"/>
        <w:textAlignment w:val="baseline"/>
        <w:rPr>
          <w:rFonts w:ascii="Calibri" w:hAnsi="Calibri" w:cs="Calibri"/>
          <w:color w:val="333333"/>
          <w:sz w:val="20"/>
          <w:szCs w:val="20"/>
        </w:rPr>
      </w:pPr>
      <w:r>
        <w:rPr>
          <w:rFonts w:ascii="Calibri" w:hAnsi="Calibri" w:cs="Calibri"/>
          <w:color w:val="333333"/>
          <w:sz w:val="20"/>
          <w:szCs w:val="20"/>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A86150" w:rsidRDefault="00F714D4">
      <w:pPr>
        <w:pStyle w:val="ListParagraph"/>
        <w:numPr>
          <w:ilvl w:val="0"/>
          <w:numId w:val="8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Carr alone is liable for the deficiency.</w:t>
      </w:r>
    </w:p>
    <w:p w:rsidR="00A86150" w:rsidRDefault="00F714D4">
      <w:pPr>
        <w:pStyle w:val="ListParagraph"/>
        <w:numPr>
          <w:ilvl w:val="0"/>
          <w:numId w:val="8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Able alone is liable for the deficiency because he assumed the mortgage.</w:t>
      </w:r>
    </w:p>
    <w:p w:rsidR="00A86150" w:rsidRDefault="00F714D4">
      <w:pPr>
        <w:pStyle w:val="ListParagraph"/>
        <w:numPr>
          <w:ilvl w:val="0"/>
          <w:numId w:val="8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First Bank may pursue either Able or Carr.</w:t>
      </w:r>
    </w:p>
    <w:p w:rsidR="00A86150" w:rsidRDefault="00F714D4">
      <w:pPr>
        <w:pStyle w:val="ListParagraph"/>
        <w:numPr>
          <w:ilvl w:val="0"/>
          <w:numId w:val="8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if Carr fails to pay will Able be liable.</w:t>
      </w:r>
    </w:p>
    <w:p w:rsidR="00A86150" w:rsidRDefault="00F714D4">
      <w:pPr>
        <w:numPr>
          <w:ilvl w:val="0"/>
          <w:numId w:val="8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counterargues that because a mortgage is not an interest in real estate, recording is not necessary. Who is correct? Explain.</w:t>
      </w:r>
    </w:p>
    <w:p w:rsidR="00A86150" w:rsidRDefault="00F714D4">
      <w:pPr>
        <w:numPr>
          <w:ilvl w:val="0"/>
          <w:numId w:val="8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2 that the documents did not contain an acceleration clause and that Harry missed three consecutive payments. Could Judith foreclose? Explain.</w:t>
      </w:r>
    </w:p>
    <w:p w:rsidR="00A86150" w:rsidRDefault="00F714D4">
      <w:pPr>
        <w:numPr>
          <w:ilvl w:val="0"/>
          <w:numId w:val="8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A86150" w:rsidRDefault="00F714D4">
      <w:pPr>
        <w:numPr>
          <w:ilvl w:val="0"/>
          <w:numId w:val="8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4, assume that Clyde had borrowed $50,000 from First Bank and had given the bank a mortgage on the property two weeks after Rupert commenced work on the garage but several weeks before he filed the lien. Assuming that the bank immediately recorded its mortgage and that Rupert’s lien is valid, does the mortgage take priority over the lien? Why?</w:t>
      </w:r>
    </w:p>
    <w:p w:rsidR="00A86150" w:rsidRDefault="00F714D4">
      <w:pPr>
        <w:numPr>
          <w:ilvl w:val="0"/>
          <w:numId w:val="8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85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person or institution holding a mortgage is called</w:t>
      </w:r>
    </w:p>
    <w:p w:rsidR="00A86150" w:rsidRDefault="00F714D4">
      <w:pPr>
        <w:pStyle w:val="ListParagraph"/>
        <w:numPr>
          <w:ilvl w:val="0"/>
          <w:numId w:val="857"/>
        </w:numPr>
        <w:shd w:val="clear" w:color="auto" w:fill="E3EFF7"/>
        <w:spacing w:after="0" w:line="439" w:lineRule="atLeast"/>
        <w:ind w:left="720" w:right="750"/>
        <w:textAlignment w:val="baseline"/>
        <w:rPr>
          <w:rFonts w:ascii="Calibri" w:hAnsi="Calibri" w:cs="Calibri"/>
          <w:color w:val="333333"/>
          <w:sz w:val="20"/>
          <w:szCs w:val="20"/>
        </w:rPr>
      </w:pPr>
      <w:r>
        <w:rPr>
          <w:rFonts w:ascii="Calibri" w:hAnsi="Calibri" w:cs="Calibri"/>
          <w:color w:val="333333"/>
          <w:sz w:val="20"/>
          <w:szCs w:val="20"/>
        </w:rPr>
        <w:t>the mortgagor</w:t>
      </w:r>
    </w:p>
    <w:p w:rsidR="00A86150" w:rsidRDefault="00F714D4">
      <w:pPr>
        <w:pStyle w:val="ListParagraph"/>
        <w:numPr>
          <w:ilvl w:val="0"/>
          <w:numId w:val="857"/>
        </w:numPr>
        <w:shd w:val="clear" w:color="auto" w:fill="E3EFF7"/>
        <w:spacing w:after="0" w:line="439" w:lineRule="atLeast"/>
        <w:ind w:left="720" w:right="750"/>
        <w:textAlignment w:val="baseline"/>
        <w:rPr>
          <w:rFonts w:ascii="Calibri" w:hAnsi="Calibri" w:cs="Calibri"/>
          <w:color w:val="333333"/>
          <w:sz w:val="20"/>
          <w:szCs w:val="20"/>
        </w:rPr>
      </w:pPr>
      <w:r>
        <w:rPr>
          <w:rFonts w:ascii="Calibri" w:hAnsi="Calibri" w:cs="Calibri"/>
          <w:color w:val="333333"/>
          <w:sz w:val="20"/>
          <w:szCs w:val="20"/>
        </w:rPr>
        <w:t>the mortgagee</w:t>
      </w:r>
    </w:p>
    <w:p w:rsidR="00A86150" w:rsidRDefault="00F714D4">
      <w:pPr>
        <w:pStyle w:val="ListParagraph"/>
        <w:numPr>
          <w:ilvl w:val="0"/>
          <w:numId w:val="857"/>
        </w:numPr>
        <w:shd w:val="clear" w:color="auto" w:fill="E3EFF7"/>
        <w:spacing w:after="0" w:line="439" w:lineRule="atLeast"/>
        <w:ind w:left="720" w:right="750"/>
        <w:textAlignment w:val="baseline"/>
        <w:rPr>
          <w:rFonts w:ascii="Calibri" w:hAnsi="Calibri" w:cs="Calibri"/>
          <w:color w:val="333333"/>
          <w:sz w:val="20"/>
          <w:szCs w:val="20"/>
        </w:rPr>
      </w:pPr>
      <w:r>
        <w:rPr>
          <w:rFonts w:ascii="Calibri" w:hAnsi="Calibri" w:cs="Calibri"/>
          <w:color w:val="333333"/>
          <w:sz w:val="20"/>
          <w:szCs w:val="20"/>
        </w:rPr>
        <w:t>the debtor</w:t>
      </w:r>
    </w:p>
    <w:p w:rsidR="00A86150" w:rsidRDefault="00F714D4">
      <w:pPr>
        <w:pStyle w:val="ListParagraph"/>
        <w:numPr>
          <w:ilvl w:val="0"/>
          <w:numId w:val="857"/>
        </w:numPr>
        <w:shd w:val="clear" w:color="auto" w:fill="E3EFF7"/>
        <w:spacing w:after="0" w:line="439" w:lineRule="atLeast"/>
        <w:ind w:left="720"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85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Mortgages are regulated by</w:t>
      </w:r>
    </w:p>
    <w:p w:rsidR="00A86150" w:rsidRDefault="00F714D4">
      <w:pPr>
        <w:pStyle w:val="ListParagraph"/>
        <w:numPr>
          <w:ilvl w:val="0"/>
          <w:numId w:val="8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Truth in Lending Act</w:t>
      </w:r>
    </w:p>
    <w:p w:rsidR="00A86150" w:rsidRDefault="00F714D4">
      <w:pPr>
        <w:pStyle w:val="ListParagraph"/>
        <w:numPr>
          <w:ilvl w:val="0"/>
          <w:numId w:val="8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Equal Credit Opportunity Act</w:t>
      </w:r>
    </w:p>
    <w:p w:rsidR="00A86150" w:rsidRDefault="00F714D4">
      <w:pPr>
        <w:pStyle w:val="ListParagraph"/>
        <w:numPr>
          <w:ilvl w:val="0"/>
          <w:numId w:val="8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Real Estate Settlement Procedures Act</w:t>
      </w:r>
    </w:p>
    <w:p w:rsidR="00A86150" w:rsidRDefault="00F714D4">
      <w:pPr>
        <w:pStyle w:val="ListParagraph"/>
        <w:numPr>
          <w:ilvl w:val="0"/>
          <w:numId w:val="8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para"/>
        <w:numPr>
          <w:ilvl w:val="0"/>
          <w:numId w:val="86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At the closing, a mortgagor signs</w:t>
      </w:r>
    </w:p>
    <w:p w:rsidR="00A86150" w:rsidRDefault="00F714D4">
      <w:pPr>
        <w:pStyle w:val="ListParagraph"/>
        <w:numPr>
          <w:ilvl w:val="0"/>
          <w:numId w:val="8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a mortgage</w:t>
      </w:r>
    </w:p>
    <w:p w:rsidR="00A86150" w:rsidRDefault="00F714D4">
      <w:pPr>
        <w:pStyle w:val="ListParagraph"/>
        <w:numPr>
          <w:ilvl w:val="0"/>
          <w:numId w:val="8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a note</w:t>
      </w:r>
    </w:p>
    <w:p w:rsidR="00A86150" w:rsidRDefault="00F714D4">
      <w:pPr>
        <w:pStyle w:val="ListParagraph"/>
        <w:numPr>
          <w:ilvl w:val="0"/>
          <w:numId w:val="8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either a note or the mortgage</w:t>
      </w:r>
    </w:p>
    <w:p w:rsidR="00A86150" w:rsidRDefault="00F714D4">
      <w:pPr>
        <w:pStyle w:val="ListParagraph"/>
        <w:numPr>
          <w:ilvl w:val="0"/>
          <w:numId w:val="8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both a note and the mortgage</w:t>
      </w:r>
    </w:p>
    <w:p w:rsidR="00A86150" w:rsidRDefault="00F714D4">
      <w:pPr>
        <w:pStyle w:val="para"/>
        <w:numPr>
          <w:ilvl w:val="0"/>
          <w:numId w:val="8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Mortgages are terminated by</w:t>
      </w:r>
    </w:p>
    <w:p w:rsidR="00A86150" w:rsidRDefault="00F714D4">
      <w:pPr>
        <w:pStyle w:val="ListParagraph"/>
        <w:numPr>
          <w:ilvl w:val="0"/>
          <w:numId w:val="8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repayment</w:t>
      </w:r>
    </w:p>
    <w:p w:rsidR="00A86150" w:rsidRDefault="00F714D4">
      <w:pPr>
        <w:pStyle w:val="ListParagraph"/>
        <w:numPr>
          <w:ilvl w:val="0"/>
          <w:numId w:val="8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novation</w:t>
      </w:r>
    </w:p>
    <w:p w:rsidR="00A86150" w:rsidRDefault="00F714D4">
      <w:pPr>
        <w:pStyle w:val="ListParagraph"/>
        <w:numPr>
          <w:ilvl w:val="0"/>
          <w:numId w:val="8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foreclosure</w:t>
      </w:r>
    </w:p>
    <w:p w:rsidR="00A86150" w:rsidRDefault="00F714D4">
      <w:pPr>
        <w:pStyle w:val="ListParagraph"/>
        <w:numPr>
          <w:ilvl w:val="0"/>
          <w:numId w:val="8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any of the above</w:t>
      </w:r>
    </w:p>
    <w:p w:rsidR="00A86150" w:rsidRDefault="00F714D4">
      <w:pPr>
        <w:pStyle w:val="para"/>
        <w:numPr>
          <w:ilvl w:val="0"/>
          <w:numId w:val="8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lien ordered against a person’s property to prevent its disposal during a lawsuit is called</w:t>
      </w:r>
    </w:p>
    <w:p w:rsidR="00A86150" w:rsidRDefault="00F714D4">
      <w:pPr>
        <w:pStyle w:val="ListParagraph"/>
        <w:numPr>
          <w:ilvl w:val="0"/>
          <w:numId w:val="8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judgment lien</w:t>
      </w:r>
    </w:p>
    <w:p w:rsidR="00A86150" w:rsidRDefault="00F714D4">
      <w:pPr>
        <w:pStyle w:val="ListParagraph"/>
        <w:numPr>
          <w:ilvl w:val="0"/>
          <w:numId w:val="8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attachment lien</w:t>
      </w:r>
    </w:p>
    <w:p w:rsidR="00A86150" w:rsidRDefault="00F714D4">
      <w:pPr>
        <w:pStyle w:val="ListParagraph"/>
        <w:numPr>
          <w:ilvl w:val="0"/>
          <w:numId w:val="8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possessory lien</w:t>
      </w:r>
    </w:p>
    <w:p w:rsidR="00A86150" w:rsidRDefault="00F714D4">
      <w:pPr>
        <w:pStyle w:val="ListParagraph"/>
        <w:numPr>
          <w:ilvl w:val="0"/>
          <w:numId w:val="8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8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8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8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35</w:t>
      </w:r>
    </w:p>
    <w:p w:rsidR="00A86150" w:rsidRDefault="0081777E">
      <w:pPr>
        <w:pStyle w:val="Heading1"/>
        <w:shd w:val="clear" w:color="auto" w:fill="FFFFFF"/>
        <w:spacing w:before="0" w:line="240" w:lineRule="atLeast"/>
        <w:jc w:val="center"/>
        <w:textAlignment w:val="baseline"/>
      </w:pPr>
      <w:r>
        <w:pict>
          <v:rect id="_x0000_i1170"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Bankruptcy</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867"/>
        </w:numPr>
        <w:shd w:val="clear" w:color="auto" w:fill="EAE9DC"/>
        <w:tabs>
          <w:tab w:val="clear" w:pos="720"/>
          <w:tab w:val="num" w:pos="1440"/>
        </w:tabs>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A short history of US bankruptcy law</w:t>
      </w:r>
    </w:p>
    <w:p w:rsidR="00A86150" w:rsidRDefault="00F714D4">
      <w:pPr>
        <w:numPr>
          <w:ilvl w:val="0"/>
          <w:numId w:val="867"/>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An overview of key provisions of the 2005 bankruptcy act</w:t>
      </w:r>
    </w:p>
    <w:p w:rsidR="00A86150" w:rsidRDefault="00F714D4">
      <w:pPr>
        <w:numPr>
          <w:ilvl w:val="0"/>
          <w:numId w:val="867"/>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operation of Chapter 7 bankruptcy</w:t>
      </w:r>
    </w:p>
    <w:p w:rsidR="00A86150" w:rsidRDefault="00F714D4">
      <w:pPr>
        <w:numPr>
          <w:ilvl w:val="0"/>
          <w:numId w:val="867"/>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operation of Chapter 11 bankruptcy</w:t>
      </w:r>
    </w:p>
    <w:p w:rsidR="00A86150" w:rsidRDefault="00F714D4">
      <w:pPr>
        <w:numPr>
          <w:ilvl w:val="0"/>
          <w:numId w:val="867"/>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The basic operation of Chapter 13 bankruptcy</w:t>
      </w:r>
    </w:p>
    <w:p w:rsidR="00A86150" w:rsidRDefault="00F714D4">
      <w:pPr>
        <w:numPr>
          <w:ilvl w:val="0"/>
          <w:numId w:val="867"/>
        </w:numPr>
        <w:shd w:val="clear" w:color="auto" w:fill="EAE9DC"/>
        <w:spacing w:after="0" w:line="439" w:lineRule="atLeast"/>
        <w:ind w:left="1080" w:right="375"/>
        <w:textAlignment w:val="baseline"/>
        <w:rPr>
          <w:rFonts w:ascii="Calibri" w:hAnsi="Calibri" w:cs="Calibri"/>
          <w:color w:val="333333"/>
          <w:sz w:val="20"/>
          <w:szCs w:val="20"/>
        </w:rPr>
      </w:pPr>
      <w:r>
        <w:rPr>
          <w:rFonts w:ascii="Calibri" w:hAnsi="Calibri" w:cs="Calibri"/>
          <w:color w:val="333333"/>
          <w:sz w:val="20"/>
          <w:szCs w:val="20"/>
        </w:rPr>
        <w:t>What debtor’s relief is available outside of bankruptcy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35.1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Introduction to Bankruptcy and Overview of the 2005 Bankruptcy Act</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68"/>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what law governs bankruptcy in the United States.</w:t>
      </w:r>
    </w:p>
    <w:p w:rsidR="00A86150" w:rsidRDefault="00F714D4">
      <w:pPr>
        <w:numPr>
          <w:ilvl w:val="0"/>
          <w:numId w:val="868"/>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key provisions of the law.</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Purpose of Bankruptcy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Bankruptcy law governs the rights of creditors and insolvent debtors who cannot pay their debts. In broadest terms, bankruptcy deals with the seizure of the debtor’s assets and their distribution to the debtor’s various creditors. The term derives from the Renaissance custom of Italian traders, who did their trading from benches in town marketplaces. Creditors literally “broke the bench” of a merchant who failed to pay his debts. The term</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banco rotta</w:t>
      </w:r>
      <w:r>
        <w:rPr>
          <w:rStyle w:val="apple-converted-space"/>
          <w:rFonts w:ascii="Georgia" w:hAnsi="Georgia" w:cs="Calibri"/>
          <w:color w:val="333333"/>
          <w:sz w:val="20"/>
          <w:szCs w:val="20"/>
          <w:lang w:val="en"/>
        </w:rPr>
        <w:t> </w:t>
      </w:r>
      <w:r>
        <w:rPr>
          <w:rFonts w:ascii="Georgia" w:hAnsi="Georgia" w:cs="Calibri"/>
          <w:color w:val="333333"/>
          <w:sz w:val="20"/>
          <w:szCs w:val="20"/>
          <w:lang w:val="en"/>
        </w:rPr>
        <w:t>(broken bench) thus came to apply to business failures.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Victorian era, many people in both England and the United States viewed someone who became bankrupt as a wicked person. In part, this attitude was prompted by the law itself, which to a greater degree in England and to a lesser degree in the United States treated the insolvent debtor as a sort of felon. Until the second half of the nineteenth century, British insolvents could be imprisoned; jail for insolvent debtors was abolished earlier in the United States. And the entire administration of bankruptcy law favored the creditor, who could with a mere filing throw the financial affairs of the alleged insolvent into complete disarray.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Today a different attitude prevails. Bankruptcy is understood as an aspect of financing, a system that permits creditors to receive an equitable distribution of the bankrupt person’s assets and promises new hope to debtors facing impossible financial burdens. Without such a law, we may reasonably suppose that the level of economic activity would be far less than it is, for few would be willing to risk being personally burdened forever by crushing debt. Bankruptcy gives the honest debtor a fresh start and resolves disputes among creditors.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History of the Bankruptcy System; Bankruptcy Courts and Judges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Constitutional Basis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US Constitution prohibits the states from impairing the “obligation of a contract.” This means that no state can directly provide a means for discharging a debtor unless the debt has been entirely paid. But the Constitution in Article I, Section 8, does give the federal government such a power by providing that Congress may enact a uniform bankruptcy law.</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Bankruptcy Statutes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Congress passed bankruptcy laws in 1800, 1841, and 1867. These lasted only a few years each. In 1898, Congress enacted the Bankruptcy Act, which together with the Chandler Act amendments in 1938, lasted until 1978. In 1978, Congress passed the Bankruptcy Reform Act, and in 2005, it adopted the current law, the Bankruptcy Abuse Prevention and Consumer Protection Act (BAPCPA). This law is the subject of our chapter.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At the beginning of the twentieth century, bankruptcies averaged fewer than 20,000 per year. Even in 1935, at the height of the Great Depression, bankruptcy filings in federal court climbed only to 69,000. At the end of World War II, in 1945, they stood at 13,000. From 1950 on, the statistics show a steep increase. During the decade before the 1978 changes, bankruptcy filings in court averaged 181,000 a year—reaching a high of 254,000 in 1975. They soared to over 450,000 filings per year in the 1980s and mostly maintained that pace until just before the 2005 law took effect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35.1 "US Bankruptcies, 1980–2009"</w:t>
      </w:r>
      <w:r>
        <w:rPr>
          <w:rFonts w:ascii="Georgia" w:hAnsi="Georgia" w:cs="Calibri"/>
          <w:color w:val="333333"/>
          <w:sz w:val="20"/>
          <w:szCs w:val="20"/>
          <w:lang w:val="en"/>
        </w:rPr>
        <w:t>). The 2005 act—preceded by “massive lobbying largely by banks and credit card companies”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Fonts w:ascii="Georgia" w:hAnsi="Georgia" w:cs="Calibri"/>
          <w:color w:val="333333"/>
          <w:sz w:val="20"/>
          <w:szCs w:val="20"/>
          <w:lang w:val="en"/>
        </w:rPr>
        <w:t>—was intended by its promoters to restore personal responsibility and integrity in the bankruptcy system. The law’s critics said it was simply a way for the credit card industry to extract more money from consumers before their debts were wiped away.</w:t>
      </w:r>
    </w:p>
    <w:p w:rsidR="00A86150" w:rsidRDefault="00A86150">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Bankruptcy Courts, Judges, and Costs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Each federal judicial district has a US Bankruptcy Court, whose judges are appointed by US Courts of Appeal. Unless both sides agree otherwise, bankruptcy judges are to hear only bankruptcy matters (called core proceedings). Bankruptcy trustees are government lawyers appointed by the US Attorney General. They have administrative responsibilities in overseeing the proceedings.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filing fee for a bankruptcy is about $200, depending upon the type of bankruptcy, and the typical lawyer’s fee for uncomplicated cases is about $1,200–$1,400.</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Overview of Bankruptcy Provisions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BAPCPA provides for six different kinds of bankruptcy proceedings. Each is covered by its own chapter in the act and is usually referred to by its chapter number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35.2 "Bankruptcy Options"</w:t>
      </w:r>
      <w:r>
        <w:rPr>
          <w:rFonts w:ascii="Georgia" w:hAnsi="Georgia" w:cs="Calibri"/>
          <w:color w:val="333333"/>
          <w:sz w:val="20"/>
          <w:szCs w:val="20"/>
          <w:lang w:val="en"/>
        </w:rPr>
        <w:t>).</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35.2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Bankruptcy Options</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2943225"/>
            <wp:effectExtent l="0" t="0" r="0" b="9525"/>
            <wp:docPr id="195" name="Picture 53" descr="http://images.flatworldknowledge.com/mayerlawentrep/mayerlawentrep-fig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mayerlawentrep/mayerlawentrep-fig30_00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294322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statute (as opposed to case law interpreting it) is usually referred to as the bankruptcy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code</w:t>
      </w:r>
      <w:r>
        <w:rPr>
          <w:rFonts w:ascii="Georgia" w:hAnsi="Georgia" w:cs="Calibri"/>
          <w:color w:val="333333"/>
          <w:sz w:val="20"/>
          <w:szCs w:val="20"/>
          <w:lang w:val="en"/>
        </w:rPr>
        <w:t>. The types of bankruptcies are as follows:</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7, Liquidation: applies to all debtors except railroads, insurance companies, most banks and credit unions, and homestead associations.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liquidation is a “straight” bankruptcy proceeding. It entails selling the debtor’s nonexempt assets for cash and distributing the cash to the creditors, thereby discharging the insolvent person or business from any further liability for the debt. About 70 percent of all bankruptcy filings are Chapter 7.</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9, Adjustment of debts of a municipality: applies to municipalities that are insolvent and want to adjust their debts.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law does not suppose that a town, city, or county will go out of existence in the wake of insolvency.)</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11, Reorganization: applies to anybody who could file Chapter 7, plus railroads. It is the means by which a financially troubled company can continue to operate while its financial affairs are put on a sounder basis. A business might liquidate following reorganization but will probably take on new life after negotiations with creditors on how the old debt is to be paid off. A company may voluntarily decide to seek Chapter 11 protection in court, or it may be forced involuntarily into a Chapter 11 proceeding.</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12, Adjustment of debts of a family farmer or fisherman with regular annual income.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Many family farmers cannot qualify for reorganization under Chapter 13 because of the low debt ceiling, and under Chapter 11, the proceeding is often complicated and expensive. As a result, Congress created Chapter 12, which applies only to farmers whose total debts do not exceed $1.5 million.</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13, Adjustment of debts of an individual with regular income: applies only to individuals (no corporations or partnerships) with debt not exceeding about $1.3 million.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chapter permits an individual with regular income to establish a repayment plan, usually either a composition (an agreement among creditors,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35.5 "Alternatives to Bankruptcy"</w:t>
      </w:r>
      <w:r>
        <w:rPr>
          <w:rFonts w:ascii="Georgia" w:hAnsi="Georgia" w:cs="Calibri"/>
          <w:color w:val="333333"/>
          <w:sz w:val="20"/>
          <w:szCs w:val="20"/>
          <w:lang w:val="en"/>
        </w:rPr>
        <w:t>, “Alternatives to Bankruptcy”) or an extension (a stretch-out of the time for paying the entire debt).</w:t>
      </w:r>
    </w:p>
    <w:p w:rsidR="00A86150" w:rsidRDefault="00F714D4">
      <w:pPr>
        <w:pStyle w:val="ListParagraph"/>
        <w:numPr>
          <w:ilvl w:val="0"/>
          <w:numId w:val="86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15, Ancillary and other cross-border cases: incorporates the United Nations’ Model Law on Cross-Border Insolvency to promote cooperation among nations involved in cross-border cases and is intended to create legal certainty for trade and investment. “Ancillary” refers to the possibility that a US debtor might have assets or obligations in a foreign country; those non-US aspects of the case are “ancillary” to the US bankruptcy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BAPCPA includes three chapters that set forth the procedures to be applied to the various proceedings. Chapter 1, “General Provisions,” establishes who is eligible for relief under the act. Chapter 3, “Case Administration,” spells out the powers of the various officials involved in the bankruptcy proceedings and establishes the methods for instituting bankruptcy cases. Chapter 5, “Creditors, the Debtor, and the Estate,” deals with the debtor’s “estate”—his or her assets. It lays down ground rules for determining which property is to be included in the estate, sets out the powers of the bankruptcy trustee to “avoid” (invalidate) transactions by which the debtor sought to remove property from the estate, orders the distribution of property to creditors, and sets forth the duties and benefits that accrue to the debtor under the act.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illustrate how these procedural chapters (especially Chapter 3 and Chapter 5) apply, we focus on the most common proceeding: liquidation (Chapter 7). Most of the principles of bankruptcy law discussed in connection with liquidation apply to the other types of proceedings as well. However, some principles vary, and we conclude the chapter by noting special features of two other important proceedings—Chapter 13 and Chapter 11.</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Bankruptcy law’s purpose is to give the honest debtor a fresh start and to resolve disputes among creditors. The most recent amendments to the law were effective in 2005. Bankruptcy law provides relief to six kinds of debtors: (1) Chapter 7, straight bankruptcy—liquidation—applies to most debtors (except banks and railroads); (2) Chapter 9 applies to municipalities; (3) Chapter 11 is business reorganization; (4) Chapter 12 applies to farmers; (5) Chapter 13 is for wage earners; and (6) Chapter 15 applies to cross-border bankruptcies. The bankruptcy statutes also have several chapters that cover procedures of bankruptcy proceedings.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7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is bankruptcy law required in a modern capitalistic society?</w:t>
      </w:r>
    </w:p>
    <w:p w:rsidR="00A86150" w:rsidRDefault="00F714D4">
      <w:pPr>
        <w:numPr>
          <w:ilvl w:val="0"/>
          <w:numId w:val="87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Who does the bankruptcy trustee represent?</w:t>
      </w:r>
    </w:p>
    <w:p w:rsidR="00A86150" w:rsidRDefault="00F714D4">
      <w:pPr>
        <w:numPr>
          <w:ilvl w:val="0"/>
          <w:numId w:val="87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three most commonly filed bankruptcies are Chapter 7, 11, and 13. Who gets relief under those chapters?</w:t>
      </w:r>
    </w:p>
    <w:p w:rsidR="00A86150" w:rsidRDefault="0081777E">
      <w:pPr>
        <w:spacing w:after="0"/>
        <w:jc w:val="center"/>
        <w:divId w:val="1205941468"/>
      </w:pPr>
      <w:r>
        <w:pict>
          <v:rect id="_x0000_i1171"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CCH Bankruptcy Reform Act Briefing, “Bankruptcy Abuse Prevention and Consumer Protection Act of 2005,” April 2005,</w:t>
      </w:r>
      <w:r>
        <w:rPr>
          <w:rStyle w:val="apple-converted-space"/>
          <w:rFonts w:ascii="Calibri" w:hAnsi="Calibri" w:cs="Calibri"/>
          <w:color w:val="333333"/>
          <w:sz w:val="20"/>
          <w:szCs w:val="20"/>
        </w:rPr>
        <w:t> </w:t>
      </w:r>
      <w:hyperlink r:id="rId122" w:tgtFrame="_blank" w:history="1">
        <w:r>
          <w:rPr>
            <w:rStyle w:val="Hyperlink"/>
            <w:rFonts w:ascii="Calibri" w:hAnsi="Calibri" w:cs="Calibri"/>
            <w:color w:val="2689C6"/>
            <w:sz w:val="20"/>
            <w:szCs w:val="20"/>
          </w:rPr>
          <w:t>http://www.cch.com/bankruptcy/bankruptcy_04-21.pdf</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109(b).</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109(c).</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109(f).</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109(e).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35.2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Case Administration; Creditors’ Claims; Debtors’ Exemptions and Dischargeable Debts; Debtor’s Estate</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71"/>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procedures involved in administering a bankruptcy case.</w:t>
      </w:r>
    </w:p>
    <w:p w:rsidR="00A86150" w:rsidRDefault="00F714D4">
      <w:pPr>
        <w:numPr>
          <w:ilvl w:val="0"/>
          <w:numId w:val="87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basic elements of creditors’ rights under the bankruptcy code.</w:t>
      </w:r>
    </w:p>
    <w:p w:rsidR="00A86150" w:rsidRDefault="00F714D4">
      <w:pPr>
        <w:numPr>
          <w:ilvl w:val="0"/>
          <w:numId w:val="87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fundamentals of what property is included in the debtor’s estate.</w:t>
      </w:r>
    </w:p>
    <w:p w:rsidR="00A86150" w:rsidRDefault="00F714D4">
      <w:pPr>
        <w:numPr>
          <w:ilvl w:val="0"/>
          <w:numId w:val="87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Identify some of the debtor’s exemptions—what property can be kept by the debtor.</w:t>
      </w:r>
    </w:p>
    <w:p w:rsidR="00A86150" w:rsidRDefault="00F714D4">
      <w:pPr>
        <w:numPr>
          <w:ilvl w:val="0"/>
          <w:numId w:val="87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some of the debts that cannot be discharged in bankruptcy.</w:t>
      </w:r>
    </w:p>
    <w:p w:rsidR="00A86150" w:rsidRDefault="00F714D4">
      <w:pPr>
        <w:numPr>
          <w:ilvl w:val="0"/>
          <w:numId w:val="87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an estate is liquidated under Chapter 7.</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Case Administration (Chapter 3 of the Bankruptcy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Recall that the purpose of liquidation is to convert the debtor’s assets—except those exempt under the law—into cash for distribution to the creditors and thereafter to discharge the debtor from further liability. With certain exceptions, any person may voluntarily file a petition to liquidate under Chapter 7. A “person” is defined as any individual, partnership, or corporation. The exceptions are railroads and insurance companies, banks, savings and loan associations, credit unions, and the like.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For a Chapter 7 liquidation proceeding, as for bankruptcy proceedings in general, the various aspects of case administration are covered by the bankruptcy code’s Chapter 3. These include the rules governing commencement of the proceedings, the effect of the petition in bankruptcy, the first meeting of the creditors, and the duties and powers of trustees.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Commencement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begins with the filing of a petition in bankruptcy with the bankruptcy court.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Voluntary and Involuntary Petitions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individual, partnership, or corporation may file a voluntary petition in bankruptcy; 99 percent of bankruptcies are voluntary petitions filed by the debtor. But involuntary bankruptcy is possible, too, under Chapter 7 or Chapter 11. To put anyone into bankruptcy involuntarily, the petitioning creditors must meet three conditions: (1) they must have claims for unsecured debt amounting to at least $13,475; (2) three creditors must join in the petition whenever twelve or more creditors have claims against the particular debtor—otherwise, one creditor may file an involuntary petition, as long as his claim is for at least $13,475; (3) there must be no bona fide dispute about the debt owing. If there is a dispute, the debtor can resist the involuntary filing, and if she wins the dispute, the creditors who pushed for the involuntary petition have to pay the associated costs. Persons owing less than $13,475, farmers, and charitable organizations cannot be forced into bankruptcy.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Automatic Stay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petition—voluntary or otherwise—operates as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stay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against suits or other actions against the debtor to recover claims, enforce judgments, or create liens (but not alimony collection). In other words, once the petition is filed, the debtor is freed from worry over other proceedings affecting her finances or property. No more debt collection calls! Anyone with a claim, secured or unsecured, must seek relief in the bankruptcy court. This provision in the act can have dramatic consequences. Beset by tens of thousands of products-liability suits for damages caused by asbestos, UNR Industries and Manville Corporation, the nation’s largest asbestos producers, filed (separate) voluntary bankruptcy petitions in 1982; those filings automatically stayed all pending lawsuits.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First Meeting of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a petition in bankruptcy is filed, the court issues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order of relief</w:t>
      </w:r>
      <w:r>
        <w:rPr>
          <w:rFonts w:ascii="Georgia" w:hAnsi="Georgia" w:cs="Calibri"/>
          <w:color w:val="333333"/>
          <w:sz w:val="20"/>
          <w:szCs w:val="20"/>
          <w:lang w:val="en"/>
        </w:rPr>
        <w:t>, which determines that the debtor’s property is subject to bankruptcy court control and creates the stay. The Chapter 7 case may be dismissed by the court if, after a notice and hearing, it finds that among other things (e.g., delay, nonpayment of required bankruptcy fees), the debts are primarily consumer debts and the debtor could pay them off—that’s the 2005 act’s famous “means test,”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35.3 "Chapter 7 Liquidation"</w:t>
      </w:r>
      <w:r>
        <w:rPr>
          <w:rFonts w:ascii="Georgia" w:hAnsi="Georgia" w:cs="Calibri"/>
          <w:color w:val="333333"/>
          <w:sz w:val="20"/>
          <w:szCs w:val="20"/>
          <w:lang w:val="en"/>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Assuming that the order of relief has been properly issued, the creditors must meet within a reasonable time. The debtor is obligated to appear at the meeting and submit to examination under oath. The judge does not preside and, indeed, is not even entitled to attend the meeting.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the judge issues an order for relief, an interim trustee is appointed who is authorized initially to take control of the debtor’s assets. The trustee is required to collect the property, liquidate the debtor’s estate, and distribute the proceeds to the creditors. The trustee may sue and be sued in the name of the estate. Under every chapter except Chapter 7, the court has sole discretion to name the trustee. Under Chapter 7, the creditors may select their own trustee as long as they do it at the first meeting of creditors and follow the procedures laid down in the act.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Trustee’s Powers and Duties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empowers the trustee to use, sell, or lease the debtor’s property in the ordinary course of business or, after notice and a hearing, even if not in the ordinary course of business. In all cases, the trustee must protect any security interests in the property. As long as the court has authorized the debtor’s business to continue, the trustee may also obtain credit in the ordinary course of business. She may invest money in the estate to yield the maximum, but reasonably safe, return. Subject to the court’s approval, she may employ various professionals, such as attorneys, accountants, and appraisers, and may, with some exceptions, assume or reject executory contracts and unexpired leases that the debtor has made. The trustee also has the power to avoid many prebankruptcy transactions in order to recover property of the debtor to be included in the liquidation.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Creditors’ Claims, the Debtor, and the Estate (Chapter 5 of the Bankruptcy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now turn to the major matters covered in Chapter 5 of the bankruptcy act: creditors’ claims, debtors’ exemptions and discharge, and the property to be included in the estate. We begin with the rules governing proof of claims by creditors and the priority of their claims.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Claims and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claim is defined as a right to payment, whether or not it is reduced to judgment, liquidated, unliquidated, fixed, contingent, matured, unmatured, disputed, undisputed, legal, equitable, secured, or unsecured. A creditor is defined as a person or entity with a claim that arose no later than when the court issues the order for relief. These are very broad definitions, intended to give the debtor the broadest possible relief when finally discharged.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Proof of Claims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Before the trustee can distribute proceeds of the estate, unsecured creditors must file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proof of claim</w:t>
      </w:r>
      <w:r>
        <w:rPr>
          <w:rFonts w:ascii="Georgia" w:hAnsi="Georgia" w:cs="Calibri"/>
          <w:color w:val="333333"/>
          <w:sz w:val="20"/>
          <w:szCs w:val="20"/>
          <w:lang w:val="en"/>
        </w:rPr>
        <w:t>, prima facie evidence that they are owed some amount of money. They must do so within six months after the first date set for the first meeting of creditors. A creditor’s claim is disallowed, even though it is valid, if it is not filed in a timely manner. A party in interest, such as the trustee or creditor, may object to a proof of claim, in which case the court must determine whether to allow it. In the absence of objection, the claim is “deemed allowed.” The court will not allow some claims. These include unenforceable claims, claims for unmatured interest, claims that may be offset by debts the creditor owes the debtor, and unreasonable charges by an insider or an attorney. If it’s a “no asset” bankruptcy—most are—creditors are in effect told by the court not to waste their time filing proof of claim.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Claims with Priority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act sets out categories of claimants and establishes priorities among them. The law is complex because it sets up different orders of priorities.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First,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secured creditors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get their security interests before anyone else is satisfied, because the security interest is not part of the property that the trustee is entitled to bring into the estate. This is why being a secured creditor is important (as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33 "Secured Transactions and Suretyship"</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34 "Mortgages and Nonconsensual Liens"</w:t>
      </w:r>
      <w:r>
        <w:rPr>
          <w:rFonts w:ascii="Georgia" w:hAnsi="Georgia" w:cs="Calibri"/>
          <w:color w:val="333333"/>
          <w:sz w:val="20"/>
          <w:szCs w:val="20"/>
          <w:lang w:val="en"/>
        </w:rPr>
        <w:t>). To the extent that secured creditors have claims in excess of their collateral, they are considered unsecured or general creditors and are lumped in with general creditors of the appropriate class.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Second, of the six classes of claimants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35.3 "Distribution of the Estate"</w:t>
      </w:r>
      <w:r>
        <w:rPr>
          <w:rFonts w:ascii="Georgia" w:hAnsi="Georgia" w:cs="Calibri"/>
          <w:color w:val="333333"/>
          <w:sz w:val="20"/>
          <w:szCs w:val="20"/>
          <w:lang w:val="en"/>
        </w:rPr>
        <w:t>), the first is known as that of “</w:t>
      </w:r>
      <w:r>
        <w:rPr>
          <w:rStyle w:val="Emphasis"/>
          <w:rFonts w:ascii="Georgia" w:hAnsi="Georgia" w:cs="Calibri"/>
          <w:color w:val="333333"/>
          <w:sz w:val="20"/>
          <w:szCs w:val="20"/>
          <w:lang w:val="en"/>
        </w:rPr>
        <w:t>priority claims</w:t>
      </w:r>
      <w:r>
        <w:rPr>
          <w:rFonts w:ascii="Georgia" w:hAnsi="Georgia" w:cs="Calibri"/>
          <w:color w:val="333333"/>
          <w:sz w:val="20"/>
          <w:szCs w:val="20"/>
          <w:lang w:val="en"/>
        </w:rPr>
        <w:t>.” It is subdivided into ten categories ranked in order of priority. The highest-priority class within the general class of priority claims must be paid off in full before the next class can share in a distribution from the estate, and so on. Within each class, members will share pro rata if there are not enough assets to satisfy everyone fully. The priority classes, from highest to lowest, are set out in the bankruptcy code (11 USC Section 507) as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Domestic support obligations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(“DSO”), which are claims for support due to the spouse, former spouse, child, or child’s representative, and at a lower priority within this class are any claims by a governmental unit that has rendered support assistance to the debtor’s family obligations.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Administrative expenses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that are required to administer the bankruptcy case itself. Under former law, administrative expenses had the highest priority, but Congress elevated domestic support obligations above administrative expenses with the passage of the BAPCPA. Actually, though, administrative expenses have a de facto priority over domestic support obligations, because such expenses are deducted before they are paid to DSO recipients. Since trustees are paid from the bankruptcy estate, the courts have allowed de facto top priority for administrative expenses because no trustee is going to administer a bankruptcy case for nothing (and no lawyer will work for long without getting paid, either).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Gap creditors</w:t>
      </w:r>
      <w:r>
        <w:rPr>
          <w:rFonts w:ascii="Georgia" w:hAnsi="Georgia" w:cs="Calibri"/>
          <w:color w:val="333333"/>
          <w:sz w:val="20"/>
          <w:szCs w:val="20"/>
          <w:lang w:val="en"/>
        </w:rPr>
        <w:t>. Claims made by</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gap creditors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an involuntary bankruptcy petition under Chapter 7 or Chapter 11 are those that arise between the filing of an involuntary bankruptcy petition and the order for relief issued by the court. These claims are given priority because otherwise creditors would not deal with the debtor, usually a business, when the business has declared bankruptcy but no trustee has been appointed and no order of relief issued.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(4)</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Employee wages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up to $10,950 for each worker, for the 180 days previous to either the bankruptcy filing or when the business ceased operations, whichever is earlier (180-day period).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(5)</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Unpaid contributions to employee benefit plans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during the 180-day period, but limited by what was already paid by the employer under subsection (4) above plus what was paid on behalf of the employees by the bankruptcy estate for any employment benefit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(6)</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Any claims for grain from a grain producer or fish from a fisherman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up to $5,400 each against a storage or processing facility.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(7)</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Consumer layaway deposits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up to $2,425 each.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(8)</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Taxes owing to federal, state, and local governments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income, property, employment and excise taxes. Outside of bankruptcy, taxes usually have a higher priority than this, which is why many times creditors—not tax creditors—file an involuntary bankruptcy petition against the debtor so that they have a higher priority in bankruptcy than they would outside it.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(9)</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Allowed claims based on any commitment by the debtor to a federal depository institution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maintain the capital of an insured depository institution.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(10)</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Claims for death or personal injury from a motor vehicle or vessel that occurred while the debtor was legally intoxicated.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Third through sixth (after secured creditors and priority claimants), other claimants are attended to, but not immediately. The bankruptcy code (perhaps somewhat awkwardly) deals with who gets paid when in more than one place. Chapter 5 sets out priority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claims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as just noted; that order applies to</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all</w:t>
      </w:r>
      <w:r>
        <w:rPr>
          <w:rFonts w:ascii="Georgia" w:hAnsi="Georgia" w:cs="Calibri"/>
          <w:color w:val="333333"/>
          <w:sz w:val="20"/>
          <w:szCs w:val="20"/>
          <w:lang w:val="en"/>
        </w:rPr>
        <w:t>bankruptcies. Chapter 7, dealing with liquidation (as opposed to Chapter 11 and Chapter 13, wherein the debtor pays most of her debt), then lists the order of</w:t>
      </w:r>
      <w:r>
        <w:rPr>
          <w:rStyle w:val="Emphasis"/>
          <w:rFonts w:ascii="Georgia" w:hAnsi="Georgia" w:cs="Calibri"/>
          <w:color w:val="333333"/>
          <w:sz w:val="20"/>
          <w:szCs w:val="20"/>
          <w:lang w:val="en"/>
        </w:rPr>
        <w:t>distribution</w:t>
      </w:r>
      <w:r>
        <w:rPr>
          <w:rFonts w:ascii="Georgia" w:hAnsi="Georgia" w:cs="Calibri"/>
          <w:color w:val="333333"/>
          <w:sz w:val="20"/>
          <w:szCs w:val="20"/>
          <w:lang w:val="en"/>
        </w:rPr>
        <w:t>. Section 726 of 11 United States Code provides: “Distribution of property of the estate. (1) First, in payment of claims of the kind specified in, and in the order specified in section 507…” (again, the priority of claims just set out). Following the order specified in the bankruptcy code, our discussion of the order of distribution is taken up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35.3 "Chapter 7 Liquidation"</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Debtor's Duties and Exemptions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imposes certain duties on the debtor, and it exempts some property that the trustee can accumulate and distribute from the estate.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Debtor’s Duties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reasonably enough, is supposed to file a list of creditors, assets, liabilities, and current income, and a statement of financial affairs. The debtor must cooperate with the trustee and be an “honest debtor” in general; the failure to abide by these duties is grounds for a denial of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individual debtor (not including partnerships or corporations) also must show evidence that he or she attended an approved nonprofit budget and counseling agency within 180 days before the filing. The counseling may be “an individual or group briefing (including a briefing conducted by telephone or on the Internet) that outline[s] the opportunities for available credit counseling and assisted such individual in performing a related budget analysis.”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Section 111, the 2005 act describes who can perform this counseling, and a host of regulations and enforcement mechanisms are instituted, generally applying to persons who provide goods or services related to bankruptcy work for consumer debtors whose nonexempt assets are less than $150,000, in order to improve the professionalism of attorneys and others who work with debtors in, or contemplating, bankruptcy. A debtor who is incapacitated, disabled, or on active duty in a military zone doesn’t have to go through the counseling.</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Debtor’s Exemptions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act exempts certain property of the estate of an individual debtor so that he or she will not be impoverished upon discharge. Exactly what is exempt depends on state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Notwithstanding the Constitution’s mandate that Congress establish “uniform laws on the subject of bankruptcies,” bankruptcy law is in fact not uniform because the states persuaded Congress to allow nonuniform exemptions. The concept makes sense: what is necessary for a debtor in Maine to live a nonimpoverished postbankruptcy life might not be the same as what is necessary in southern California. The bankruptcy code describes how a person’s residence is determined for claiming state exemptions: basically, where the debtor lived for 730 days immediately before filing or where she lived for 180 days immediately preceding the 730-day period. For example, if the debtor resided in the same state, without interruption, in the two years leading up to the bankruptcy, he can use that state’s exemptions. If not, the location where he resided for a majority of the half-year preceding the initial two years will be used. The point here is to reduce “exemption shopping”—to reduce the incidences in which a person moves to a generous exemption state only to declare bankruptcy there.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Unless the state has opted out of the federal exemptions (a majority have), a debtor can choose which exemptions to claim.</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There are also some exemptions not included in the bankruptcy code: veteran’s, Social Security, unemployment, and disability benefits are outside the code, and alimony payments are also exempt under federal law. The federal exemptions can be doubled by a married couple filing together.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Here are the federal exemptions: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Homestead:</w:t>
      </w:r>
    </w:p>
    <w:p w:rsidR="00A86150" w:rsidRDefault="00F714D4">
      <w:pPr>
        <w:pStyle w:val="ListParagraph"/>
        <w:numPr>
          <w:ilvl w:val="0"/>
          <w:numId w:val="87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Real property, including mobile homes and co-ops, or burial plots up to $20,200. Unused portion of homestead, up to $10,125, may be used for other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Personal Property:</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Motor vehicle up to $3,225.</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Animals, crops, clothing, appliances and furnishings, books, household goods, and musical instruments up to $525 per item, and up to $10,775 total.</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Jewelry up to $1,350.</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$1,075 of any property, and unused portion of homestead up to $10,125.</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Health aids.</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Wrongful death recovery for person you depended upon.</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Personal injury recovery up to $20,200 except for pain and suffering or for pecuniary loss.</w:t>
      </w:r>
    </w:p>
    <w:p w:rsidR="00A86150" w:rsidRDefault="00F714D4">
      <w:pPr>
        <w:pStyle w:val="ListParagraph"/>
        <w:numPr>
          <w:ilvl w:val="0"/>
          <w:numId w:val="87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Lost earnings payments.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Pensions:</w:t>
      </w:r>
    </w:p>
    <w:p w:rsidR="00A86150" w:rsidRDefault="00F714D4">
      <w:pPr>
        <w:pStyle w:val="ListParagraph"/>
        <w:numPr>
          <w:ilvl w:val="0"/>
          <w:numId w:val="874"/>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Tax exempt retirement accounts; IRAs and Roth IRAs up to $1,095,000 per person.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Public Benefits:</w:t>
      </w:r>
    </w:p>
    <w:p w:rsidR="00A86150" w:rsidRDefault="00F714D4">
      <w:pPr>
        <w:pStyle w:val="ListParagraph"/>
        <w:numPr>
          <w:ilvl w:val="0"/>
          <w:numId w:val="87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Public assistance, Social Security, Veteran’s benefits, Unemployment Compensation.</w:t>
      </w:r>
    </w:p>
    <w:p w:rsidR="00A86150" w:rsidRDefault="00F714D4">
      <w:pPr>
        <w:pStyle w:val="ListParagraph"/>
        <w:numPr>
          <w:ilvl w:val="0"/>
          <w:numId w:val="875"/>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Crime victim’s compensation.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Tools of Trade:</w:t>
      </w:r>
    </w:p>
    <w:p w:rsidR="00A86150" w:rsidRDefault="00F714D4">
      <w:pPr>
        <w:pStyle w:val="ListParagraph"/>
        <w:numPr>
          <w:ilvl w:val="0"/>
          <w:numId w:val="87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Implements, books, and tools of trade, up to $2,025.</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Alimony and Child Support:</w:t>
      </w:r>
    </w:p>
    <w:p w:rsidR="00A86150" w:rsidRDefault="00F714D4">
      <w:pPr>
        <w:pStyle w:val="ListParagraph"/>
        <w:numPr>
          <w:ilvl w:val="0"/>
          <w:numId w:val="877"/>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Alimony and child support needed for support.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Insurance:</w:t>
      </w:r>
    </w:p>
    <w:p w:rsidR="00A86150" w:rsidRDefault="00F714D4">
      <w:pPr>
        <w:pStyle w:val="ListParagraph"/>
        <w:numPr>
          <w:ilvl w:val="0"/>
          <w:numId w:val="87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Unmatured life insurance policy except credit insurance.</w:t>
      </w:r>
    </w:p>
    <w:p w:rsidR="00A86150" w:rsidRDefault="00F714D4">
      <w:pPr>
        <w:pStyle w:val="ListParagraph"/>
        <w:numPr>
          <w:ilvl w:val="0"/>
          <w:numId w:val="87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Life insurance policy with loan value up to $10,775.</w:t>
      </w:r>
    </w:p>
    <w:p w:rsidR="00A86150" w:rsidRDefault="00F714D4">
      <w:pPr>
        <w:pStyle w:val="ListParagraph"/>
        <w:numPr>
          <w:ilvl w:val="0"/>
          <w:numId w:val="87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Disability, unemployment, or illness benefits.</w:t>
      </w:r>
    </w:p>
    <w:p w:rsidR="00A86150" w:rsidRDefault="00F714D4">
      <w:pPr>
        <w:pStyle w:val="ListParagraph"/>
        <w:numPr>
          <w:ilvl w:val="0"/>
          <w:numId w:val="878"/>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Life insurance payments for a person you depended on, which you need for support.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 run-up to the 2005 changes in the bankruptcy law, there was concern that some states—especially Florida</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Fonts w:ascii="Georgia" w:hAnsi="Georgia" w:cs="Calibri"/>
          <w:color w:val="333333"/>
          <w:sz w:val="20"/>
          <w:szCs w:val="20"/>
          <w:lang w:val="en"/>
        </w:rPr>
        <w:t>—had gone too far in giving debtors’ exemptions. The BAPCPA amended Section 522 to limit the amount of equity a debtor can exempt, even in a state with unlimited homestead exemptions, in certain circumstances. (Section 522(o) and (p) set out the law’s changes.)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Secured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already noted, secured creditors generally have priority, even above the priority claims. That’s why banks and lending institutions almost always secure the debtor’s obligations. But despite the general rule, the debtor can avoid certain types of security interests. Liens that attach to assets that the debtor is entitled to claim as exempt can be avoided to the extent the lien impairs the value of the exemption in both Chapter 13 and Chapter 7. To be avoidable, the lien must be a judicial lien (like a judgment or a garnishment), or a nonpossessory, non-purchase-money security interest in household goods or tools of the trade.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Tax liens (which are statutory liens, not judicial liens) aren’t avoidable in Chapter 7 even if they impair exemptions; tax liens can be avoided in Chapter 13 to the extent the lien is greater than the asset’s value.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Dischargeable and Nondischargeable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whole point of bankruptcy, of course, is for debtors to get relief from the press of debt that they cannot reasonably pay.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Dischargeable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discharged, the debtor is no longer legally liable to pay any remaining unpaid debts (except nondischargeable debts) that arose before the court issued the order of relief. The discharge operates to void any money judgments already rendered against the debtor and to bar the judgment creditor from seeking to recover the judgment.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Nondischargeable Debts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debts are not dischargeable in bankruptcy. A bankruptcy discharge varies, depending on the type of bankruptcy the debtor files (Chapter 7, 11, 12, or 13). The most common nondischargeable debts listed in Section 523 include the following:</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All debts not listed in the bankruptcy petition</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Student loans—unless it would be an undue hardship to repay them (see</w:t>
      </w:r>
      <w:r>
        <w:rPr>
          <w:rFonts w:ascii="Georgia" w:hAnsi="Georgia" w:cs="Calibri"/>
          <w:color w:val="2689C6"/>
          <w:sz w:val="20"/>
          <w:szCs w:val="20"/>
          <w:lang w:val="en"/>
        </w:rPr>
        <w:t>Section 35.6 "Cases"</w:t>
      </w:r>
      <w:r>
        <w:rPr>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 re Zygarewicz</w:t>
      </w:r>
      <w:r>
        <w:rPr>
          <w:rFonts w:ascii="Georgia" w:hAnsi="Georgia" w:cs="Calibri"/>
          <w:color w:val="333333"/>
          <w:sz w:val="20"/>
          <w:szCs w:val="20"/>
          <w:lang w:val="en"/>
        </w:rPr>
        <w:t>)</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Taxes—federal, state, and municipal</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Fines for violating the law, including criminal fines and traffic tickets</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Alimony and child support, divorce, and other property settlements</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Debts for personal injury caused by driving, boating, or operating an aircraft while intoxicated</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Consumer debts owed to a single creditor and aggregating more than $550 for luxury goods or services incurred within ninety days before the order of relief</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Cash advances aggregating more than $825 obtained by an individual debtor within ninety days before the order for relief</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Debts incurred because of fraud or securities law violations</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Debts for willful injury to another’s person or his or her property</w:t>
      </w:r>
    </w:p>
    <w:p w:rsidR="00A86150" w:rsidRDefault="00F714D4">
      <w:pPr>
        <w:pStyle w:val="ListParagraph"/>
        <w:numPr>
          <w:ilvl w:val="0"/>
          <w:numId w:val="879"/>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Debts from embezzlement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is not an exhaustive list, and as noted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35.3 "Chapter 7 Liquidation"</w:t>
      </w:r>
      <w:r>
        <w:rPr>
          <w:rFonts w:ascii="Georgia" w:hAnsi="Georgia" w:cs="Calibri"/>
          <w:color w:val="333333"/>
          <w:sz w:val="20"/>
          <w:szCs w:val="20"/>
          <w:lang w:val="en"/>
        </w:rPr>
        <w:t>, there are some circumstances in which it is not just certain debts that aren’t dischargeable: sometimes a discharge is denied entirely.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Reaffirmation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debtor may reaffirm a debt that was discharged. Section 524 of the bankruptcy code provides important protection to the debtor intent on doing so. No</w:t>
      </w:r>
      <w:r>
        <w:rPr>
          <w:rStyle w:val="marginterm"/>
          <w:rFonts w:ascii="Georgia" w:hAnsi="Georgia" w:cs="Calibri"/>
          <w:color w:val="333333"/>
          <w:sz w:val="20"/>
          <w:szCs w:val="20"/>
          <w:lang w:val="en"/>
        </w:rPr>
        <w:t>reaffirmation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binding unless the reaffirmation was made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prior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the granting of the discharge; the reaffirmation agreement must contain a clear and conspicuous statement that advises the debtor that the agreement is not required by bankruptcy or nonbankruptcy law and that the agreement may be rescinded by giving notice of rescission to the holder of such claim at any time prior to discharge or within sixty days after the agreement is filed with the court, whichever is later.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written agreement to reaffirm a debt must be filed with the bankruptcy court. The attorney for the debtor must file an affidavit certifying that the agreement represents a fully informed and voluntary agreement, that the agreement does not impose an undue hardship on the debtor or a dependent of the debtor, and that the attorney has fully advised the debtor of the legal consequences of the agreement and of a default under the agreement. Where the debtor is an individual who was not represented by an attorney during the course of negotiating the agreement, the reaffirmation agreement must be approved by the court, after disclosures to the debtor, and after the court finds that it is in the best interest of the debtor and does not cause an undue hardship on the debtor or a dependent.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Property Included in the 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a bankruptcy petition is filed,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debtor’s estate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created consisting of all the debtor’s then-existing property interests, whether legal or equitable. In addition, the estate includes any bequests, inheritances, and certain other distributions of property that the debtor receives within the next 180 days. It also includes property recovered by the trustee under certain powers granted by the law. What is not exempt property will be distributed to the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code confers on the trustee certain powers to recover property for the estate that the debtor transferred before bankruptcy.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such power (in Section 544) is to act as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hypothetical lien creditor</w:t>
      </w:r>
      <w:r>
        <w:rPr>
          <w:rFonts w:ascii="Georgia" w:hAnsi="Georgia" w:cs="Calibri"/>
          <w:color w:val="333333"/>
          <w:sz w:val="20"/>
          <w:szCs w:val="20"/>
          <w:lang w:val="en"/>
        </w:rPr>
        <w:t>. This power is best explained by an example. Suppose Dennis Debtor purchases equipment on credit from Acme Supply Company. Acme fails to perfect its security interest, and a few weeks later Debtor files a bankruptcy petition. By virtue of the section conferring on the trustee the status of a hypothetical lien creditor, the trustee can act as though she had a lien on the equipment, with priority over Acme’s unperfected security interest. Thus the trustee can avoid Acme’s security interest, with the result that Acme would be treated as an unsecured creditor.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Another power is to avoid transactions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voidable preferences</w:t>
      </w:r>
      <w:r>
        <w:rPr>
          <w:rFonts w:ascii="Georgia" w:hAnsi="Georgia" w:cs="Calibri"/>
          <w:color w:val="333333"/>
          <w:sz w:val="20"/>
          <w:szCs w:val="20"/>
          <w:lang w:val="en"/>
        </w:rPr>
        <w:t>—transactions highly favorable to particular creditors.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transfer of property is voidable if it was made (1) to a creditor or for his benefit, (2) on account of a debt owed before the transfer was made, (3) while the debtor was insolvent, (4) on or within ninety days before the filing of the petition, and (5) to enable a creditor to receive more than he would have under Chapter 7. If the creditor was an “insider”—one who had a special relationship with the debtor, such as a relative or general partner of the debtor or a corporation that the debtor controls or serves in as director or officer—then the trustee may void the transaction if it was made within one year of the filing of the petition, assuming that the debtor was insolvent at the time the transaction was made.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prebankruptcy transfers that seem to fall within these provisions do not. The most important exceptions are (1) transfers made for new value (the debtor buys a refrigerator for cash one week before filing a petition; this is an exchange for new value and the trustee may not void it); (2) a transfer that creates a purchase-money security interest securing new value if the secured party perfects within ten days after the debtor receives the goods; (3) payment of a debt incurred in the ordinary course of business, on ordinary business terms; (4) transfers totaling less than $600 by an individual whose debts are primarily consumer debts; (5) transfers totaling less than $5,475 by a debtor whose debts are not primarily consumer debts; and (6) transfers to the extent the transfer was a bona fide domestic support obligation.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third power of the trustee is to avoid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fraudulent transfers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made within two years before the date that the bankruptcy petition was filed.</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provision contemplates various types of fraud. For example, while insolvent, the debtor might transfer property to a relative for less than it was worth, intending to recover it after discharge. This situation should be distinguished from the voidable preference just discussed, in which the debtor pays a favored creditor what he actually owes but in so doing cannot then pay other creditors.</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bankruptcy commences with the filing of a petition of bankruptcy. Creditors file proofs of claim and are entitled to certain priorities: domestic support obligations and the costs of administration are first. The debtor has an obligation to file full and truthful schedules and to attend a credit counseling session, if applicable. The debtor has a right to claim exemptions, federal or state, that leave her with assets sufficient to make a fresh start: some home equity, an automobile, and clothing and personal effects, among others. The honest debtor is discharged of many debts, but some are nondischargeable, among them taxes, debt from illegal behavior (embezzlement, drunk driving), fines, student loans, and certain consumer debt. A debtor may, after proper counseling, reaffirm debt, but only before filing. The bankruptcy trustee takes over the nonexempt property of the debtor; he may act as a hypothetical lien creditor (avoiding unperfected security interests) and avoid preferential and fraudulent transfers that unfairly diminish the property of the estate.</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automatic stay, and when does it arise?</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are the expenses of claimants administering the bankruptcy given top priority (notwithstanding the nominal top priority of domestic support obligations)?</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are debtor’s exemptions not uniform? What sorts of things are exempt from being taken by the bankruptcy trustee, and why are such exemptions allowed?</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Some debts are nondischargeable; give three examples. What is the rationale for disallowing some debts from discharge?</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does the law take care that the debtor is fully informed of the right</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not</w:t>
      </w:r>
      <w:r>
        <w:rPr>
          <w:rStyle w:val="apple-converted-space"/>
          <w:rFonts w:ascii="Calibri" w:hAnsi="Calibri" w:cs="Calibri"/>
          <w:color w:val="333333"/>
          <w:sz w:val="20"/>
          <w:szCs w:val="20"/>
          <w:lang w:val="en"/>
        </w:rPr>
        <w:t> </w:t>
      </w:r>
      <w:r>
        <w:rPr>
          <w:rFonts w:ascii="Calibri" w:hAnsi="Calibri" w:cs="Calibri"/>
          <w:color w:val="333333"/>
          <w:sz w:val="20"/>
          <w:szCs w:val="20"/>
          <w:lang w:val="en"/>
        </w:rPr>
        <w:t>to reaffirm debts, and why is such care taken?</w:t>
      </w:r>
    </w:p>
    <w:p w:rsidR="00A86150" w:rsidRDefault="00F714D4">
      <w:pPr>
        <w:numPr>
          <w:ilvl w:val="0"/>
          <w:numId w:val="8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 hypothetical lien creditor? What is the difference between a preferential transfer and a fraudulent one? Why is it relevant to discuss these three things in the same paragraph?</w:t>
      </w:r>
    </w:p>
    <w:p w:rsidR="00A86150" w:rsidRDefault="0081777E">
      <w:pPr>
        <w:spacing w:after="0"/>
        <w:jc w:val="center"/>
        <w:divId w:val="1376153878"/>
      </w:pPr>
      <w:r>
        <w:pict>
          <v:rect id="_x0000_i1172"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109(h).</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These are the states that allow residents to chose either federal or state exemptions (the other states mandate the use of state exemptions only): Arkansas, Connecticut, District of Columbia, Hawaii, Kentucky, Massachusetts, Michigan, Minnesota, New Hampshire, New Jersey, New Mexico, Pennsylvania, Rhode Island, Texas, Vermont, Washington, and Wisconsin.</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522.</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The Florida homestead exemption is “[r]eal or personal property, including mobile or modular home and condominium, to unlimited value. Property cannot exceed: 1/2 acre in a municipality, or 160 acres elsewhere.” The 2005 act limits the state homestead exemptions, as noted.</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547.</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548.</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35.3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Chapter 7 Liquidation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81"/>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grounds for a Chapter 7 case to be dismissed.</w:t>
      </w:r>
    </w:p>
    <w:p w:rsidR="00A86150" w:rsidRDefault="00F714D4">
      <w:pPr>
        <w:numPr>
          <w:ilvl w:val="0"/>
          <w:numId w:val="88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Be familiar with the BAPCPA’s means-testing requirements before Chapter 7 discharge is granted.</w:t>
      </w:r>
    </w:p>
    <w:p w:rsidR="00A86150" w:rsidRDefault="00F714D4">
      <w:pPr>
        <w:numPr>
          <w:ilvl w:val="0"/>
          <w:numId w:val="88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under what circumstances a debtor will be denied discharge.</w:t>
      </w:r>
    </w:p>
    <w:p w:rsidR="00A86150" w:rsidRDefault="00F714D4">
      <w:pPr>
        <w:numPr>
          <w:ilvl w:val="0"/>
          <w:numId w:val="881"/>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order of distribution of the debtor’s estate under Chapter 7.</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Trustee’s Duties under Chapter 7; Grounds for Dismissal: The Means Test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Except as noted, the provisions discussed up until now apply to each type of bankruptcy proceeding. The following discussion is limited to certain provisions under Chapter 7.</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Trustee’s Duties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addition to the duties already noted, the trustee has other duties under Chapter 7. He must sell the property for money, close up the estate “as expeditiously as is compatible with the best interests of parties in interest,” investigate the debtor’s financial affairs, examine proofs of claims, reject improper ones, oppose the discharge of the debtor where doing so is advisable in the trustee’s opinion, furnish a creditor with information about the estate and his administration (unless the court orders otherwise), file tax reports if the business continues to be operated, and make a final report and file it with the court.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Conversion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Section 706 of the bankruptcy code, the debtor may convert a Chapter 7 case to Chapter 11, 12, or 13 at any time. The court may order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conversion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Chapter 11 at any time upon request of a party in interest and after notice and hearing. And, as discussed next, a case may be converted from Chapter 7 to Chapter 13 if the debtor agrees, or be dismissed if he does not, in those cases where the debtor makes too much money to be discharged without it being an “abuse” under the 2005 act.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Dismissal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may dismiss a case for three general reasons.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first reason is “for cause,” after notice and a hearing for cause, including (1) unreasonable delay by the debtor that prejudices creditors, (2) nonpayment of any fees required, (3) failure to file required documents and schedules.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second reason for dismissal (or, with the debtor’s permission, conversion to Chapter 11 or 13) applies to debtors whose debt is primarily consumer debt: the court may—after notice and a hearing—dismiss a case if granting relief would be “an abuse of the provisions” of the bankruptcy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third reason for dismissal is really the crux of the 2005 law: under it, the court will find that granting relief under Chapter 7 to a debtor whose debt is primarily consumer debt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 abuse” if the debtor makes too much money. The debtor must pass a means test: If he’s poor enough, he can go Chapter 7. If he is not poor enough (or if they are not, in case of a married couple), Chapter 13—making payments to creditors—is the way to go. Here is one practitioner’s explanation of the means test: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apply the means test, the courts will look at the debtor’s average income for the 6 months prior to filing [not the debtor’s income at the time of filing, when—say—she just lost her job] and compare it to the median income for that state. For example, the median annual income for a single wage-earner in California is $42,012. If the income is below the median, then Chapter 7 remains open as an option. If the income exceeds the median, the remaining parts of the means test will be applied.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next step in the calculation takes monthly income less reasonable living expenses [“reasonable living expenses” are strictly calculated based on IRS standards; the figure excludes payments on the debts included in the bankruptcy], and multiplies that figure times 60. This represents the amount of income available over a 5-year period for repayment of the debt obligations.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income available for debt repayment over that 5-year period is $10,000 or more, then Chapter 13 will be required. In other words, anyone earning above the state median, and with at least $166.67 per month ($10,000 divided by 60) of available income, will automatically be denied Chapter 7. So for example, if the court determines that you have $200 per month income above living expenses, $200 times 60 is $12,000. Since $12,000 is above $10,000, you’re stuck with Chapter 13.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happens if you are above the median income but do NOT have at least $166.67 per month to pay toward your debts? Then the final part of the means test is applied. If the available income is less than $100 per month, then Chapter 7 again becomes an option. If the available income is between $100 and $166.66, then it is measured against the debt as a percentage, with 25% being the benchmark.</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other words, let’s say your income is above the median, your debt is $50,000, and you only have $125 of available monthly income. We take $125 times 60 months (5 years), which equals $7,500 total. Since $7,500 is less than 25% of your $50,000 debt, Chapter 7 is still a possible option for you. If your debt was only $25,000, then your $7,500 of available income would exceed 25% of your debt and you would be required to file under Chapter 13.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sum up, first figure out whether you are above or below the median income for your state—median income figures are available at</w:t>
      </w:r>
      <w:r>
        <w:rPr>
          <w:rStyle w:val="apple-converted-space"/>
          <w:rFonts w:ascii="Georgia" w:hAnsi="Georgia" w:cs="Calibri"/>
          <w:color w:val="333333"/>
          <w:sz w:val="20"/>
          <w:szCs w:val="20"/>
          <w:lang w:val="en"/>
        </w:rPr>
        <w:t> </w:t>
      </w:r>
      <w:hyperlink r:id="rId123" w:tgtFrame="_blank" w:history="1">
        <w:r>
          <w:rPr>
            <w:rStyle w:val="Hyperlink"/>
            <w:rFonts w:ascii="Georgia" w:hAnsi="Georgia" w:cs="Calibri"/>
            <w:color w:val="2689C6"/>
            <w:sz w:val="20"/>
            <w:szCs w:val="20"/>
            <w:lang w:val="en"/>
          </w:rPr>
          <w:t>http://www.new-bankruptcy-law-info.com</w:t>
        </w:r>
      </w:hyperlink>
      <w:r>
        <w:rPr>
          <w:rFonts w:ascii="Georgia" w:hAnsi="Georgia" w:cs="Calibri"/>
          <w:color w:val="333333"/>
          <w:sz w:val="20"/>
          <w:szCs w:val="20"/>
          <w:lang w:val="en"/>
        </w:rPr>
        <w:t>. Be sure to account for your spouse’s income if you are a two-income family. Next, deduct your average monthly living expenses from your monthly income and multiply by 60. If the result is above $10,000, you’re stuck with Chapter 13. If the result is below $6,000, you may still be able to file Chapter 7. If the result is between $6,000 and $10,000, compare it to 25% of your debt. Above 25%, you’re looking at Chapter 13 for sure.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law also requires that attorneys sign the petition (as well as the debtor); the attorney’s signature certifies that the petition is well-grounded in fact and that the attorney has no knowledge after reasonable inquiry that the schedules and calculations are incorrect. Attorneys thus have an incentive to err in favor of filing Chapter 13 instead of Chapter 7 (perhaps that was part of Congress’s purpose in this section of the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there’s been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dismissal</w:t>
      </w:r>
      <w:r>
        <w:rPr>
          <w:rFonts w:ascii="Georgia" w:hAnsi="Georgia" w:cs="Calibri"/>
          <w:color w:val="333333"/>
          <w:sz w:val="20"/>
          <w:szCs w:val="20"/>
          <w:lang w:val="en"/>
        </w:rPr>
        <w:t>, the debtor and creditors have the same rights and remedies as they had prior to the case being commenced—as if the case had never been filed (almost). The debtor can refile immediately, unless the court orders a 120-day penalty (for failure to appear). In most cases, a debtor can file instantly for a Chapter 13 following a Chapter 7 dismissal.</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Distribution of the Estate and Discharge; Denying Discharge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Distribution of the 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estate includes all his or her assets or all their assets (in the case of a married couple) broadly defined. From the estate, the debtor removes property claimed exempt; the trustee may recapture some assets improperly removed from the estate (preferential and fraudulent transfers), and what’s left is the distributable estate. It is important to note that the vast majority of Chapter 7 bankruptcies are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no-asset cases</w:t>
      </w:r>
      <w:r>
        <w:rPr>
          <w:rFonts w:ascii="Georgia" w:hAnsi="Georgia" w:cs="Calibri"/>
          <w:color w:val="333333"/>
          <w:sz w:val="20"/>
          <w:szCs w:val="20"/>
          <w:lang w:val="en"/>
        </w:rPr>
        <w:t>—90–95 percent of them, according to one longtime bankruptcy trustee.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That means creditors get nothing. But in those cases where there are assets, the trustee must distribute the estate to the remaining classes of claimants in this order:</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Secured creditors, paid on their security interests</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Claims with priority</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Unsecured creditors who filed their claims on time</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Unsecured creditors who were tardy in filing, if they had no notice of the bankruptcy</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Unsecured creditors who were tardy and had notice, real or constructive</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Claims by creditors for fines, penalties, and exemplary or punitive damages</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Interest for all creditors at the legal rate</w:t>
      </w:r>
    </w:p>
    <w:p w:rsidR="00A86150" w:rsidRDefault="00F714D4">
      <w:pPr>
        <w:pStyle w:val="ListParagraph"/>
        <w:numPr>
          <w:ilvl w:val="0"/>
          <w:numId w:val="882"/>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35.3</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Distribution of the Estate</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5486400" cy="2552700"/>
            <wp:effectExtent l="0" t="0" r="0" b="0"/>
            <wp:docPr id="198" name="Picture 55" descr="http://images.flatworldknowledge.com/mayerlawentrep/mayerlawentrep-fig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mayerlawentrep/mayerlawentrep-fig30_00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estate is distributed, the court will order the debtor discharged (except for nondischargeable debts) unless one of the following overall exceptions applies for denying</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discharge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(i.e., relief from the debt). This list is not exhaustive:</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is not an individual. In a Chapter 7 case, a corporation or partnership does not receive a bankruptcy discharge; instead, the entity is dissolved and its assets liquidated. The debts remain theoretically valid but uncollectible until the statute of limitations on them has run. Only an individual can receive a Chapter 7 discharge.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has concealed or destroyed property with intent to defraud, hinder, or delay within twelve months preceding filing of the petition.</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has concealed, destroyed, or falsified books and records</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has lied under oath, knowingly given a false account, presented or used a false claim, given or received bribes, refused to obey court orders.</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has failed to explain satisfactorily any loss of assets.</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has declared Chapter 7 or Chapter 11 bankruptcy within eight years, or Chapter 13 within six years (with some exceptions).</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failed to participate in “an instructional course concerning personal financial management” (unless that’s excused).</w:t>
      </w:r>
    </w:p>
    <w:p w:rsidR="00A86150" w:rsidRDefault="00F714D4">
      <w:pPr>
        <w:pStyle w:val="ListParagraph"/>
        <w:numPr>
          <w:ilvl w:val="0"/>
          <w:numId w:val="883"/>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 individual debtor has “abused” the bankruptcy process. A preferential transfer is not an “abuse,” but it will be set aside. Making too much money to file Chapter 7 is “an abuse” that will deny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discharge may be revoked if the debtor committed fraud during the bankruptcy proceedings, but the trustee or a creditor must apply for revocation within one year of the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Having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discharge denied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does not affect the administration of the bankruptcy case. The trustee can (and will) continue to liquidate any nonexempt assets of the debtor and pay the creditors, but the debtor still has to pay the debts left over.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to any consequence of discharge, bankruptcy law prohibits governmental units from discriminating against a person who has gone through bankruptcy. Debtors are also protected from discrimination by private employers; for example, a private employer may not fire a debtor because of the bankruptcy. Certainly, however, the debtor’s credit rating will be affected by the bankruptcy.</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 Chapter 7 bankruptcy case may be dismissed for cause or because the debtor has abused the system. The debtor is automatically considered to have abused the system if he makes too much money. With the debtor’s permission, the Chapter 7 may be converted to Chapter 11, 12, or 13. The law requires that the debtor pass a means test to qualify for Chapter 7. Assuming the debtor does qualify for Chapter 7, her nonexempt assets (if there are any) are sold by the trustee and distributed to creditors according to a priority set out in the law. A discharge may be denied, in general because the debtor has behaved dishonestly or—again—has abused the system.</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8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between denial of a discharge for cause and denial for abuse?</w:t>
      </w:r>
    </w:p>
    <w:p w:rsidR="00A86150" w:rsidRDefault="00F714D4">
      <w:pPr>
        <w:numPr>
          <w:ilvl w:val="0"/>
          <w:numId w:val="88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between a dismissal and a denial of discharge?</w:t>
      </w:r>
    </w:p>
    <w:p w:rsidR="00A86150" w:rsidRDefault="00F714D4">
      <w:pPr>
        <w:numPr>
          <w:ilvl w:val="0"/>
          <w:numId w:val="88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Which creditors get satisfied first in a Chapter 7 bankruptcy?</w:t>
      </w:r>
    </w:p>
    <w:p w:rsidR="00A86150" w:rsidRDefault="0081777E">
      <w:pPr>
        <w:spacing w:after="0"/>
        <w:jc w:val="center"/>
        <w:divId w:val="1845706616"/>
      </w:pPr>
      <w:r>
        <w:pict>
          <v:rect id="_x0000_i1173"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Charles Phelan, “The New Bankruptcy Means Test Explained in Plain English,”</w:t>
      </w:r>
      <w:r>
        <w:rPr>
          <w:rStyle w:val="Emphasis"/>
          <w:rFonts w:ascii="Calibri" w:hAnsi="Calibri" w:cs="Calibri"/>
          <w:color w:val="333333"/>
          <w:sz w:val="20"/>
          <w:szCs w:val="20"/>
        </w:rPr>
        <w:t>Buzzle.com</w:t>
      </w:r>
      <w:r>
        <w:rPr>
          <w:rFonts w:ascii="Calibri" w:hAnsi="Calibri" w:cs="Calibri"/>
          <w:color w:val="333333"/>
          <w:sz w:val="20"/>
          <w:szCs w:val="20"/>
        </w:rPr>
        <w:t>,</w:t>
      </w:r>
      <w:r>
        <w:rPr>
          <w:rStyle w:val="apple-converted-space"/>
          <w:rFonts w:ascii="Calibri" w:hAnsi="Calibri" w:cs="Calibri"/>
          <w:color w:val="333333"/>
          <w:sz w:val="20"/>
          <w:szCs w:val="20"/>
        </w:rPr>
        <w:t> </w:t>
      </w:r>
      <w:hyperlink r:id="rId125" w:tgtFrame="_blank" w:history="1">
        <w:r>
          <w:rPr>
            <w:rStyle w:val="Hyperlink"/>
            <w:rFonts w:ascii="Calibri" w:hAnsi="Calibri" w:cs="Calibri"/>
            <w:color w:val="2689C6"/>
            <w:sz w:val="20"/>
            <w:szCs w:val="20"/>
          </w:rPr>
          <w:t>http://www.buzzle.com/editorials/1-10-2006-85999.asp</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Eugene Crane, Hearing before the Subcommittee on Commercial and Administrative Law of the Committee on the Judiciary, House of Representatives, One Hundred Tenth Congress, Second Session,</w:t>
      </w:r>
      <w:r>
        <w:rPr>
          <w:rStyle w:val="apple-converted-space"/>
          <w:rFonts w:ascii="Calibri" w:hAnsi="Calibri" w:cs="Calibri"/>
          <w:color w:val="333333"/>
          <w:sz w:val="20"/>
          <w:szCs w:val="20"/>
        </w:rPr>
        <w:t> </w:t>
      </w:r>
      <w:r>
        <w:rPr>
          <w:rStyle w:val="Emphasis"/>
          <w:rFonts w:ascii="Calibri" w:hAnsi="Calibri" w:cs="Calibri"/>
          <w:color w:val="333333"/>
          <w:sz w:val="20"/>
          <w:szCs w:val="20"/>
        </w:rPr>
        <w:t>Statement to the House Judiciary Sub-Committee,</w:t>
      </w:r>
      <w:r>
        <w:rPr>
          <w:rStyle w:val="apple-converted-space"/>
          <w:rFonts w:ascii="Calibri" w:hAnsi="Calibri" w:cs="Calibri"/>
          <w:color w:val="333333"/>
          <w:sz w:val="20"/>
          <w:szCs w:val="20"/>
        </w:rPr>
        <w:t> </w:t>
      </w:r>
      <w:r>
        <w:rPr>
          <w:rFonts w:ascii="Calibri" w:hAnsi="Calibri" w:cs="Calibri"/>
          <w:color w:val="333333"/>
          <w:sz w:val="20"/>
          <w:szCs w:val="20"/>
        </w:rPr>
        <w:t>September 16, 2008;</w:t>
      </w:r>
      <w:hyperlink r:id="rId126" w:tgtFrame="_blank" w:history="1">
        <w:r>
          <w:rPr>
            <w:rStyle w:val="Hyperlink"/>
            <w:rFonts w:ascii="Calibri" w:hAnsi="Calibri" w:cs="Calibri"/>
            <w:color w:val="2689C6"/>
            <w:sz w:val="20"/>
            <w:szCs w:val="20"/>
          </w:rPr>
          <w:t>http://judiciary.house.gov/hearings/printers/110th/44493.PDF</w:t>
        </w:r>
      </w:hyperlink>
      <w:r>
        <w:rPr>
          <w:rFonts w:ascii="Calibri" w:hAnsi="Calibri" w:cs="Calibri"/>
          <w:color w:val="333333"/>
          <w:sz w:val="20"/>
          <w:szCs w:val="20"/>
        </w:rPr>
        <w:t>.</w: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727(a)(1).</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35.4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Chapter 11 and Chapter 13 Bankruptcies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A86150" w:rsidRDefault="00F714D4">
      <w:pPr>
        <w:numPr>
          <w:ilvl w:val="0"/>
          <w:numId w:val="885"/>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concepts of Chapter 11 bankruptcies.</w:t>
      </w:r>
    </w:p>
    <w:p w:rsidR="00A86150" w:rsidRDefault="00F714D4">
      <w:pPr>
        <w:numPr>
          <w:ilvl w:val="0"/>
          <w:numId w:val="885"/>
        </w:numPr>
        <w:shd w:val="clear" w:color="auto" w:fill="EAE9DC"/>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concepts of Chapter 13 bankruptcies.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Reorganization: Chapter 11 Bankruptcy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Overview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11 provides a means by which corporations, partnerships, and other businesses, including sole proprietorships, can rehabilitate themselves and continue to operate free from the burden of debts that they cannot pay.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It is simple enough to apply for the protection of the court in Chapter 11 proceeding, and for many years, large financially ailing companies have sought shelter in Chapter 11. Well-known examples include General Motors, Texaco, K-Mart, Delta Airlines, and Northwest Airlines. An increasing number of corporations have turned to Chapter 11 even though, by conventional terms, they were solvent. Doing so enables them to negotiate with creditors to reduce debt. It also may even permit courts to snuff out lawsuits that have not yet been filed. Chapters 3 and 5, discussed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35.2 "Case Administration; Creditors’ Claims; Debtors’ Exemptions and Dischargeable Debts; Debtor’s Estate"</w:t>
      </w:r>
      <w:r>
        <w:rPr>
          <w:rFonts w:ascii="Georgia" w:hAnsi="Georgia" w:cs="Calibri"/>
          <w:color w:val="333333"/>
          <w:sz w:val="20"/>
          <w:szCs w:val="20"/>
          <w:lang w:val="en"/>
        </w:rPr>
        <w:t>, apply to Chapter 11 proceedings also. Our discussion, therefore, is limited to special features of Chapter 11.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How It Works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Eligibility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person eligible for discharge in Chapter 7 proceeding (plus railroads) is eligible for a Chapter 11 proceeding, except stockbrokers and commodity brokers. Individuals filing Chapter 11 must take credit counseling; businesses do not. A company may voluntarily enter Chapter 11 or may be put there involuntarily by creditors. Individuals can file Chapter 11 particularly if they have too much debt to qualify for Chapter 13 and make too much money to qualify for Chapter 7; under the 2005 act, individuals must commit future wages to creditors, just as in Chapter 13.</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Operation of Business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Unless a trustee is appointed, the debtor will retain possession of the business and may continue to operate with its own management. The court may appoint a trustee on request of any party in interest after notice and a hearing. The appointment may be made for cause—such as dishonesty, incompetence, or gross mismanagement—or if it is otherwise in the best interests of the creditors. Frequently, the same incompetent management that got the business into bankruptcy is left running it—that’s a criticism of Chapter 11.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Creditors’ Committee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must appoint a committee of unsecured creditors as soon as practicable after issuing the order for relief. The committee must consist of creditors willing to serve who have the seven largest claims, unless the court decides to continue a committee formed before the filing, if the committee was fairly chosen and adequately represents the various claims. The committee has several duties, including these: (1) to investigate the debtor’s financial affairs, (2) to determine whether to seek appointment of a trustee or to let the business continue to operate, and (3) to consult with the debtor or trustee throughout the case.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Reorganization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may always file its own plan, whether in a voluntary or involuntary case. If the court leaves the debtor in possession without appointing a trustee, the debtor has the exclusive right to file a reorganization plan during the first 120 days. If it does file, it will then have another 60 days to obtain the creditors’ acceptances. Although its exclusivity expires at the end of 180 days, the court may lengthen or shorten the period for good cause. At the end of the exclusive period, the creditors’ committee, a single creditor, or a holder of equity in the debtor’s property may file a plan. If the court does appoint a trustee, any party in interest may file a plan at any time.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Bankruptcy Reform Act specifies certain features of the plan and permits others to be included. Among other things, the plan must (1) designate classes of claims and ownership interests; (2) specify which classes or interests are impaired—a claim or ownership interest is impaired if the creditor’s legal, equitable, contractual rights are altered under the plan; (3) specify the treatment of any class of claims or interests that is impaired under the plan; (4) provide the same treatment of each claim or interests of a particular class, unless the holder of a particular claim or interest agrees to a less favorable treatment; and (5) provide adequate means for carrying out the plan. Basically, what the plan does is provide a process for rehabilitating the company’s faltering business by relieving it from repaying part of its debt and initiating reforms so that the company can try to get back on its feet.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Acceptance of the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act requires the plan to be accepted by certain proportions of each impaired class of claims and interests. A class of claims accepts the plan if creditors representing at least two-thirds of the dollar amount of claims and more than one-half the number of allowed claims vote in favor. A class of property interests accepts the plan if creditors representing two-thirds of the dollar amount of the allowed ownership interests vote in favor. Unimpaired classes of claims and interest are deemed to have accepted the plan; it is unnecessary to solicit their acceptance.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Confirmation of the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final act necessary under Chapter 11 is confirmation by the court. Once the court confirms the plan, the plan is binding on all creditors. The rules governing confirmation are complex, but in essence, they include the following requirements:</w:t>
      </w:r>
    </w:p>
    <w:p w:rsidR="00A86150" w:rsidRDefault="00F714D4">
      <w:pPr>
        <w:pStyle w:val="ListParagraph"/>
        <w:numPr>
          <w:ilvl w:val="0"/>
          <w:numId w:val="88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plan must have been proposed in good faith. Companies must also make a good-faith attempt to negotiate modifications in their collective bargaining agreements (labor union contracts).</w:t>
      </w:r>
    </w:p>
    <w:p w:rsidR="00A86150" w:rsidRDefault="00F714D4">
      <w:pPr>
        <w:pStyle w:val="ListParagraph"/>
        <w:numPr>
          <w:ilvl w:val="0"/>
          <w:numId w:val="88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All provisions of the act must have been complied with.</w:t>
      </w:r>
    </w:p>
    <w:p w:rsidR="00A86150" w:rsidRDefault="00F714D4">
      <w:pPr>
        <w:pStyle w:val="ListParagraph"/>
        <w:numPr>
          <w:ilvl w:val="0"/>
          <w:numId w:val="88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court must have determined that the reorganized business will be likely to succeed and be unlikely to require further financial reorganization in the foreseeable future.</w:t>
      </w:r>
    </w:p>
    <w:p w:rsidR="00A86150" w:rsidRDefault="00F714D4">
      <w:pPr>
        <w:pStyle w:val="ListParagraph"/>
        <w:numPr>
          <w:ilvl w:val="0"/>
          <w:numId w:val="88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Impaired classes of claims and interests must have accepted the plan, unless the plan treats them in a “fair and equitable” manner, in which case consent is not required. This is sometimes referred to as the cram-down provision.</w:t>
      </w:r>
    </w:p>
    <w:p w:rsidR="00A86150" w:rsidRDefault="00F714D4">
      <w:pPr>
        <w:pStyle w:val="ListParagraph"/>
        <w:numPr>
          <w:ilvl w:val="0"/>
          <w:numId w:val="886"/>
        </w:numPr>
        <w:shd w:val="clear" w:color="auto" w:fill="FFFFFF"/>
        <w:spacing w:after="24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All members of every class must have received no less value than they would have in Chapter 7 liquidation.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Discharge, Conversion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debtor gets discharged when all payments under the plan are completed. A Chapter 11 bankruptcy may be converted to Chapter 7, with some restrictions, if it turns out the debtor cannot make the plan work.</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Adjustment of Debts of an Individual with Regular Income: Chapter 13 Bankruptcy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 General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Anyone with a steady income who is having difficulty paying off accumulated debts may seek the protection of a bankruptcy court in Chapter 13 proceeding (often called the wage earner’s plan). Under this chapter, the individual debtor presents a payment plan to creditors, and the court appoints a trustee. If the creditors wind up with more under the plan presented than they would receive in Chapter 7 proceeding, then the court is likely to approve it. In general, a Chapter 13 repayment plan extends the time to pay the debt and may reduce it so that the debtor need not pay it all. Typically, the debtor will pay a fixed sum monthly to the trustee, who will distribute it to the creditors. The previously discussed provisions of Chapters 3 and 5 apply also to this chapter; therefore, the discussion that follows focuses on some unique features of Chapter 13.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People seek Chapter 13 discharges instead of Chapter 7 for various reasons: they make too much money to pass the Chapter 7 means test; they are behind on their mortgage or car payments and want to make them up over time and reinstate the original agreement; they have debts that can’t be discharged in Chapter 7; they have nonexempt property they want to keep; they have codebtors on a personal debt who would be liable if the debtor went Chapter 7; they have a real desire to pay their debts but cannot do so without getting the creditors to give them some breathing room. Chapter 7 cases may always be converted to Chapter 13.</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How It Works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Eligibility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Chapter 13 is voluntary only. Anyone—sole proprietorships included—who has a regular income, unsecured debts of less than $336,000, and secured debts of less than $1,010,650 is eligible to seek its protection. The debts must be unpaid and owing at the time the debtor applies for relief. If the person has more debt than that, she will have to file Chapter 11. The debtor must attend a credit-counseling class, as in Chapter 7.</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 Plan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Plans are typically extensions or compositions—that is, they extend the time to pay what is owing, or they are agreements among creditors each to accept something less than the full amount owed (so that all get something). Under Chapter 13, the stretch-out period is three to five three years. The plan must provide for payments of all future income or a sufficient portion of it to the trustee. Priority creditors are entitled to be paid in full, although they may be paid later than required under the original indebtedness. As long as the plan is being carried out, the debtor may enjoin any creditors from suing to collect the original debt.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Confirmation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Section 1325 of the bankruptcy code, the court must approve the plan if it meets certain requirements. These include (1) distribution of property to unsecured creditors whose claims are allowed in an amount no less than that which they would have received had the estate been liquidated under Chapter 7; (2) acceptance by secured creditors, with some exceptions, such as when the debtor surrenders the secured property to the creditor; and (3) proposal of the plan “in good faith.” If the trustee or an unsecured creditor objects to confirmation, the plan must meet additional tests. For example, a plan will be approved if all of the debtor’s disposable income (as defined in Section 1325) over the commitment period (three to five years) will be used to make payments under the plan.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a debtor has made all payments called for in the plan, the court will discharge him from all remaining debts except certain long-term debts and obligations to pay alimony, maintenance, and support. Under former law, Chapter 13 was so broad that it permitted the court to discharge the debtor from many debts considered nondischargeable under Chapter 7, but 1994 amendments and the 2005 act made Chapter 13 less expansive. Debts dischargeable in Chapter 13, but not in Chapter 7, include debts for willful and malicious injury to property, debts incurred to pay nondischargeable tax obligations, and debts arising from property settlements in divorce or separation proceedings.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35.6 "Cases"</w:t>
      </w:r>
      <w:r>
        <w:rPr>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 re Ryan</w:t>
      </w:r>
      <w:r>
        <w:rPr>
          <w:rFonts w:ascii="Georgia" w:hAnsi="Georgia" w:cs="Calibri"/>
          <w:color w:val="333333"/>
          <w:sz w:val="20"/>
          <w:szCs w:val="20"/>
          <w:lang w:val="en"/>
        </w:rPr>
        <w:t>, for a discussion of what debts are dischargeable under Chapter 13 as compared with Chapter 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a Chapter 13 debtor generally receives a discharge only after completing all payments required by the court-approved (i.e., “confirmed”) repayment plan, there are some limited circumstances under which the debtor may request the court to grant a “hardship discharge” even though the debtor has failed to complete plan payments. Such a discharge is available only to a debtor whose failure to complete plan payments is due to circumstances beyond the debtor’s control. A Chapter 13 discharge stays on the credit record for up to ten years.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discharge may be denied if the debtor previously went through a bankruptcy too soon before filing Chapter 13, failed to act in good faith, or—with some exceptions—failed to complete a personal financial management course.</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Chapter 11—frequently referred to as “corporate reorganization”—is most often used by businesses whose value as a going concern is greater than it would be if liquidated, but, with some exceptions, anyone eligible to file Chapter 7 can file Chapter 11. The business owners, or in some cases the trustee or creditors, develop a plan to pay the firm’s debts over a three- to five-year period; the plan must be approved by creditors and the court. Chapter 13—frequently called the wage-earner’s plan—is a similar mechanism by which a person can discharge some debt and have longer to pay debts off than originally scheduled. Under Chapter 13, people can get certain relief from creditors that they cannot get in Chapter 7.</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88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David Debtor is a freelance artist with significant debt that he feels a moral obligation to pay. Why is Chapter 11 his best choice of bankruptcy chapters to file under?</w:t>
      </w:r>
    </w:p>
    <w:p w:rsidR="00A86150" w:rsidRDefault="00F714D4">
      <w:pPr>
        <w:numPr>
          <w:ilvl w:val="0"/>
          <w:numId w:val="88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practical difference between debts arising from property settlements in divorce or separation proceedings—which can be discharged under Chapter 13—and debts owing for alimony (maintenance) and child support—which cannot be discharged under Chapter 13?</w:t>
      </w:r>
    </w:p>
    <w:p w:rsidR="00A86150" w:rsidRDefault="00F714D4">
      <w:pPr>
        <w:numPr>
          <w:ilvl w:val="0"/>
          <w:numId w:val="88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would a person want to go through the long grind of Chapter 13 instead of just declaring straight bankruptcy (Chapter 7) and being done with it?</w:t>
      </w:r>
    </w:p>
    <w:p w:rsidR="00A86150" w:rsidRDefault="0081777E">
      <w:pPr>
        <w:spacing w:after="0"/>
        <w:jc w:val="center"/>
        <w:divId w:val="814444455"/>
      </w:pPr>
      <w:r>
        <w:pict>
          <v:rect id="_x0000_i1174"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Sections 1115, 1123(a)(8), and 1129(a)(15).</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35.5</w:t>
      </w:r>
      <w:r>
        <w:rPr>
          <w:rStyle w:val="apple-converted-space"/>
          <w:rFonts w:ascii="Calibri" w:hAnsi="Calibri" w:cs="Calibri"/>
          <w:color w:val="333333"/>
        </w:rPr>
        <w:t> </w:t>
      </w:r>
      <w:r>
        <w:rPr>
          <w:rFonts w:ascii="Calibri" w:hAnsi="Calibri" w:cs="Calibri"/>
          <w:color w:val="333333"/>
        </w:rPr>
        <w:t>Alternatives to Bankruptcy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888"/>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Understand that there are nonbankruptcy alternatives for debtors who cannot pay their bills in a timely way: assignment for benefit of creditors, compositions, and receiverships.</w:t>
      </w:r>
    </w:p>
    <w:p w:rsidR="00A86150" w:rsidRDefault="00F714D4">
      <w:pPr>
        <w:numPr>
          <w:ilvl w:val="0"/>
          <w:numId w:val="888"/>
        </w:numPr>
        <w:shd w:val="clear" w:color="auto" w:fill="EAE9DC"/>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Recognize the reasons why these alternatives might not work.</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Alternatives to Bankruptcy: Overview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Bankruptcy is a necessary thing in a capitalist economic system. As already noted, without it, few people would be willing to take business risks, and the economy would necessarily operate at a lower level (something some people might not think so bad overall). But bankruptcy, however “enlightened” society may have become about it since Victorian days, still carries a stigma. Bankruptcy filings are public information; the lists of people and businesses who declare bankruptcy are regularly published in monthly business journals. Bankruptcy is expensive, too, and both debtors and creditors become enmeshed in significantly complex federal law. For these reasons, among others, both parties frequently determine it is in their best interest to find an alternative to bankruptcy. Here we take up briefly three common alternatives.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parts of this book, other nonbankruptcy creditors’ rights are discussed: under the Uniform Commercial Code (UCC), creditors have rights to reclaim goods sold and delivered but not paid for; under the UCC, too, creditors have a right to repossess personal property that has been put up as collateral for the debtor’s loan or extension of credit; and mortgagees have the right to repossess real estate without judicial assistance in many circumstances. These nonbankruptcy remedies are governed mostly by state law.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nonbankruptcy alternatives discussed here are governed by state law also.</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Assignment for Benefit of Creditors; Compositions; Receivership</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Assignment for Benefit of Creditors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 common-law</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assignment for the benefit of creditors</w:t>
      </w:r>
      <w:r>
        <w:rPr>
          <w:rFonts w:ascii="Georgia" w:hAnsi="Georgia" w:cs="Calibri"/>
          <w:color w:val="333333"/>
          <w:sz w:val="20"/>
          <w:szCs w:val="20"/>
        </w:rPr>
        <w:t>, the debtor transfers some or all of his assets to a trustee—usually someone appointed by the adjustment bureau of a local credit managers’ association—who sells the assets and apportions the proceeds in some agreed manner, usually pro rata, to the creditors. Of course, not every creditor need agree with such a distribution. Strictly speaking, the common-law assignment does not discharge the balance of the debt. Many state statutes attempt to address this problem either by prohibiting creditors who accept a partial payment of debt under an assignment from claiming the balance or by permitting debtors to demand a release from creditors who accept partial payment.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Composition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composition</w:t>
      </w:r>
      <w:r>
        <w:rPr>
          <w:rStyle w:val="apple-converted-space"/>
          <w:rFonts w:ascii="Georgia" w:hAnsi="Georgia" w:cs="Calibri"/>
          <w:color w:val="333333"/>
          <w:sz w:val="20"/>
          <w:szCs w:val="20"/>
        </w:rPr>
        <w:t> </w:t>
      </w:r>
      <w:r>
        <w:rPr>
          <w:rFonts w:ascii="Georgia" w:hAnsi="Georgia" w:cs="Calibri"/>
          <w:color w:val="333333"/>
          <w:sz w:val="20"/>
          <w:szCs w:val="20"/>
        </w:rPr>
        <w:t>is simply an agreement by creditors to accept less than the full amount of the debt and to discharge the debtor from further liability. As a contract, composition requires consideration; the mutual agreement among creditors to accept a pro rata share of the proceeds is held to be sufficient consideration to support the discharge. The essential difference between assignment and composition lies in the creditors’ agreement: an assignment implies no agreement among the creditors, whereas a composition does. Not all creditors of the particular debtor need agree to the composition for it to be valid. A creditor who does not agree to the composition remains free to attempt to collect the full sum owed; in particular, a creditor not inclined to compose the debt could attach the debtor’s assets while other creditors are bargaining over the details of the composition agreement.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advantage of the assignment over the composition is that in the former the debtor’s assets—having been assigned—are protected from attachment by hungry creditors. Also, the assignment does not require creditors’ consent. However, an advantage to the debtor of the assignment (compared with the composition) is that in the composition creditors cannot go after the debtor for any deficiency (because they agreed not to).</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Receivership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creditor may petition the court to appoint a receiver;</w:t>
      </w:r>
      <w:r>
        <w:rPr>
          <w:rStyle w:val="apple-converted-space"/>
          <w:rFonts w:ascii="Georgia" w:hAnsi="Georgia" w:cs="Calibri"/>
          <w:color w:val="333333"/>
          <w:sz w:val="20"/>
          <w:szCs w:val="20"/>
        </w:rPr>
        <w:t> </w:t>
      </w:r>
      <w:r>
        <w:rPr>
          <w:rStyle w:val="marginterm"/>
          <w:rFonts w:ascii="Georgia" w:hAnsi="Georgia" w:cs="Calibri"/>
          <w:color w:val="333333"/>
          <w:sz w:val="20"/>
          <w:szCs w:val="20"/>
        </w:rPr>
        <w:t>receivership</w:t>
      </w:r>
      <w:r>
        <w:rPr>
          <w:rStyle w:val="apple-converted-space"/>
          <w:rFonts w:ascii="Georgia" w:hAnsi="Georgia" w:cs="Calibri"/>
          <w:color w:val="333333"/>
          <w:sz w:val="20"/>
          <w:szCs w:val="20"/>
        </w:rPr>
        <w:t> </w:t>
      </w:r>
      <w:r>
        <w:rPr>
          <w:rFonts w:ascii="Georgia" w:hAnsi="Georgia" w:cs="Calibri"/>
          <w:color w:val="333333"/>
          <w:sz w:val="20"/>
          <w:szCs w:val="20"/>
        </w:rPr>
        <w:t>is a long-established procedure in equity whereby the receiver takes over the debtor’s property under instructions from the court. The receiver may liquidate the property, continue to operate the business, or preserve the assets without operating the business until the court finally determines how to dispose of the debtor’s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difficulty with most of the alternatives to bankruptcy lies in their voluntary character: a creditor who refuses to go along with an agreement to discharge the debtor can usually manage to thwart the debtor and her fellow creditors because, at the end of the day, the US Constitution forbids the states from impairing private citizens’ contractual obligations. The only final protection, therefore, is to be found in the federal bankruptcy law.</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Bankruptcy is expensive and frequently convoluted. Nonbankruptcy alternatives include assignment for the benefit of creditors (the debtor’s assets are assigned to a trustee who manages or disposes of them for creditors), compositions (agreements by creditors to accept less than they are owed and to discharge the debtor from further liability), and receivership (a type of court-supervised assignment).</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8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assignment for benefit of creditors?</w:t>
      </w:r>
    </w:p>
    <w:p w:rsidR="00A86150" w:rsidRDefault="00F714D4">
      <w:pPr>
        <w:numPr>
          <w:ilvl w:val="0"/>
          <w:numId w:val="8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composition?</w:t>
      </w:r>
    </w:p>
    <w:p w:rsidR="00A86150" w:rsidRDefault="00F714D4">
      <w:pPr>
        <w:numPr>
          <w:ilvl w:val="0"/>
          <w:numId w:val="8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receivership?</w:t>
      </w:r>
    </w:p>
    <w:p w:rsidR="00A86150" w:rsidRDefault="00F714D4">
      <w:pPr>
        <w:numPr>
          <w:ilvl w:val="0"/>
          <w:numId w:val="8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these alternatives to bankruptcy often unsatisfactory?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35.6</w:t>
      </w:r>
      <w:r>
        <w:rPr>
          <w:rStyle w:val="apple-converted-space"/>
          <w:rFonts w:ascii="Calibri" w:hAnsi="Calibri" w:cs="Calibri"/>
          <w:color w:val="333333"/>
        </w:rPr>
        <w:t> </w:t>
      </w:r>
      <w:r>
        <w:rPr>
          <w:rFonts w:ascii="Calibri" w:hAnsi="Calibri" w:cs="Calibri"/>
          <w:color w:val="333333"/>
        </w:rPr>
        <w:t>Cases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Dischargeability of Student Loans under Chapter 7</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 Zygarewicz</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423 B.R. 909 (Bkrtcy.E.D.Cal. 2010)</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MCMANUS, BANKRUPTCY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Angela Zygarewicz, a chapter 7 debtor and the plaintiff in this adversary proceeding, borrowed 16 government-guaranteed student [sic] loans totaling $81,429. The loans have been assigned to Educational Credit Management Corporation (“ECMC”). By September 2009, the accrual of interest on these student loans had caused the debt to balloon to more than $146,000. The debtor asks the court to declare that these student loans were discharged in bankruptcy.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Code provides financially distressed debtors with a fresh start by discharging most of their pre-petition debts.…However, under 11 U.S.C. § 523(a)(8), there is a presumption that educational loans extended by or with the aid of a governmental unit or nonprofit institution are nondischargeable unless the debtor can demonstrate that their repayment would be an undue hardship. See [Citation]. This exception to a bankruptcy discharge ensures that student loans, which are typically extended solely on the basis of the student’s future earnings potential, cannot be discharged by recent graduates who then pocket all of the future benefits derived from their education. See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bears the burden of proving by a preponderance of the evidence that she is entitled to a discharge of the student loan. See [Citation]. That is, the debtor must prove that repayment of student loans will cause an undue hardship.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Code does not define “the undue hardship.” Courts interpreting section 523(a)(8), however, have concluded that undue hardship [and] is something more than “garden-variety hardship.” [Citation.] Only cases involving “real and substantial” hardship merit discharges. See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Ninth Circuit has adopted a three-part test to guide courts in their attempts to determine whether a debtor will suffer an undue hardship is required to repay a student loan:</w:t>
      </w:r>
    </w:p>
    <w:p w:rsidR="00A86150" w:rsidRDefault="00F714D4">
      <w:pPr>
        <w:pStyle w:val="ListParagraph"/>
        <w:numPr>
          <w:ilvl w:val="0"/>
          <w:numId w:val="89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First, the debtor must establish “that she cannot maintain, based on current income and expenses, a ‘minimal’ standard of living for herself and her dependents if forced to repay the loans.”…</w:t>
      </w:r>
    </w:p>
    <w:p w:rsidR="00A86150" w:rsidRDefault="00F714D4">
      <w:pPr>
        <w:pStyle w:val="ListParagraph"/>
        <w:numPr>
          <w:ilvl w:val="0"/>
          <w:numId w:val="89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Second, the debtor must show “that additional circumstances exist indicating that this state of affairs is likely to persist for a significant portion of the repayment period of the student loans.”…</w:t>
      </w:r>
    </w:p>
    <w:p w:rsidR="00A86150" w:rsidRDefault="00F714D4">
      <w:pPr>
        <w:pStyle w:val="ListParagraph"/>
        <w:numPr>
          <w:ilvl w:val="0"/>
          <w:numId w:val="890"/>
        </w:numPr>
        <w:shd w:val="clear" w:color="auto" w:fill="FFFFFF"/>
        <w:spacing w:after="240" w:line="439" w:lineRule="atLeast"/>
        <w:textAlignment w:val="baseline"/>
        <w:rPr>
          <w:rFonts w:ascii="Georgia" w:hAnsi="Georgia" w:cs="Calibri"/>
          <w:color w:val="333333"/>
          <w:sz w:val="20"/>
          <w:szCs w:val="20"/>
        </w:rPr>
      </w:pPr>
      <w:r>
        <w:rPr>
          <w:rFonts w:ascii="Georgia" w:hAnsi="Georgia" w:cs="Calibri"/>
          <w:color w:val="333333"/>
          <w:sz w:val="20"/>
          <w:szCs w:val="20"/>
        </w:rPr>
        <w:t>The third prong requires “that the debtor has made good faith efforts to repay the loans.…”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r>
        <w:rPr>
          <w:rStyle w:val="Emphasis"/>
          <w:rFonts w:ascii="Georgia" w:hAnsi="Georgia" w:cs="Calibri"/>
          <w:color w:val="333333"/>
          <w:sz w:val="20"/>
          <w:szCs w:val="20"/>
        </w:rPr>
        <w:t>Pena,</w:t>
      </w:r>
      <w:r>
        <w:rPr>
          <w:rStyle w:val="apple-converted-space"/>
          <w:rFonts w:ascii="Georgia" w:hAnsi="Georgia" w:cs="Calibri"/>
          <w:color w:val="333333"/>
          <w:sz w:val="20"/>
          <w:szCs w:val="20"/>
        </w:rPr>
        <w:t> </w:t>
      </w:r>
      <w:r>
        <w:rPr>
          <w:rFonts w:ascii="Georgia" w:hAnsi="Georgia" w:cs="Calibri"/>
          <w:color w:val="333333"/>
          <w:sz w:val="20"/>
          <w:szCs w:val="20"/>
        </w:rPr>
        <w:t>citing</w:t>
      </w:r>
      <w:r>
        <w:rPr>
          <w:rStyle w:val="apple-converted-space"/>
          <w:rFonts w:ascii="Georgia" w:hAnsi="Georgia" w:cs="Calibri"/>
          <w:color w:val="333333"/>
          <w:sz w:val="20"/>
          <w:szCs w:val="20"/>
        </w:rPr>
        <w:t> </w:t>
      </w:r>
      <w:r>
        <w:rPr>
          <w:rStyle w:val="Emphasis"/>
          <w:rFonts w:ascii="Georgia" w:hAnsi="Georgia" w:cs="Calibri"/>
          <w:color w:val="333333"/>
          <w:sz w:val="20"/>
          <w:szCs w:val="20"/>
        </w:rPr>
        <w:t>Brunner v. N.Y. State Higher Educ. Servs. Corp</w:t>
      </w:r>
      <w:r>
        <w:rPr>
          <w:rFonts w:ascii="Georgia" w:hAnsi="Georgia" w:cs="Calibri"/>
          <w:color w:val="333333"/>
          <w:sz w:val="20"/>
          <w:szCs w:val="20"/>
        </w:rPr>
        <w:t>.,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Debtor must satisfy all three parts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Brunner</w:t>
      </w:r>
      <w:r>
        <w:rPr>
          <w:rStyle w:val="apple-converted-space"/>
          <w:rFonts w:ascii="Georgia" w:hAnsi="Georgia" w:cs="Calibri"/>
          <w:color w:val="333333"/>
          <w:sz w:val="20"/>
          <w:szCs w:val="20"/>
        </w:rPr>
        <w:t> </w:t>
      </w:r>
      <w:r>
        <w:rPr>
          <w:rFonts w:ascii="Georgia" w:hAnsi="Georgia" w:cs="Calibri"/>
          <w:color w:val="333333"/>
          <w:sz w:val="20"/>
          <w:szCs w:val="20"/>
        </w:rPr>
        <w:t>test before her student loans can be discharged. Failure to prove any of the three prongs will defeat a debtor’s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this bankruptcy case was filed in September 2005, the debtor was a single woman and had no dependents. She is 39 years old.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Schedule I reported that the debtor was unemployed. The debtor’s responses to the Statement of Financial Affairs revealed that she had received $5,500 in income during 2005 prior to the filing of the petition. Evidence at trial indicated that after the petition was filed, the debtor found work and earned a total of $9,424 in 2005. In 2004 and 2003, she earned $13,994 and $17,339, respectively.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this modest income, the debtor did not immediately file an adversary proceeding to determine the dischargeability of her student loans. It was almost three years after the entry of her chapter 7 discharge ‘on January 3, 2006 that the debtor reopened her chapter 7 case in order to pursue this adversary proceeding.’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her complaint, the debtor admits that after she received a discharge, she found part-time work with a church and later took a full-time job as a speech therapist. During 2006, the debtor earned $20,009 and in 2007 she earned $37,314. Hence, while it is clear the debtor’s income was very modest in the time period immediately prior to her bankruptcy petition, her financial situation improved during her bankruptcy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cannot conclude based on the evidence of the debtor’s financial circumstances up to the date of the discharge, that she was unable to maintain a minimal standard of living if she was required to repay her students [sic] loans.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in January 2007, the debtor was injured in an automobile accident. Her injuries eventually halted the financial progress she had been making and eventually prevented her from working. She now subsists on social security disability payments.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circumstance creating the debtor’s hardship, the automobile accident, occurred after her chapter 7 petition was filed, indeed, approximately one year after her discharge was entered. The debtor is maintaining that this post-petition, post-discharge circumstance warrants a declaration that her student loans were discharged effective from the petition date.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must the circumstances creating a debtor’s hardship arise: before the bankruptcy case is filed; after the case if filed but prior to the entry of a discharge; or at anytime, including after the entry of a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concludes that the circumstances causing a chapter 7 debtor’s financial hardship must arise prior to the entry of the discharge. If the circumstances causing a debtor’s hardship arise after the entry of a discharge, those circumstances cannot form the basis of a determination that repayment of a student loan will be an undue hardship.…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nothing in the Bankruptcy Code requiring that a complaint under section 523(a)(8) [to discharge student loans] be filed at any particular point in a bankruptcy case, whether it is filed under chapter 7 or 13. [Relevant Federal Rules of Bankruptcy Procedure] permits such dischargeability complaints to be brought at any time, including after the entry of a discharge and the closing of the bankruptcy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 debtor’s decision to file an action to determine the dischargeability of a student loan is not temporally constrained, this does not mean that a debtor’s financial hardship may arise after a discharge has been entered.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[case, cited by debtor] deals with the ripeness of a dispute concerning the dischargeability of a student loan. [The Ninth Circuit held that it] is ripe for adjudication at any point during the case. The Ninth Circuit did not conclude, however, that a debtor could rely upon post-discharge circumstances to establish undue hardship. In fact,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made clear that the debtor could take a snapshot of the hardship warranting a discharge of a student loan any time</w:t>
      </w:r>
      <w:r>
        <w:rPr>
          <w:rStyle w:val="apple-converted-space"/>
          <w:rFonts w:ascii="Georgia" w:hAnsi="Georgia" w:cs="Calibri"/>
          <w:color w:val="333333"/>
          <w:sz w:val="20"/>
          <w:szCs w:val="20"/>
        </w:rPr>
        <w:t> </w:t>
      </w:r>
      <w:r>
        <w:rPr>
          <w:rStyle w:val="Emphasis"/>
          <w:rFonts w:ascii="Georgia" w:hAnsi="Georgia" w:cs="Calibri"/>
          <w:color w:val="333333"/>
          <w:sz w:val="20"/>
          <w:szCs w:val="20"/>
        </w:rPr>
        <w:t>prior</w:t>
      </w:r>
      <w:r>
        <w:rPr>
          <w:rStyle w:val="apple-converted-space"/>
          <w:rFonts w:ascii="Georgia" w:hAnsi="Georgia" w:cs="Calibri"/>
          <w:color w:val="333333"/>
          <w:sz w:val="20"/>
          <w:szCs w:val="20"/>
        </w:rPr>
        <w:t> </w:t>
      </w:r>
      <w:r>
        <w:rPr>
          <w:rFonts w:ascii="Georgia" w:hAnsi="Georgia" w:cs="Calibri"/>
          <w:color w:val="333333"/>
          <w:sz w:val="20"/>
          <w:szCs w:val="20"/>
        </w:rPr>
        <w:t>to discharge.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was a Chapter 13 case.]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debtor was injured in an automobile accident on January 17, 2007, almost exactly one year after her January 3, 2006 chapter 7 discharge. Because the accident had no causal link to the misfortune prompting the debtor to seek bankruptcy relief in the first instance, the accident cannot be relied on to justify the discharge of the student loans because repayment would be an undue hardship.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hold otherwise would mean that a bankruptcy discharge is a perpetual license to discharge student loans based on events that occur years after the bankruptcy discharge is granted. If a discharged debtor suffers later financial misfortune, that debtor must consider seeking another discharge subject to the limitations imposed by [the sections of the code stipulating how often a person can petition for bankruptcy]. In the context of a second case, the debtor could then ask that the student loan be declared dischargeable under section 523(a)(8).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instance, the debtor is now eligible for a discharge in a chapter 13 case. Her chapter 7 petition was filed on September 19, 2005. Section 1328(f)(1) bars a chapter 13 discharge when the debtor has received a chapter 7 discharge in a case commenced in the prior four years. She would not be eligible for a chapter 7 discharge until September 19, 2013.</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to say that post-discharge events are irrelevant. The second and third prongs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Pena</w:t>
      </w:r>
      <w:r>
        <w:rPr>
          <w:rStyle w:val="apple-converted-space"/>
          <w:rFonts w:ascii="Georgia" w:hAnsi="Georgia" w:cs="Calibri"/>
          <w:color w:val="333333"/>
          <w:sz w:val="20"/>
          <w:szCs w:val="20"/>
        </w:rPr>
        <w:t> </w:t>
      </w:r>
      <w:r>
        <w:rPr>
          <w:rFonts w:ascii="Georgia" w:hAnsi="Georgia" w:cs="Calibri"/>
          <w:color w:val="333333"/>
          <w:sz w:val="20"/>
          <w:szCs w:val="20"/>
        </w:rPr>
        <w:t>test require the court to consider whether the circumstances preventing a debtor from repaying a student loan are likely to persist, and whether the debtor has made good faith efforts to repay the student loan. Post-discharge events are relevant to these determinations because they require the court to look into the debtor’s financial future.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the debtor, it is unnecessary to consider the second and third prongs because she cannot satisfy the first prong.</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making the bankruptcy discharge of student loans very difficult?</w:t>
      </w:r>
    </w:p>
    <w:p w:rsidR="00A86150" w:rsidRDefault="00F714D4">
      <w:pPr>
        <w:numPr>
          <w:ilvl w:val="0"/>
          <w:numId w:val="8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Petitioner argued that she should be able to use a postdischarge event (the auto accident) as a basis for establishing that she could not maintain a “minimal” standard of living, and thus she should get a retroactive discharge of her student loans. What benefit is there to her if she could successfully make the argument, given that she could—as the court noted—file for Chapter 13?</w:t>
      </w:r>
    </w:p>
    <w:p w:rsidR="00A86150" w:rsidRDefault="00F714D4">
      <w:pPr>
        <w:pStyle w:val="para"/>
        <w:numPr>
          <w:ilvl w:val="0"/>
          <w:numId w:val="89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court cites the</w:t>
      </w:r>
      <w:r>
        <w:rPr>
          <w:rStyle w:val="apple-converted-space"/>
          <w:rFonts w:ascii="Calibri" w:hAnsi="Calibri" w:cs="Calibri"/>
          <w:color w:val="333333"/>
          <w:sz w:val="20"/>
          <w:szCs w:val="20"/>
        </w:rPr>
        <w:t> </w:t>
      </w:r>
      <w:r>
        <w:rPr>
          <w:rStyle w:val="Emphasis"/>
          <w:rFonts w:ascii="Calibri" w:hAnsi="Calibri" w:cs="Calibri"/>
          <w:color w:val="333333"/>
          <w:sz w:val="20"/>
          <w:szCs w:val="20"/>
        </w:rPr>
        <w:t>Coleman</w:t>
      </w:r>
      <w:r>
        <w:rPr>
          <w:rStyle w:val="apple-converted-space"/>
          <w:rFonts w:ascii="Calibri" w:hAnsi="Calibri" w:cs="Calibri"/>
          <w:color w:val="333333"/>
          <w:sz w:val="20"/>
          <w:szCs w:val="20"/>
        </w:rPr>
        <w:t> </w:t>
      </w:r>
      <w:r>
        <w:rPr>
          <w:rFonts w:ascii="Calibri" w:hAnsi="Calibri" w:cs="Calibri"/>
          <w:color w:val="333333"/>
          <w:sz w:val="20"/>
          <w:szCs w:val="20"/>
        </w:rPr>
        <w:t>case. That was a Chapter 13 proceeding. Here were the facts: Debtor had not yet completed her payments under her five-year repayment plan, and no discharge order had yet been entered; one year into the plan, she was laid off work. She had been trying to repay her student loans for several years, and she claimed she would suffer hardship in committing to the five-year repayment plan without any guarantee that her student loan obligations would be discharged, since she was required to commit all of her disposable income to payments under the plan and would likely be forced to pursue undue hardship issue pro se upon completion of the plan.” In</w:t>
      </w:r>
      <w:r>
        <w:rPr>
          <w:rStyle w:val="apple-converted-space"/>
          <w:rFonts w:ascii="Calibri" w:hAnsi="Calibri" w:cs="Calibri"/>
          <w:color w:val="333333"/>
          <w:sz w:val="20"/>
          <w:szCs w:val="20"/>
        </w:rPr>
        <w:t> </w:t>
      </w:r>
      <w:r>
        <w:rPr>
          <w:rStyle w:val="Emphasis"/>
          <w:rFonts w:ascii="Calibri" w:hAnsi="Calibri" w:cs="Calibri"/>
          <w:color w:val="333333"/>
          <w:sz w:val="20"/>
          <w:szCs w:val="20"/>
        </w:rPr>
        <w:t>Coleman,</w:t>
      </w:r>
      <w:r>
        <w:rPr>
          <w:rStyle w:val="apple-converted-space"/>
          <w:rFonts w:ascii="Calibri" w:hAnsi="Calibri" w:cs="Calibri"/>
          <w:color w:val="333333"/>
          <w:sz w:val="20"/>
          <w:szCs w:val="20"/>
        </w:rPr>
        <w:t> </w:t>
      </w:r>
      <w:r>
        <w:rPr>
          <w:rFonts w:ascii="Calibri" w:hAnsi="Calibri" w:cs="Calibri"/>
          <w:color w:val="333333"/>
          <w:sz w:val="20"/>
          <w:szCs w:val="20"/>
        </w:rPr>
        <w:t>the court held that Debtor could, postfiling but predischarge—one year into the five-year plan—bring up the hardship issue.</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Now, in the case here, after the auto accident, the petitioner “subsists” on Social Security disability payments, and she has almost $150,000 in debt, yet the court prohibited her from claiming a hardship discharge of student loans. Does this result really make sense? Is the court’s concern that allowing this postdischarge relief would mean “that a bankruptcy discharge is a perpetual license to discharge student loans based on events that occur years after the bankruptcy discharge is granted” well founded? Suppose it is scheduled to take thirty years to pay off student loans; in year 4, the student-borrower, now Debtor, declares Chapter 7 bankruptcy, student loans not being discharged; in year 6, the person is rendered disabled. What public policy is offended if the person is allowed to “reopen” the bankruptcy and use the postbankruptcy event as a basis for claiming a hardship discharge of student loans?</w:t>
      </w:r>
    </w:p>
    <w:p w:rsidR="00A86150" w:rsidRDefault="00F714D4">
      <w:pPr>
        <w:numPr>
          <w:ilvl w:val="0"/>
          <w:numId w:val="8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suggests she file for Chapter 13. What if—because of timing—the petitioner was not eligible for Chapter 13? What would happen then?</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Chapter 11 Bankruptcy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 Johns-Manville Corp.</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36 B.R. 727 (Bkrtcy. N.Y. 1984)</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Lifland, Bankruptcy Judge.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11 of Title 11 of the United States Code (“the Code or the Bankruptcy Code”) on August 26, 1982 (“the filing date”)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some time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the propriety of the filing by Manville which is the subject of the instant decision. Four separate motions to dismiss the petition pursuant to Section 1112(b) of the Code have been lodged before this Court.…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Preliminarily, it must be stated that there is no question that Manville is eligible to be a debtor under the Code’s statutory requirements. Moreover, it should also be noted that neither Section 109 nor any other provision relating to voluntary petitions by companies contains any insolvency requirement.…Accordingly, it is abundantly clear that Manville has met all of the threshold eligibility requirements for filing a voluntary petition under the Code.…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“principal goal” of the Bankruptcy Code is to provide “open access” to the “bankruptcy process.” [Citation.] The rationale behind this “open access” policy is to provide access to bankruptcy relief which is as “open” as “access to the credit economy.” Thus, Congress intended that “there should be no legal barrier to voluntary petitions.” Another major goal of the Code, that of “rehabilitation of debtors,” requires that relief for debtors must be “timely.” Congress declared that it is essential to both the “open access” and “rehabilitation” goals that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[i]nitiating relief should not be a death knell. The process should encourage resort to it, by debtors and creditors, that cuts short the dissipation of assets and the accumulation of debts. Belated commencement of a case may kill an opportunity for reorganization or arrangement.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insolvency requirement, but also is a corollary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[Citation.] Moreover, reorganization also fosters the goals of preservation of jobs in the threatened entity.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This unassailable reality represents all the more reason for this Court to adhere to this basic potential liquidation avoidance aim of Chapter 11 and deny the motions to dismiss. Manville must not be required to wait until its economic picture has deteriorated beyond salvation to file for reorganization.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none of the justifications for declaring an abuse of the jurisdiction of the bankruptcy court announced by these courts [in various cases cited] are present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Manville</w:t>
      </w:r>
      <w:r>
        <w:rPr>
          <w:rStyle w:val="apple-converted-space"/>
          <w:rFonts w:ascii="Georgia" w:hAnsi="Georgia" w:cs="Calibri"/>
          <w:color w:val="333333"/>
          <w:sz w:val="20"/>
          <w:szCs w:val="20"/>
        </w:rPr>
        <w:t> </w:t>
      </w:r>
      <w:r>
        <w:rPr>
          <w:rFonts w:ascii="Georgia" w:hAnsi="Georgia" w:cs="Calibri"/>
          <w:color w:val="333333"/>
          <w:sz w:val="20"/>
          <w:szCs w:val="20"/>
        </w:rPr>
        <w:t>case. In</w:t>
      </w:r>
      <w:r>
        <w:rPr>
          <w:rStyle w:val="apple-converted-space"/>
          <w:rFonts w:ascii="Georgia" w:hAnsi="Georgia" w:cs="Calibri"/>
          <w:color w:val="333333"/>
          <w:sz w:val="20"/>
          <w:szCs w:val="20"/>
        </w:rPr>
        <w:t> </w:t>
      </w:r>
      <w:r>
        <w:rPr>
          <w:rStyle w:val="Emphasis"/>
          <w:rFonts w:ascii="Georgia" w:hAnsi="Georgia" w:cs="Calibri"/>
          <w:color w:val="333333"/>
          <w:sz w:val="20"/>
          <w:szCs w:val="20"/>
        </w:rPr>
        <w:t>Manville,</w:t>
      </w:r>
      <w:r>
        <w:rPr>
          <w:rStyle w:val="apple-converted-space"/>
          <w:rFonts w:ascii="Georgia" w:hAnsi="Georgia" w:cs="Calibri"/>
          <w:color w:val="333333"/>
          <w:sz w:val="20"/>
          <w:szCs w:val="20"/>
        </w:rPr>
        <w:t> </w:t>
      </w:r>
      <w:r>
        <w:rPr>
          <w:rFonts w:ascii="Georgia" w:hAnsi="Georgia" w:cs="Calibri"/>
          <w:color w:val="333333"/>
          <w:sz w:val="20"/>
          <w:szCs w:val="20"/>
        </w:rPr>
        <w:t>it is undeniable that there has been no sham or hoax perpetrated on the Court in that Manville is a real business with real creditors in pressing need of economic reorganization. Indeed, the Asbestos Committee has belied its own contention that Manville has no debt and no real creditors by quantifying a benchmark settlement demand approaching one billion dollars for compensation of approximately 15,500 pre-petition asbestos claimants, during the course of negotiations pitched toward achieving a consensual plan. This huge asserted liability does not even take into account the estimated 6,000 new asbestos health claims which have arisen in only the first 16 months since the filing date. The number of post-filing claims increases each day as “future claims back into the present.”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Manville’s filing did not in the appropriate sense abuse the jurisdiction of this Court and it is indeed, like the debtor in [Citation], a “once viable business supporting employees and unsecured creditors [that] has more recently been burdened with judgments [and suits] that threaten to put it out of existence.” Thus, its petition must be sustained.…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Manville is a financially besieged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 but rather presents the same kinds of reasons that were present in [Citation]</w:t>
      </w:r>
      <w:r>
        <w:rPr>
          <w:rStyle w:val="Emphasis"/>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for awaiting the determination of Manville’s good faith until it is considered…as a prerequisite to confirmation or as a part of the cadre of motions before me which are scheduled to be heard subsequently.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four of the motions to dismiss the Manville petition are denied in their entirety.</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Manville want to do here, and why?</w:t>
      </w:r>
    </w:p>
    <w:p w:rsidR="00A86150" w:rsidRDefault="00F714D4">
      <w:pPr>
        <w:numPr>
          <w:ilvl w:val="0"/>
          <w:numId w:val="8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this case demonstrate the fundamental purpose of Chapter 11 as opposed to Chapter 7 filings?</w:t>
      </w:r>
    </w:p>
    <w:p w:rsidR="00A86150" w:rsidRDefault="00F714D4">
      <w:pPr>
        <w:numPr>
          <w:ilvl w:val="0"/>
          <w:numId w:val="8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historical background here is that Manville knew from at least 1930 that asbestos—used in many industrial applications—was a deadly carcinogen, and it worked diligently for decades to conceal and obfuscate the fact. What “good faith” argument was raised by the movants in this case?</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Chapter 13: What Debts Are Dischargeable?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 Ryan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389 B.R. 710 9th Cir. BAP, (Idaho, 2008)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July 13, 1995, Ryan was convicted of possession of an unregistered firearm under 26 U.S.C. § 5861(d) in the United States District Court for the District of Alaska. Ryan was sentenced to fifty-seven months in prison followed by three years of supervised release. In addition, Ryan was ordered to pay a fine of $7,500…, costs of prosecution in the amount of $83,420, and a special assessment of $50.00. Ryan served his sentence. He also paid the $7,500 fine. The district court, following an appellate mandate, ultimately eliminated the restitution obligation.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25, 2003, Ryan filed a petition for bankruptcy relief under chapter 7 in the District of Idaho. He received his chapter 7 discharge on August 11, 2003. Shortly thereafter, Ryan filed a case under chapter 13, listing as his only obligation the amount of unpaid costs of prosecution owed to the United States (“Government”).…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Ryan completed payments under the plan, and an “Order of Discharge” was entered on October 5, 2006. The chapter 13 trustee’s final report reflected that the Government received $2,774.89 from payments made by Ryan under his plan, but a balance of $77,088.34 on the Government’s costs of prosecution claim remained unpaid. Ryan then renewed his request for determination of dischargeability. The bankruptcy court held that the unpaid portion of the Government’s claim for costs of prosecution was excepted from discharge by § 1328(a)(3). Ryan appealed.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1328(a)(3) provides an exception to discharge in chapter 13 for “restitution, or a criminal fine.” It states, in pertinent part: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soon as practicable after the completion by the debtor of all payments under the plan, the court shall grant the debtor a discharge of all debts provided for by the plan or disallowed under section 502 of this title except any debt…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 for restitution, or a</w:t>
      </w:r>
      <w:r>
        <w:rPr>
          <w:rStyle w:val="apple-converted-space"/>
          <w:rFonts w:ascii="Georgia" w:hAnsi="Georgia" w:cs="Calibri"/>
          <w:color w:val="333333"/>
          <w:sz w:val="20"/>
          <w:szCs w:val="20"/>
        </w:rPr>
        <w:t> </w:t>
      </w:r>
      <w:r>
        <w:rPr>
          <w:rStyle w:val="Emphasis"/>
          <w:rFonts w:ascii="Georgia" w:hAnsi="Georgia" w:cs="Calibri"/>
          <w:color w:val="333333"/>
          <w:sz w:val="20"/>
          <w:szCs w:val="20"/>
        </w:rPr>
        <w:t>criminal fine,</w:t>
      </w:r>
      <w:r>
        <w:rPr>
          <w:rStyle w:val="apple-converted-space"/>
          <w:rFonts w:ascii="Georgia" w:hAnsi="Georgia" w:cs="Calibri"/>
          <w:color w:val="333333"/>
          <w:sz w:val="20"/>
          <w:szCs w:val="20"/>
        </w:rPr>
        <w:t> </w:t>
      </w:r>
      <w:r>
        <w:rPr>
          <w:rFonts w:ascii="Georgia" w:hAnsi="Georgia" w:cs="Calibri"/>
          <w:color w:val="333333"/>
          <w:sz w:val="20"/>
          <w:szCs w:val="20"/>
        </w:rPr>
        <w:t>included in a sentence on the debtor’s conviction of a crime [.] [emphasis added].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essential question, then, is whether these costs of prosecution constitute a “criminal fine.”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Statutory interpretation begins with a review of the particular language used by Congress in the relevant version of the law. [Citation.]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 “criminal fine” is not defined in [Chapter 13] or anywhere else in the Bankruptcy Code. However, its use in § 1328(a)(3) implicates two important policies embedded in the Bankruptcy Code. First, in light of the objective to provide a fresh start for debtors overburdened by debts that they cannot pay, exceptions to discharge are interpreted strictly against objecting creditors and in favor of debtors.</w:t>
      </w:r>
      <w:r>
        <w:rPr>
          <w:rStyle w:val="apple-converted-space"/>
          <w:rFonts w:ascii="Georgia" w:hAnsi="Georgia" w:cs="Calibri"/>
          <w:color w:val="333333"/>
          <w:sz w:val="20"/>
          <w:szCs w:val="20"/>
        </w:rPr>
        <w:t> </w:t>
      </w:r>
      <w:r>
        <w:rPr>
          <w:rStyle w:val="Emphasis"/>
          <w:rFonts w:ascii="Georgia" w:hAnsi="Georgia" w:cs="Calibri"/>
          <w:color w:val="333333"/>
          <w:sz w:val="20"/>
          <w:szCs w:val="20"/>
        </w:rPr>
        <w:t>See, e.g.</w:t>
      </w:r>
      <w:r>
        <w:rPr>
          <w:rStyle w:val="apple-converted-space"/>
          <w:rFonts w:ascii="Georgia" w:hAnsi="Georgia" w:cs="Calibri"/>
          <w:color w:val="333333"/>
          <w:sz w:val="20"/>
          <w:szCs w:val="20"/>
        </w:rPr>
        <w:t> </w:t>
      </w:r>
      <w:r>
        <w:rPr>
          <w:rFonts w:ascii="Georgia" w:hAnsi="Georgia" w:cs="Calibri"/>
          <w:color w:val="333333"/>
          <w:sz w:val="20"/>
          <w:szCs w:val="20"/>
        </w:rPr>
        <w:t>[Citations]. In chapter 13, this principle is particularly important because Congress adopted the liberal “superdischarge” provisions of § 1328 as an incentive to debtors to commit to a plan to pay their creditors all of their disposable income over a period of years rather than simply discharging their debts in a chapter 7 liquidation.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dischargeability of debts in chapter 13 that are not dischargeable in chapter 7 represents a policy judgment that [it] is preferable for debtors to attempt to pay such debts to the best of their abilities over three years rather than for those debtors to have those debts hanging over their heads indefinitely, perhaps for the rest of their lives.” [Citations.]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countervailing policy consideration is a historic deference, both in the Bankruptcy Code and in the administration of prior bankruptcy law, to excepting criminal sanctions from discharge in bankruptcy. Application of this policy is consistent with a general recognition that, “[t]he principal purpose of the Bankruptcy Code is to grant a ‘fresh start’ to the ‘</w:t>
      </w:r>
      <w:r>
        <w:rPr>
          <w:rStyle w:val="Emphasis"/>
          <w:rFonts w:ascii="Georgia" w:hAnsi="Georgia" w:cs="Calibri"/>
          <w:color w:val="333333"/>
          <w:sz w:val="20"/>
          <w:szCs w:val="20"/>
        </w:rPr>
        <w:t>honest</w:t>
      </w:r>
      <w:r>
        <w:rPr>
          <w:rStyle w:val="apple-converted-space"/>
          <w:rFonts w:ascii="Georgia" w:hAnsi="Georgia" w:cs="Calibri"/>
          <w:color w:val="333333"/>
          <w:sz w:val="20"/>
          <w:szCs w:val="20"/>
        </w:rPr>
        <w:t> </w:t>
      </w:r>
      <w:r>
        <w:rPr>
          <w:rFonts w:ascii="Georgia" w:hAnsi="Georgia" w:cs="Calibri"/>
          <w:color w:val="333333"/>
          <w:sz w:val="20"/>
          <w:szCs w:val="20"/>
        </w:rPr>
        <w:t>but unfortunate debtor.’” [Citation] (emphasis added [in original]).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legislative history is clear that [in its 1994 amendments to the bankruptcy law] Congress intended to overrule the result in [of a 1990 Supreme Court case so that]:…“[N]o debtor with criminal restitution obligations will be able to discharge them through any bankruptcy proceeding.”…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imposition on a defendant of the costs of a special prosecutor is different from ordering a defendant to pay criminal fines. Costs are paid to the entity incurring the costs; criminal fines are generally paid to a special fund for victims’ compensation and assistance in the U.S. Treasury.…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honor the principle that exceptions to discharge are to be construed narrowly in favor of debtors, particularly in chapter 13, where a broad discharge was provided by Congress as an incentive for debtors to opt for relief under that chapter rather than under chapter 7, it is not appropriate to expand the scope of the [Chapter 13] exception beyond the terms of the statute. Congress could have adopted an exception to discharge in chapter 13 that mirrored [the one in Chapter 7]. It did not do so. In contrast, under [the 2005] BAPCPA, when Congress wanted to limit the chapter 13 “superdischarge,” it incorporated exceptions to discharge from [Chapter 7] wholesale.…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bottom line matter, Ryan served his time and paid in full the criminal fine that was imposed as part of his sentence for conviction of possession of an unregistered firearm. The restitution obligation that was included as part of his sentence was voided. Ryan paid the Government a total of $6,331.66 to be applied to the costs of prosecution awarded as part of his criminal judgment, including $2,774.89 paid under his chapter 13 plan, leaving a balance of $77,088.34. We determine that the unpaid balance of the costs of prosecution award was covered by Ryan’s chapter 13 discharge.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the foregoing analysis, we conclude that the exception to discharge included in [Chapter 13] for “restitution, or a criminal fine, included in a sentence on the debtor’s conviction of a crime” does not cover costs of prosecution included in such a sentence, and we REVERSE.</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8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making some things dischargeable under Chapter 13 that are not dischargeable under Chapter 7?</w:t>
      </w:r>
    </w:p>
    <w:p w:rsidR="00A86150" w:rsidRDefault="00F714D4">
      <w:pPr>
        <w:numPr>
          <w:ilvl w:val="0"/>
          <w:numId w:val="8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“criminal restitution” (which in 1994 Congress said could not get discharged at all) and “the costs of prosecution”?</w:t>
      </w:r>
    </w:p>
    <w:p w:rsidR="00A86150" w:rsidRDefault="00F714D4">
      <w:pPr>
        <w:numPr>
          <w:ilvl w:val="0"/>
          <w:numId w:val="8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decide that Ryan’s obligation to pay “costs of prosecution” was not precluded by the limits on Chapter 13 bankruptcies imposed by Congress?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35.7</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gives Congress the power to legislate on bankruptcy. The current law is the Bankruptcy Abuse Prevention and Consumer Protection Act of 2005, which provides for six types of proceedings: (1) liquidation, Chapter 7; (2) adjustment of debts of a municipality, Chapter 9; (3) reorganization, Chapter 11; (4) family farmers with regular income, Chapter 12; (5) individuals with regular income, Chapter 13; and (6) cross-border bankruptcies, Chapter 15.</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some exceptions, any individual, partnership, or corporation seeking liquidation may file a voluntary petition in bankruptcy. An involuntary petition is also possible; creditors petitioning for that must meet certain criteria.</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petition operates as a stay against the debtor for lawsuits to recover claims or enforce judgments or liens. A judge will issue an order of relief and appoint a trustee, who takes over the debtor’s property and preserves security interests. To recover monies owed, creditors must file proof of claims. The trustee has certain powers to recover property for the estate that the debtor transferred before bankruptcy. These include the power to act as a hypothetical lien creditor, to avoid fraudulent transfers and voidable preferences.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act sets out categories of claimants and establishes priority among them. After secured parties take their security, the priorities are (1) domestic support obligations, (2) administrative expenses, (3) gap creditor claims, (4) employees’ wages, salaries, commissions, (5) contributions to employee benefit plans, (6) grain or fish producers’ claims against a storage facility, (7) consumer deposits, (8) taxes owed to governments, (9) allowed claims for personal injury or death resulting from debtor’s driving or operating a vessel while intoxicated. After these priority claims are paid, the trustee must distribute the estate in this order: (a) unsecured creditors who filed timely, (b) unsecured creditors who filed late, (c) persons claiming fines and the like, (d) all other creditors, (e) the debtor. Most bankruptcies are no-asset, so creditors get nothing.</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Chapter 7’s 2005 amendments, debtors must pass a means test to be eligible for relief; if they make too much money, they must file Chapter 13.</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property is exempt from the estate of an individual debtor. States may opt out of the federal list of exemptions and substitute their own; most have.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discharged, the debtor is no longer legally liable for most debts. However, some debts are not dischargeable, and bad faith by the debtor may preclude discharge. Under some circumstances, a debtor may reaffirm a discharged debt. A Chapter 7 case may be converted to Chapter 11 or 13 voluntarily, or to Chapter 11 involuntarily.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11 provides for reorganization. Any person eligible for discharge in Chapter 7 is eligible for Chapter 11, except stockbrokers and commodity brokers; those who have too much debt to file Chapter 13 and surpass the means test for Chapter 7 file Chapter 11. Under Chapter 11, the debtor retains possession of the business and may continue to operate it with its own management unless the court appoints a trustee. The court may do so either for cause or if it is in the best interests of the creditors. The court must appoint a committee of unsecured creditors, who remain active throughout the proceeding. The debtor may file its own reorganization plan and has the exclusive right to do so within 120 days if it remains in possession. The plan must be accepted by certain proportions of each impaired class of claims and interests. It is binding on all creditors, and the debtor is discharged from all debts once the court confirms the plan.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13 is for any individual with regular income who has difficulty paying debts; it is voluntary only; the debtor must get credit counseling. The debtor presents a payment plan to creditors, and the court appoints a trustee. The plan extends the time to pay and may reduce the size of the debt. If the creditors wind up with more in this proceeding than they would have in Chapter 7, the court is likely to approve the plan. The court may approve a stretch-out of five years. Some debts not dischargeable under Chapter 7 may be under Chapter 13.</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Alternatives to bankruptcy are (1) composition (agreement by creditors to accept less than the face amount of the debt), (2) assignment for benefit of creditors (transfer of debtor’s property to a trustee, who uses it to pay debts), and (3) receivership (a disinterested person is appointed by the court to preserve assets and distribute them at the court’s direction). Because these are voluntary procedures, they are ineffective if all parties do not agree to them.</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David has debts of $18,000 and few assets. Because his debts are less than $25,000, he decides to file for bankruptcy using the state court system rather than the federal system. Briefly describe the procedure he should follow to file for bankruptcy at the state level.</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in Exercise 1 is irregularly employed and has developed a plan for paying off his creditors. What type of bankruptcy should he use, Chapter 7, 11, or 13? Why?</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owns the following unsecured property: a $3,000 oboe, a $1,000 piano, a $2,000 car, and a life insurance policy with a cash surrender value of $8,000. How much of this property is available for distribution to his creditors in a bankruptcy? Explain.</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David owes his ex-wife alimony (maintenance) payments and is obligated to pay $12,000 for an educational loan, what effect will his discharge have on these obligations?</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owns a corporation that he wants to liquidate under Chapter 7. After the corporate assets are distributed to creditors, there is still money owing to many of them. What obstacle does David face in obtaining a discharge for the corporation?</w:t>
      </w:r>
    </w:p>
    <w:p w:rsidR="00A86150" w:rsidRDefault="00F714D4">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famous retired professional football player—with a pension from the NFL—Orenthal James “O.J.” Simpson was convicted of wrongful death in a celebrated Santa Monica, California, trial in 1997 and ordered to pay $33.5 million in damages to the families of the deceased. Mr. Simpson sold his California house, moved to Florida, and, from occasional appearances in the press, seemed to be living a high-style life with a big house, nice cars, and sharp clothing. He has never declared bankruptcy. Why hasn’t he been forced into an involuntary Chapter 7 bankruptcy by his creditors?</w:t>
      </w:r>
    </w:p>
    <w:p w:rsidR="00A86150" w:rsidRDefault="00A86150">
      <w:pPr>
        <w:numPr>
          <w:ilvl w:val="0"/>
          <w:numId w:val="894"/>
        </w:numPr>
        <w:shd w:val="clear" w:color="auto" w:fill="E3EFF7"/>
        <w:spacing w:after="0" w:line="439" w:lineRule="atLeast"/>
        <w:ind w:left="360" w:right="375"/>
        <w:textAlignment w:val="baseline"/>
        <w:rPr>
          <w:rFonts w:ascii="Calibri" w:hAnsi="Calibri" w:cs="Calibri"/>
          <w:color w:val="333333"/>
          <w:sz w:val="20"/>
          <w:szCs w:val="20"/>
        </w:rPr>
      </w:pPr>
    </w:p>
    <w:p w:rsidR="00A86150" w:rsidRDefault="00F714D4">
      <w:pPr>
        <w:numPr>
          <w:ilvl w:val="1"/>
          <w:numId w:val="8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debtor has an automobile worth $5,000. The federal exemption applicable to her is $3,225. The trustee sells the car and gives the debtor the amount of the exemption. The debtor, exhausted by the bankruptcy proceedings, takes the $3,225 and spends it on a six-week vacation in Baja California. Is this an “abuse” of the bankruptcy system?</w:t>
      </w:r>
    </w:p>
    <w:p w:rsidR="00A86150" w:rsidRDefault="00F714D4">
      <w:pPr>
        <w:numPr>
          <w:ilvl w:val="1"/>
          <w:numId w:val="8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debtor has $500 in cash beyond what is exempt in bankruptcy. She takes the cash and buys new tires for her car, which is worth about $2,000. Is this an “abuse” of the bankruptcy system?</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89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Alternatives to bankruptcy include</w:t>
      </w:r>
    </w:p>
    <w:p w:rsidR="00A86150" w:rsidRDefault="00F714D4">
      <w:pPr>
        <w:pStyle w:val="ListParagraph"/>
        <w:numPr>
          <w:ilvl w:val="0"/>
          <w:numId w:val="89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assignment</w:t>
      </w:r>
    </w:p>
    <w:p w:rsidR="00A86150" w:rsidRDefault="00F714D4">
      <w:pPr>
        <w:pStyle w:val="ListParagraph"/>
        <w:numPr>
          <w:ilvl w:val="0"/>
          <w:numId w:val="89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composition</w:t>
      </w:r>
    </w:p>
    <w:p w:rsidR="00A86150" w:rsidRDefault="00F714D4">
      <w:pPr>
        <w:pStyle w:val="ListParagraph"/>
        <w:numPr>
          <w:ilvl w:val="0"/>
          <w:numId w:val="89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receivership</w:t>
      </w:r>
    </w:p>
    <w:p w:rsidR="00A86150" w:rsidRDefault="00F714D4">
      <w:pPr>
        <w:pStyle w:val="ListParagraph"/>
        <w:numPr>
          <w:ilvl w:val="0"/>
          <w:numId w:val="89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para"/>
        <w:numPr>
          <w:ilvl w:val="0"/>
          <w:numId w:val="89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composition is</w:t>
      </w:r>
    </w:p>
    <w:p w:rsidR="00A86150" w:rsidRDefault="00F714D4">
      <w:pPr>
        <w:pStyle w:val="ListParagraph"/>
        <w:numPr>
          <w:ilvl w:val="0"/>
          <w:numId w:val="8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procedure where a receiver takes over the debtor’s property</w:t>
      </w:r>
    </w:p>
    <w:p w:rsidR="00A86150" w:rsidRDefault="00F714D4">
      <w:pPr>
        <w:pStyle w:val="ListParagraph"/>
        <w:numPr>
          <w:ilvl w:val="0"/>
          <w:numId w:val="8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agreement by creditors to take less than the face value of their debt</w:t>
      </w:r>
    </w:p>
    <w:p w:rsidR="00A86150" w:rsidRDefault="00F714D4">
      <w:pPr>
        <w:pStyle w:val="ListParagraph"/>
        <w:numPr>
          <w:ilvl w:val="0"/>
          <w:numId w:val="8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basically the same as an assignment</w:t>
      </w:r>
    </w:p>
    <w:p w:rsidR="00A86150" w:rsidRDefault="00F714D4">
      <w:pPr>
        <w:pStyle w:val="ListParagraph"/>
        <w:numPr>
          <w:ilvl w:val="0"/>
          <w:numId w:val="8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these</w:t>
      </w:r>
    </w:p>
    <w:p w:rsidR="00A86150" w:rsidRDefault="00F714D4">
      <w:pPr>
        <w:pStyle w:val="para"/>
        <w:numPr>
          <w:ilvl w:val="0"/>
          <w:numId w:val="9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highest-priority class set out by the 2005 act is for</w:t>
      </w:r>
    </w:p>
    <w:p w:rsidR="00A86150" w:rsidRDefault="00F714D4">
      <w:pPr>
        <w:pStyle w:val="ListParagraph"/>
        <w:numPr>
          <w:ilvl w:val="0"/>
          <w:numId w:val="9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employees’ wages</w:t>
      </w:r>
    </w:p>
    <w:p w:rsidR="00A86150" w:rsidRDefault="00F714D4">
      <w:pPr>
        <w:pStyle w:val="ListParagraph"/>
        <w:numPr>
          <w:ilvl w:val="0"/>
          <w:numId w:val="9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administrative expenses</w:t>
      </w:r>
    </w:p>
    <w:p w:rsidR="00A86150" w:rsidRDefault="00F714D4">
      <w:pPr>
        <w:pStyle w:val="ListParagraph"/>
        <w:numPr>
          <w:ilvl w:val="0"/>
          <w:numId w:val="9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property settlements arising from divorce</w:t>
      </w:r>
    </w:p>
    <w:p w:rsidR="00A86150" w:rsidRDefault="00F714D4">
      <w:pPr>
        <w:pStyle w:val="ListParagraph"/>
        <w:numPr>
          <w:ilvl w:val="0"/>
          <w:numId w:val="9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domestic support obligations</w:t>
      </w:r>
    </w:p>
    <w:p w:rsidR="00A86150" w:rsidRDefault="00F714D4">
      <w:pPr>
        <w:pStyle w:val="para"/>
        <w:numPr>
          <w:ilvl w:val="0"/>
          <w:numId w:val="9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Darlene Debtor did the following within ninety days of filing for bankruptcy. Which could be set aside as a preferential payment?</w:t>
      </w:r>
    </w:p>
    <w:p w:rsidR="00A86150" w:rsidRDefault="00F714D4">
      <w:pPr>
        <w:pStyle w:val="ListParagraph"/>
        <w:numPr>
          <w:ilvl w:val="0"/>
          <w:numId w:val="9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paid water and electricity bills</w:t>
      </w:r>
    </w:p>
    <w:p w:rsidR="00A86150" w:rsidRDefault="00F714D4">
      <w:pPr>
        <w:pStyle w:val="ListParagraph"/>
        <w:numPr>
          <w:ilvl w:val="0"/>
          <w:numId w:val="9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made a gift to the Humane Society</w:t>
      </w:r>
    </w:p>
    <w:p w:rsidR="00A86150" w:rsidRDefault="00F714D4">
      <w:pPr>
        <w:pStyle w:val="ListParagraph"/>
        <w:numPr>
          <w:ilvl w:val="0"/>
          <w:numId w:val="9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prepaid an installment loan on inventory</w:t>
      </w:r>
    </w:p>
    <w:p w:rsidR="00A86150" w:rsidRDefault="00F714D4">
      <w:pPr>
        <w:pStyle w:val="ListParagraph"/>
        <w:numPr>
          <w:ilvl w:val="0"/>
          <w:numId w:val="9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borrowed money from a bank secured by a mortgage on business property</w:t>
      </w:r>
    </w:p>
    <w:p w:rsidR="00A86150" w:rsidRDefault="00F714D4">
      <w:pPr>
        <w:pStyle w:val="para"/>
        <w:numPr>
          <w:ilvl w:val="0"/>
          <w:numId w:val="9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Donald Debtor sold his 1957 Chevrolet to his brother for one-fifth its value sixty days before filing for bankruptcy. The trustee wishes to avoid the transaction on the basis that it was</w:t>
      </w:r>
    </w:p>
    <w:p w:rsidR="00A86150" w:rsidRDefault="00F714D4">
      <w:pPr>
        <w:pStyle w:val="ListParagraph"/>
        <w:numPr>
          <w:ilvl w:val="0"/>
          <w:numId w:val="9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hypothetical lien</w:t>
      </w:r>
    </w:p>
    <w:p w:rsidR="00A86150" w:rsidRDefault="00F714D4">
      <w:pPr>
        <w:pStyle w:val="ListParagraph"/>
        <w:numPr>
          <w:ilvl w:val="0"/>
          <w:numId w:val="9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lease disguised as a sale</w:t>
      </w:r>
    </w:p>
    <w:p w:rsidR="00A86150" w:rsidRDefault="00F714D4">
      <w:pPr>
        <w:pStyle w:val="ListParagraph"/>
        <w:numPr>
          <w:ilvl w:val="0"/>
          <w:numId w:val="9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preferential payment</w:t>
      </w:r>
    </w:p>
    <w:p w:rsidR="00A86150" w:rsidRDefault="00F714D4">
      <w:pPr>
        <w:pStyle w:val="ListParagraph"/>
        <w:numPr>
          <w:ilvl w:val="0"/>
          <w:numId w:val="9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voidable preference</w:t>
      </w:r>
    </w:p>
    <w:p w:rsidR="00A86150" w:rsidRDefault="00F714D4">
      <w:pPr>
        <w:pStyle w:val="para"/>
        <w:numPr>
          <w:ilvl w:val="0"/>
          <w:numId w:val="9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Acme Co. filed for bankruptcy with the following debts; which is their correct priority from highest to lowest?</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 wages of $15,000 owed to employees</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ii. unpaid federal taxes</w:t>
      </w:r>
    </w:p>
    <w:p w:rsidR="00A86150" w:rsidRDefault="00F714D4">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iii. balance owed to a creditor who claimed its security with a $5,000 deficiency owing</w:t>
      </w:r>
    </w:p>
    <w:p w:rsidR="00A86150" w:rsidRDefault="00F714D4">
      <w:pPr>
        <w:pStyle w:val="ListParagraph"/>
        <w:numPr>
          <w:ilvl w:val="0"/>
          <w:numId w:val="9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 ii, iii</w:t>
      </w:r>
    </w:p>
    <w:p w:rsidR="00A86150" w:rsidRDefault="00F714D4">
      <w:pPr>
        <w:pStyle w:val="ListParagraph"/>
        <w:numPr>
          <w:ilvl w:val="0"/>
          <w:numId w:val="9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ii, iii, i</w:t>
      </w:r>
    </w:p>
    <w:p w:rsidR="00A86150" w:rsidRDefault="00F714D4">
      <w:pPr>
        <w:pStyle w:val="ListParagraph"/>
        <w:numPr>
          <w:ilvl w:val="0"/>
          <w:numId w:val="9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iii, ii, i</w:t>
      </w:r>
    </w:p>
    <w:p w:rsidR="00A86150" w:rsidRDefault="00F714D4">
      <w:pPr>
        <w:pStyle w:val="ListParagraph"/>
        <w:numPr>
          <w:ilvl w:val="0"/>
          <w:numId w:val="9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 iii, ii</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9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36</w:t>
      </w:r>
    </w:p>
    <w:p w:rsidR="00A86150" w:rsidRDefault="0081777E">
      <w:pPr>
        <w:pStyle w:val="Heading1"/>
        <w:shd w:val="clear" w:color="auto" w:fill="FFFFFF"/>
        <w:spacing w:before="0" w:line="240" w:lineRule="atLeast"/>
        <w:jc w:val="center"/>
        <w:textAlignment w:val="baseline"/>
      </w:pPr>
      <w:r>
        <w:pict>
          <v:rect id="_x0000_i1175" style="width:468pt;height:1.5pt" o:hralign="center" o:hrstd="t" o:hrnoshade="t" o:hr="t" fillcolor="#555" stroked="f"/>
        </w:pict>
      </w:r>
    </w:p>
    <w:p w:rsidR="00A86150" w:rsidRDefault="00F714D4">
      <w:pPr>
        <w:pStyle w:val="Heading1"/>
        <w:shd w:val="clear" w:color="auto" w:fill="FFFFFF"/>
        <w:spacing w:before="0" w:line="240" w:lineRule="atLeast"/>
        <w:jc w:val="center"/>
        <w:textAlignment w:val="baseline"/>
        <w:rPr>
          <w:rFonts w:ascii="Calibri" w:hAnsi="Calibri" w:cs="Calibri"/>
          <w:color w:val="08629A"/>
          <w:sz w:val="41"/>
          <w:szCs w:val="41"/>
        </w:rPr>
      </w:pPr>
      <w:r>
        <w:rPr>
          <w:rFonts w:ascii="Calibri" w:hAnsi="Calibri" w:cs="Calibri"/>
          <w:color w:val="08629A"/>
          <w:sz w:val="41"/>
          <w:szCs w:val="41"/>
        </w:rPr>
        <w:t>Introduction to Property: Personal Property and Fixtures</w:t>
      </w:r>
    </w:p>
    <w:p w:rsidR="00A86150" w:rsidRDefault="00A86150"/>
    <w:p w:rsidR="00A86150" w:rsidRDefault="00F714D4">
      <w:pPr>
        <w:pStyle w:val="Heading3"/>
        <w:shd w:val="clear" w:color="auto" w:fill="D2D1C2"/>
        <w:spacing w:before="0" w:beforeAutospacing="0" w:after="0" w:afterAutospacing="0" w:line="264" w:lineRule="atLeast"/>
        <w:ind w:left="72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pStyle w:val="para"/>
        <w:shd w:val="clear" w:color="auto" w:fill="EAE9DC"/>
        <w:spacing w:before="0" w:beforeAutospacing="0" w:after="0" w:afterAutospacing="0" w:line="439" w:lineRule="atLeast"/>
        <w:ind w:left="720" w:right="360"/>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A86150" w:rsidRDefault="00F714D4">
      <w:pPr>
        <w:numPr>
          <w:ilvl w:val="0"/>
          <w:numId w:val="909"/>
        </w:numPr>
        <w:shd w:val="clear" w:color="auto" w:fill="EAE9DC"/>
        <w:tabs>
          <w:tab w:val="clear" w:pos="720"/>
          <w:tab w:val="num" w:pos="1440"/>
        </w:tabs>
        <w:spacing w:after="0" w:line="439" w:lineRule="atLeast"/>
        <w:ind w:left="1080" w:right="360"/>
        <w:textAlignment w:val="baseline"/>
        <w:rPr>
          <w:rFonts w:ascii="Calibri" w:hAnsi="Calibri" w:cs="Calibri"/>
          <w:color w:val="333333"/>
          <w:sz w:val="20"/>
          <w:szCs w:val="20"/>
        </w:rPr>
      </w:pPr>
      <w:r>
        <w:rPr>
          <w:rFonts w:ascii="Calibri" w:hAnsi="Calibri" w:cs="Calibri"/>
          <w:color w:val="333333"/>
          <w:sz w:val="20"/>
          <w:szCs w:val="20"/>
        </w:rPr>
        <w:t>The difference between personal property and other types of property</w:t>
      </w:r>
    </w:p>
    <w:p w:rsidR="00A86150" w:rsidRDefault="00F714D4">
      <w:pPr>
        <w:numPr>
          <w:ilvl w:val="0"/>
          <w:numId w:val="909"/>
        </w:numPr>
        <w:shd w:val="clear" w:color="auto" w:fill="EAE9DC"/>
        <w:spacing w:after="0" w:line="439" w:lineRule="atLeast"/>
        <w:ind w:left="1080" w:right="360"/>
        <w:textAlignment w:val="baseline"/>
        <w:rPr>
          <w:rFonts w:ascii="Calibri" w:hAnsi="Calibri" w:cs="Calibri"/>
          <w:color w:val="333333"/>
          <w:sz w:val="20"/>
          <w:szCs w:val="20"/>
        </w:rPr>
      </w:pPr>
      <w:r>
        <w:rPr>
          <w:rFonts w:ascii="Calibri" w:hAnsi="Calibri" w:cs="Calibri"/>
          <w:color w:val="333333"/>
          <w:sz w:val="20"/>
          <w:szCs w:val="20"/>
        </w:rPr>
        <w:t>How rights in personal property are acquired and maintained</w:t>
      </w:r>
    </w:p>
    <w:p w:rsidR="00A86150" w:rsidRDefault="00F714D4">
      <w:pPr>
        <w:numPr>
          <w:ilvl w:val="0"/>
          <w:numId w:val="909"/>
        </w:numPr>
        <w:shd w:val="clear" w:color="auto" w:fill="EAE9DC"/>
        <w:spacing w:after="0" w:line="439" w:lineRule="atLeast"/>
        <w:ind w:left="1080" w:right="360"/>
        <w:textAlignment w:val="baseline"/>
        <w:rPr>
          <w:rFonts w:ascii="Calibri" w:hAnsi="Calibri" w:cs="Calibri"/>
          <w:color w:val="333333"/>
          <w:sz w:val="20"/>
          <w:szCs w:val="20"/>
        </w:rPr>
      </w:pPr>
      <w:r>
        <w:rPr>
          <w:rFonts w:ascii="Calibri" w:hAnsi="Calibri" w:cs="Calibri"/>
          <w:color w:val="333333"/>
          <w:sz w:val="20"/>
          <w:szCs w:val="20"/>
        </w:rPr>
        <w:t>How some kinds of personal property can become real property, and how to determine who has rights in fixtures that are part of real property</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examine the general nature of property rights and the law relating to personal property—with special emphasis on acquisition and fixtures. In</w:t>
      </w:r>
      <w:r>
        <w:rPr>
          <w:rStyle w:val="apple-converted-space"/>
          <w:rFonts w:ascii="Georgia" w:hAnsi="Georgia"/>
          <w:color w:val="333333"/>
          <w:sz w:val="21"/>
          <w:szCs w:val="21"/>
        </w:rPr>
        <w:t> </w:t>
      </w:r>
      <w:r>
        <w:rPr>
          <w:rFonts w:ascii="Georgia" w:hAnsi="Georgia"/>
          <w:color w:val="2689C6"/>
          <w:sz w:val="21"/>
          <w:szCs w:val="21"/>
        </w:rPr>
        <w:t>Chapter 18 "Intellectual Property"</w:t>
      </w:r>
      <w:r>
        <w:rPr>
          <w:rFonts w:ascii="Georgia" w:hAnsi="Georgia"/>
          <w:color w:val="333333"/>
          <w:sz w:val="21"/>
          <w:szCs w:val="21"/>
        </w:rPr>
        <w:t>, we discuss intellectual property, a kind of personal property that is increasingly profitable.</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36.1</w:t>
      </w:r>
      <w:r>
        <w:rPr>
          <w:rStyle w:val="apple-converted-space"/>
          <w:rFonts w:ascii="Calibri" w:hAnsi="Calibri" w:cs="Calibri"/>
          <w:color w:val="333333"/>
        </w:rPr>
        <w:t> </w:t>
      </w:r>
      <w:r>
        <w:rPr>
          <w:rFonts w:ascii="Calibri" w:hAnsi="Calibri" w:cs="Calibri"/>
          <w:color w:val="333333"/>
        </w:rPr>
        <w:t>The General Nature of Property Rights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A86150" w:rsidRDefault="00F714D4">
      <w:pPr>
        <w:numPr>
          <w:ilvl w:val="0"/>
          <w:numId w:val="910"/>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Understand the elastic and evolving boundaries of what the law recognizes as property that can be bought or sold on the market.</w:t>
      </w:r>
    </w:p>
    <w:p w:rsidR="00A86150" w:rsidRDefault="00F714D4">
      <w:pPr>
        <w:numPr>
          <w:ilvl w:val="0"/>
          <w:numId w:val="910"/>
        </w:numPr>
        <w:shd w:val="clear" w:color="auto" w:fill="EAE9DC"/>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Distinguish real property from personal property.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Definition of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Property, which seems like a commonsense concept, is difficult to define in an intelligible way; philosophers have been striving to define it for the past 2,500 years. To say that “property is what we own” is to beg the question—that is, to substitute a synonym for the word we are trying to define. Blackstone’s famous definition is somewhat wordy: “The right of property is that sole and despotic dominion which one man claims and exercises over the external things of the world, in total exclusion of the right of any other individual in the universe. It consists in the free use, enjoyment, and disposal of all a person’s acquisitions, without any control or diminution save only by the laws of the land.” A more concise definition, but perhaps too broad, comes from the Restatement of the Law of Property, which defines property as the “legal relationship between persons with respect to a thing.”</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Restatement’s definition makes an important point: property is a</w:t>
      </w:r>
      <w:r>
        <w:rPr>
          <w:rStyle w:val="apple-converted-space"/>
          <w:rFonts w:ascii="Georgia" w:hAnsi="Georgia" w:cs="Calibri"/>
          <w:color w:val="333333"/>
          <w:sz w:val="20"/>
          <w:szCs w:val="20"/>
        </w:rPr>
        <w:t> </w:t>
      </w:r>
      <w:r>
        <w:rPr>
          <w:rStyle w:val="Emphasis"/>
          <w:rFonts w:ascii="Georgia" w:hAnsi="Georgia" w:cs="Calibri"/>
          <w:color w:val="333333"/>
          <w:sz w:val="20"/>
          <w:szCs w:val="20"/>
        </w:rPr>
        <w:t>legal relationship</w:t>
      </w:r>
      <w:r>
        <w:rPr>
          <w:rFonts w:ascii="Georgia" w:hAnsi="Georgia" w:cs="Calibri"/>
          <w:color w:val="333333"/>
          <w:sz w:val="20"/>
          <w:szCs w:val="20"/>
        </w:rPr>
        <w:t>, the power of one person to use objects in ways that affect others, to exclude others from the property, and to acquire and transfer property. Still, this definition does not contain a specific list of those nonhuman “objects” that could be in such a relationship. We all know that we can own personal objects like iPods and DVDs, and even more complex objects like homes and minerals under the ground. Property also embraces objects whose worth is representative or symbolic: ownership of stock in a corporation is valued not for the piece of paper called a stock certificate but for dividends, the power to vote for directors, and the right to sell the stock on the open market. Wholly intangible things or objects like copyrights and patents and bank accounts are capable of being owned as property. But the list of things that can be property is not fixed, for our concept of property continues to evolve. Collateralized debt obligations (CDOs) and structured investment vehicles (SIVs), prime players in the subprime mortgage crisis, were not on anyone’s list of possible property even fifteen years ago.</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Economist’s View</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Property is not just a legal concept, of course, and different disciplines express different philosophies about the purpose of property and the nature of property rights. To the jurist, property rights should be protected because it is just to do so. To an economist, the legal protection of property rights functions to create incentives to use resources efficiently. For a truly efficient system of property rights, some economists would require universality (everything is owned), exclusivity (the owners of each thing may exclude all others from using it), and transferability (owners may exchange their property). Together, these aspects of property would lead, under an appropriate economic model, to efficient production and distribution of goods. But the law of property does not entirely conform to the economic conception of the ownership of productive property by private parties; there remain many kinds of property that are not privately owned and some parts of the earth that are considered part of “the commons.” For example, large areas of the earth’s oceans are not “owned” by any one person or nation-state, and certain land areas (e.g., Yellowstone National Park) are not in private hands.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Classification of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Property can be classified in various ways, including tangible versus intangible, private versus public, and personal versus real.</w:t>
      </w:r>
      <w:r>
        <w:rPr>
          <w:rStyle w:val="apple-converted-space"/>
          <w:rFonts w:ascii="Georgia" w:hAnsi="Georgia" w:cs="Calibri"/>
          <w:color w:val="333333"/>
          <w:sz w:val="20"/>
          <w:szCs w:val="20"/>
        </w:rPr>
        <w:t> </w:t>
      </w:r>
      <w:r>
        <w:rPr>
          <w:rStyle w:val="marginterm"/>
          <w:rFonts w:ascii="Georgia" w:hAnsi="Georgia" w:cs="Calibri"/>
          <w:color w:val="333333"/>
          <w:sz w:val="20"/>
          <w:szCs w:val="20"/>
        </w:rPr>
        <w:t>Tangible property</w:t>
      </w:r>
      <w:r>
        <w:rPr>
          <w:rStyle w:val="apple-converted-space"/>
          <w:rFonts w:ascii="Georgia" w:hAnsi="Georgia" w:cs="Calibri"/>
          <w:color w:val="333333"/>
          <w:sz w:val="20"/>
          <w:szCs w:val="20"/>
        </w:rPr>
        <w:t> </w:t>
      </w:r>
      <w:r>
        <w:rPr>
          <w:rFonts w:ascii="Georgia" w:hAnsi="Georgia" w:cs="Calibri"/>
          <w:color w:val="333333"/>
          <w:sz w:val="20"/>
          <w:szCs w:val="20"/>
        </w:rPr>
        <w:t>is that which physically exists, like a building, a popsicle stand, a hair dryer, or a steamroller.</w:t>
      </w:r>
      <w:r>
        <w:rPr>
          <w:rStyle w:val="apple-converted-space"/>
          <w:rFonts w:ascii="Georgia" w:hAnsi="Georgia" w:cs="Calibri"/>
          <w:color w:val="333333"/>
          <w:sz w:val="20"/>
          <w:szCs w:val="20"/>
        </w:rPr>
        <w:t> </w:t>
      </w:r>
      <w:r>
        <w:rPr>
          <w:rStyle w:val="marginterm"/>
          <w:rFonts w:ascii="Georgia" w:hAnsi="Georgia" w:cs="Calibri"/>
          <w:color w:val="333333"/>
          <w:sz w:val="20"/>
          <w:szCs w:val="20"/>
        </w:rPr>
        <w:t>Intangible property</w:t>
      </w:r>
      <w:r>
        <w:rPr>
          <w:rStyle w:val="apple-converted-space"/>
          <w:rFonts w:ascii="Georgia" w:hAnsi="Georgia" w:cs="Calibri"/>
          <w:color w:val="333333"/>
          <w:sz w:val="20"/>
          <w:szCs w:val="20"/>
        </w:rPr>
        <w:t> </w:t>
      </w:r>
      <w:r>
        <w:rPr>
          <w:rFonts w:ascii="Georgia" w:hAnsi="Georgia" w:cs="Calibri"/>
          <w:color w:val="333333"/>
          <w:sz w:val="20"/>
          <w:szCs w:val="20"/>
        </w:rPr>
        <w:t>is something without physical reality that entitles the owner to certain benefits; stocks, bonds, and intellectual property would be common examples.</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property</w:t>
      </w:r>
      <w:r>
        <w:rPr>
          <w:rStyle w:val="apple-converted-space"/>
          <w:rFonts w:ascii="Georgia" w:hAnsi="Georgia" w:cs="Calibri"/>
          <w:color w:val="333333"/>
          <w:sz w:val="20"/>
          <w:szCs w:val="20"/>
        </w:rPr>
        <w:t> </w:t>
      </w:r>
      <w:r>
        <w:rPr>
          <w:rFonts w:ascii="Georgia" w:hAnsi="Georgia" w:cs="Calibri"/>
          <w:color w:val="333333"/>
          <w:sz w:val="20"/>
          <w:szCs w:val="20"/>
        </w:rPr>
        <w:t>is that which is owned by any branch of government;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private property</w:t>
      </w:r>
      <w:r>
        <w:rPr>
          <w:rStyle w:val="apple-converted-space"/>
          <w:rFonts w:ascii="Georgia" w:hAnsi="Georgia" w:cs="Calibri"/>
          <w:color w:val="333333"/>
          <w:sz w:val="20"/>
          <w:szCs w:val="20"/>
        </w:rPr>
        <w:t> </w:t>
      </w:r>
      <w:r>
        <w:rPr>
          <w:rFonts w:ascii="Georgia" w:hAnsi="Georgia" w:cs="Calibri"/>
          <w:color w:val="333333"/>
          <w:sz w:val="20"/>
          <w:szCs w:val="20"/>
        </w:rPr>
        <w:t>is that which is owned by anyone else, including a corporation.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Perhaps the most important distinction is between real and personal property. Essentially,</w:t>
      </w:r>
      <w:r>
        <w:rPr>
          <w:rStyle w:val="apple-converted-space"/>
          <w:rFonts w:ascii="Georgia" w:hAnsi="Georgia" w:cs="Calibri"/>
          <w:color w:val="333333"/>
          <w:sz w:val="20"/>
          <w:szCs w:val="20"/>
        </w:rPr>
        <w:t> </w:t>
      </w:r>
      <w:r>
        <w:rPr>
          <w:rStyle w:val="marginterm"/>
          <w:rFonts w:ascii="Georgia" w:hAnsi="Georgia" w:cs="Calibri"/>
          <w:color w:val="333333"/>
          <w:sz w:val="20"/>
          <w:szCs w:val="20"/>
        </w:rPr>
        <w:t>real property</w:t>
      </w:r>
      <w:r>
        <w:rPr>
          <w:rStyle w:val="apple-converted-space"/>
          <w:rFonts w:ascii="Georgia" w:hAnsi="Georgia" w:cs="Calibri"/>
          <w:color w:val="333333"/>
          <w:sz w:val="20"/>
          <w:szCs w:val="20"/>
        </w:rPr>
        <w:t> </w:t>
      </w:r>
      <w:r>
        <w:rPr>
          <w:rFonts w:ascii="Georgia" w:hAnsi="Georgia" w:cs="Calibri"/>
          <w:color w:val="333333"/>
          <w:sz w:val="20"/>
          <w:szCs w:val="20"/>
        </w:rPr>
        <w:t>is immovable;</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property</w:t>
      </w:r>
      <w:r>
        <w:rPr>
          <w:rStyle w:val="apple-converted-space"/>
          <w:rFonts w:ascii="Georgia" w:hAnsi="Georgia" w:cs="Calibri"/>
          <w:color w:val="333333"/>
          <w:sz w:val="20"/>
          <w:szCs w:val="20"/>
        </w:rPr>
        <w:t> </w:t>
      </w:r>
      <w:r>
        <w:rPr>
          <w:rFonts w:ascii="Georgia" w:hAnsi="Georgia" w:cs="Calibri"/>
          <w:color w:val="333333"/>
          <w:sz w:val="20"/>
          <w:szCs w:val="20"/>
        </w:rPr>
        <w:t>is movable. At common law, personal property has been referred to as “chattels.” When chattels become affixed to real property in a certain manner, they are called fixtures and are treated as real property. (For example, a bathroom cabinet purchased at Home Depot and screwed into the bathroom wall may be converted to part of the real property when it is affixed.) Fixtures are discussed in</w:t>
      </w:r>
      <w:r>
        <w:rPr>
          <w:rStyle w:val="apple-converted-space"/>
          <w:rFonts w:ascii="Georgia" w:hAnsi="Georgia" w:cs="Calibri"/>
          <w:color w:val="333333"/>
          <w:sz w:val="20"/>
          <w:szCs w:val="20"/>
        </w:rPr>
        <w:t> </w:t>
      </w:r>
      <w:r>
        <w:rPr>
          <w:rFonts w:ascii="Georgia" w:hAnsi="Georgia" w:cs="Calibri"/>
          <w:color w:val="2689C6"/>
          <w:sz w:val="20"/>
          <w:szCs w:val="20"/>
        </w:rPr>
        <w:t>Section 36.3 "Fixtures"</w:t>
      </w:r>
      <w:r>
        <w:rPr>
          <w:rStyle w:val="apple-converted-space"/>
          <w:rFonts w:ascii="Georgia" w:hAnsi="Georgia" w:cs="Calibri"/>
          <w:color w:val="333333"/>
          <w:sz w:val="20"/>
          <w:szCs w:val="20"/>
        </w:rPr>
        <w:t> </w:t>
      </w:r>
      <w:r>
        <w:rPr>
          <w:rFonts w:ascii="Georgia" w:hAnsi="Georgia" w:cs="Calibri"/>
          <w:color w:val="333333"/>
          <w:sz w:val="20"/>
          <w:szCs w:val="20"/>
        </w:rPr>
        <w:t>of this chapter.</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Importance of the Distinction between Real and Personal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our legal system, the distinction between real and personal property is significant in several ways. For example, the sale of personal property, but not real property, is governed by Article 2 of the Uniform Commercial Code (UCC). Real estate transactions, by contrast, are governed by the general law of contracts. Suppose goods are exchanged for realty. Section 2-304 of the UCC says that the transfer of the goods and the seller’s obligations with reference to them are subject to Article 2, but not the transfer of the interests in realty nor the transferor’s obligations in connection with them.</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form of transfer depends on whether the property is real or personal. Real property is normally transferred by a deed, which must meet formal requirements dictated by state law. By contrast, transfer of personal property often can take place without any documents at all.</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difference can be found in the law that governs the transfer of property on death. A person’s heirs depend on the law of the state for distribution of his property if he dies intestate—that is, without a will. Who the heirs are and what their share of the property will be may depend on whether the property is real or personal. For example, widows may be entitled to a different percentage of real property than personal property when their husbands die intestate.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Tax laws also differ in their approach to real and personal property. In particular, the rules of valuation, depreciation, and enforcement depend on the character of the property. Thus real property depreciates more slowly than personal property, and real property owners generally have a longer time than personal property owners to make good unpaid taxes before the state seizes the property.</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Property is difficult to define conclusively, and there are many different classifications of property. There can be public property as well as private property, tangible property as well as intangible property, and, most importantly, real property as well as personal property. These are important distinctions, with many legal consequences.</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9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Kristen buys a parcel of land on Marion Street, a new and publicly maintained roadway. Her town’s ordinances say that each property owner on a public street must also provide a sidewalk within ten feet of the curb. A year after buying the parcel, Kristen commissions a house to be built on the land, and the contractor begins by building a sidewalk in accordance with the town’s ordinance. Is the sidewalk public property or private property? If it snows, and if Kristen fails to remove the snow and it melts and ices over and a pedestrian slips and falls, who is responsible for the pedestrian’s injuries?</w:t>
      </w:r>
    </w:p>
    <w:p w:rsidR="00A86150" w:rsidRDefault="00F714D4">
      <w:pPr>
        <w:numPr>
          <w:ilvl w:val="0"/>
          <w:numId w:val="9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can private property become public property? Does public property ever become private property?</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36.2</w:t>
      </w:r>
      <w:r>
        <w:rPr>
          <w:rStyle w:val="apple-converted-space"/>
          <w:rFonts w:ascii="Calibri" w:hAnsi="Calibri" w:cs="Calibri"/>
          <w:color w:val="333333"/>
        </w:rPr>
        <w:t> </w:t>
      </w:r>
      <w:r>
        <w:rPr>
          <w:rFonts w:ascii="Calibri" w:hAnsi="Calibri" w:cs="Calibri"/>
          <w:color w:val="333333"/>
        </w:rPr>
        <w:t>Personal Property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A86150" w:rsidRDefault="00F714D4">
      <w:pPr>
        <w:numPr>
          <w:ilvl w:val="0"/>
          <w:numId w:val="912"/>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rPr>
      </w:pPr>
      <w:r>
        <w:rPr>
          <w:rFonts w:ascii="Calibri" w:hAnsi="Calibri" w:cs="Calibri"/>
          <w:color w:val="333333"/>
          <w:sz w:val="20"/>
          <w:szCs w:val="20"/>
        </w:rPr>
        <w:t>Explain the various ways that personal property can be acquired by means other than purchase.</w:t>
      </w:r>
    </w:p>
    <w:p w:rsidR="00A86150" w:rsidRDefault="00A86150">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A86150" w:rsidRDefault="00F714D4">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legal issues about personal property center on its acquisition. Acquisition by purchase is the most common way we acquire personal property, but there are at least five other ways to legally acquire personal property: (1) possession, (2) finding lost or misplaced property, (3) gift, (4) accession, and (5) confusion.</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Possession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often said that “possession is nine-tenths of the law.” There is an element of truth to this, but it’s not the whole truth. For our purposes, the more important question is, what is meant by “possession”? Its meaning is not intuitively obvious, as a moment’s reflection will reveal. For example, you might suppose than you possess something when it is physically within your control, but what do you say when a hurricane deposits a boat onto your land? What if you are not even home when this happens? Do you possess the boat? Ordinarily, we would say that you don’t, because you don’t have physical control when you are absent. You may not even have the intention to control the boat; perhaps instead of a fancy speedboat in relatively good shape, the boat is a rust bucket badly in need of repair, and you want it removed from your front yard.</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the element of physical domination of the object may not be necessary. Suppose you give your new class ring to a friend to examine. Is it in the friend’s possession? No: the friend has custody, not possession, and you retain the right to permit a second friend to take it from her hands. This is different from the case of a bailment, in which the bailor gives possession of an object to the bailee. For example, a garage (a bailee) entrusted with a car for the evening, and not the owner, has the right to exclude others from the car; the owner could not demand that the garage attendants refrain from moving the car around as necessary.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these examples, we can see that possession or physical control must usually be understood as the power to exclude others from using the object. Otherwise, anomalies arise from the difficulty of physically controlling certain objects. It is more difficult to exercise control over a one-hundred-foot television antenna than a diamond ring. Moreover, in what sense do you possess your household furniture when you are out of the house? Only, we suggest, in the power to exclude others. But this power is not purely a physical one: being absent from the house, you could not physically restrain anyone. Thus the concept of possession must inevitably be mixed with legal rules that do or could control others.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Possession confers ownership in a restricted class of cases only: when no person was the owner at the time the current owner took the object into his possession. The most obvious categories of objects to which this rule of possession applies are wild animals and abandoned goods. The rule requires that the would-be owner actually take possession of the animal or goods; the hunter who is pursuing a particular wild animal has no legal claim until he has actually captured it. Two hunters are perfectly free to pursue the same animal, and whoever actually grabs it will be the owner.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even this simple rule is fraught with difficulties in the case of both wild animals and abandoned goods. We examine abandoned goods in</w:t>
      </w:r>
      <w:r>
        <w:rPr>
          <w:rStyle w:val="apple-converted-space"/>
          <w:rFonts w:ascii="Georgia" w:hAnsi="Georgia" w:cs="Calibri"/>
          <w:color w:val="333333"/>
          <w:sz w:val="20"/>
          <w:szCs w:val="20"/>
        </w:rPr>
        <w:t> </w:t>
      </w:r>
      <w:r>
        <w:rPr>
          <w:rFonts w:ascii="Georgia" w:hAnsi="Georgia" w:cs="Calibri"/>
          <w:color w:val="2689C6"/>
          <w:sz w:val="20"/>
          <w:szCs w:val="20"/>
        </w:rPr>
        <w:t>Section 36.2.2 "Lost or Misplaced Property"</w:t>
      </w:r>
      <w:r>
        <w:rPr>
          <w:rFonts w:ascii="Georgia" w:hAnsi="Georgia" w:cs="Calibri"/>
          <w:color w:val="333333"/>
          <w:sz w:val="20"/>
          <w:szCs w:val="20"/>
        </w:rPr>
        <w:t>. In the case of wild game, fish in a stream, and the like, the general rule is subject to the rights of the owner of the land on which the animals are caught. Thus even if the animals caught by a hunter are wild, as long as they are on another’s land, the landowner’s rights are superior to the hunter’s. Suppose a hunter captures a wild animal, which subsequently escapes, and a second hunter thereafter captures it. Does the first hunter have a claim to the animal? The usual rule is that he does not, for once an animal returns to the wild, ownership ceases.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Lost or Misplaced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a technical distinction arose between lost and misplaced property. An object is lost if the owner inadvertently and unknowingly lets it out of his possession. It is merely misplaced if the owner intentionally puts it down, intending to recover it, even if he subsequently forgets to retrieve it. These definitions are important in considering the old saying “Finders keepers, losers weepers.” This is a misconception that is, at best, only partially true, and more often false. The following hierarchy of ownership claims determines the rights of finders and losers.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owner is entitled to the return of the property unless he has intentionally abandoned it. The finder is said to be a quasi-bailee for the true owner, and as bailee she owes the owner certain duties of care. The finder who knows the owner or has reasonable means of discovering the owner’s identity commits larceny if she holds on to the object with the intent that it be hers. This rule applies only if the finder actually takes the object into her possession. For example, if you spot someone’s wallet on the street you have no obligation to pick it up; but if you do pick it up and see the owner’s name in it, your legal obligation is to return it to the rightful owner. The finder who returns the object is not automatically entitled to a reward, but if the loser has offered a reward, the act of returning it constitutes performance of a unilateral contract. Moreover, if the finder has had expenses in connection with finding the owner and returning the property, she is entitled to reasonable reimbursement as a quasi-bailee. But the rights of the owner are frequently subject to specific statutes, such as the one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Bishop v. Ellsworth</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36.4.1 "Lost or Misplaced Property"</w:t>
      </w:r>
      <w:r>
        <w:rPr>
          <w:rFonts w:ascii="Georgia" w:hAnsi="Georgia" w:cs="Calibri"/>
          <w:color w:val="333333"/>
          <w:sz w:val="20"/>
          <w:szCs w:val="20"/>
        </w:rPr>
        <w: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if the owner fails to claim the property within the time allowed by statute or has abandoned it, then the property goes to the owner of the real estate on which it was found if (1) the finder was a trespasser, (2) the goods are found in a private place (though what exactly constitutes a private place is open to question: is the aisle of a grocery store a private place? the back of the food rack? the stockroom?), (3) the goods are buried, or (4) the goods are misplaced rather than lost.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none of these conditions apply, then the finder is the owner. These rules are considered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Bishop</w:t>
      </w:r>
      <w:r>
        <w:rPr>
          <w:rStyle w:val="apple-converted-space"/>
          <w:rFonts w:ascii="Georgia" w:hAnsi="Georgia" w:cs="Calibri"/>
          <w:color w:val="333333"/>
          <w:sz w:val="20"/>
          <w:szCs w:val="20"/>
        </w:rPr>
        <w:t> </w:t>
      </w:r>
      <w:r>
        <w:rPr>
          <w:rFonts w:ascii="Georgia" w:hAnsi="Georgia" w:cs="Calibri"/>
          <w:color w:val="333333"/>
          <w:sz w:val="20"/>
          <w:szCs w:val="20"/>
        </w:rPr>
        <w:t>case, (see</w:t>
      </w:r>
      <w:r>
        <w:rPr>
          <w:rStyle w:val="apple-converted-space"/>
          <w:rFonts w:ascii="Georgia" w:hAnsi="Georgia" w:cs="Calibri"/>
          <w:color w:val="333333"/>
          <w:sz w:val="20"/>
          <w:szCs w:val="20"/>
        </w:rPr>
        <w:t> </w:t>
      </w:r>
      <w:r>
        <w:rPr>
          <w:rFonts w:ascii="Georgia" w:hAnsi="Georgia" w:cs="Calibri"/>
          <w:color w:val="2689C6"/>
          <w:sz w:val="20"/>
          <w:szCs w:val="20"/>
        </w:rPr>
        <w:t>Section 36.4.1 "Lost or Misplaced Property"</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Gift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gift</w:t>
      </w:r>
      <w:r>
        <w:rPr>
          <w:rStyle w:val="apple-converted-space"/>
          <w:rFonts w:ascii="Georgia" w:hAnsi="Georgia" w:cs="Calibri"/>
          <w:color w:val="333333"/>
          <w:sz w:val="20"/>
          <w:szCs w:val="20"/>
        </w:rPr>
        <w:t> </w:t>
      </w:r>
      <w:r>
        <w:rPr>
          <w:rFonts w:ascii="Georgia" w:hAnsi="Georgia" w:cs="Calibri"/>
          <w:color w:val="333333"/>
          <w:sz w:val="20"/>
          <w:szCs w:val="20"/>
        </w:rPr>
        <w:t>is a voluntary transfer of property without consideration or compensation. It is distinguished from a sale, which requires consideration. It is distinguished from a promise to give, which is a declaration of an intention to give in the future rather than a present transfer. It is distinguished from a testamentary disposition (will), which takes effect only upon death, not upon the preparation of the documents. Two other distinctions are worth noting. An</w:t>
      </w:r>
      <w:r>
        <w:rPr>
          <w:rStyle w:val="marginterm"/>
          <w:rFonts w:ascii="Georgia" w:hAnsi="Georgia" w:cs="Calibri"/>
          <w:color w:val="333333"/>
          <w:sz w:val="20"/>
          <w:szCs w:val="20"/>
        </w:rPr>
        <w:t>inter vivos</w:t>
      </w:r>
      <w:r>
        <w:rPr>
          <w:rStyle w:val="apple-converted-space"/>
          <w:rFonts w:ascii="Georgia" w:hAnsi="Georgia" w:cs="Calibri"/>
          <w:color w:val="333333"/>
          <w:sz w:val="20"/>
          <w:szCs w:val="20"/>
        </w:rPr>
        <w:t> </w:t>
      </w:r>
      <w:r>
        <w:rPr>
          <w:rFonts w:ascii="Georgia" w:hAnsi="Georgia" w:cs="Calibri"/>
          <w:color w:val="333333"/>
          <w:sz w:val="20"/>
          <w:szCs w:val="20"/>
        </w:rPr>
        <w:t>(enter VYE vos) gift is one made between living persons without conditions attached.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causa mortis</w:t>
      </w:r>
      <w:r>
        <w:rPr>
          <w:rStyle w:val="apple-converted-space"/>
          <w:rFonts w:ascii="Georgia" w:hAnsi="Georgia" w:cs="Calibri"/>
          <w:color w:val="333333"/>
          <w:sz w:val="20"/>
          <w:szCs w:val="20"/>
        </w:rPr>
        <w:t> </w:t>
      </w:r>
      <w:r>
        <w:rPr>
          <w:rFonts w:ascii="Georgia" w:hAnsi="Georgia" w:cs="Calibri"/>
          <w:color w:val="333333"/>
          <w:sz w:val="20"/>
          <w:szCs w:val="20"/>
        </w:rPr>
        <w:t>(KAW zuh mor duz) gift is made by someone contemplating death in the near future.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Requirements</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36.1</w:t>
      </w:r>
      <w:r>
        <w:rPr>
          <w:rStyle w:val="apple-converted-space"/>
          <w:rFonts w:ascii="Georgia" w:hAnsi="Georgia" w:cs="Calibri"/>
          <w:i/>
          <w:iCs/>
          <w:color w:val="BB9966"/>
          <w:sz w:val="21"/>
          <w:szCs w:val="21"/>
        </w:rPr>
        <w:t> </w:t>
      </w:r>
      <w:r>
        <w:rPr>
          <w:rFonts w:ascii="Georgia" w:hAnsi="Georgia" w:cs="Calibri"/>
          <w:i/>
          <w:iCs/>
          <w:color w:val="BB9966"/>
          <w:sz w:val="21"/>
          <w:szCs w:val="21"/>
        </w:rPr>
        <w:t>Gift Requirements</w:t>
      </w:r>
    </w:p>
    <w:p w:rsidR="00A86150" w:rsidRDefault="00F714D4">
      <w:pPr>
        <w:shd w:val="clear" w:color="auto" w:fill="FFFFFF"/>
        <w:spacing w:after="240"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1257300"/>
            <wp:effectExtent l="0" t="0" r="0" b="0"/>
            <wp:docPr id="202" name="Picture 56" descr="http://images.flatworldknowledge.com/mayerlawentrep/mayerlawentrep-fig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mayerlawentrep/mayerlawentrep-fig31_00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make an effective gift inter vivos or causa mortis, the law imposes three requirements: (1) the donor must</w:t>
      </w:r>
      <w:r>
        <w:rPr>
          <w:rStyle w:val="apple-converted-space"/>
          <w:rFonts w:ascii="Georgia" w:hAnsi="Georgia" w:cs="Calibri"/>
          <w:color w:val="333333"/>
          <w:sz w:val="20"/>
          <w:szCs w:val="20"/>
        </w:rPr>
        <w:t> </w:t>
      </w:r>
      <w:r>
        <w:rPr>
          <w:rStyle w:val="Emphasis"/>
          <w:rFonts w:ascii="Georgia" w:hAnsi="Georgia" w:cs="Calibri"/>
          <w:color w:val="333333"/>
          <w:sz w:val="20"/>
          <w:szCs w:val="20"/>
        </w:rPr>
        <w:t>deliver</w:t>
      </w:r>
      <w:r>
        <w:rPr>
          <w:rStyle w:val="apple-converted-space"/>
          <w:rFonts w:ascii="Georgia" w:hAnsi="Georgia" w:cs="Calibri"/>
          <w:color w:val="333333"/>
          <w:sz w:val="20"/>
          <w:szCs w:val="20"/>
        </w:rPr>
        <w:t> </w:t>
      </w:r>
      <w:r>
        <w:rPr>
          <w:rFonts w:ascii="Georgia" w:hAnsi="Georgia" w:cs="Calibri"/>
          <w:color w:val="333333"/>
          <w:sz w:val="20"/>
          <w:szCs w:val="20"/>
        </w:rPr>
        <w:t>a deed or object to the donee; (2) the donor must actually</w:t>
      </w:r>
      <w:r>
        <w:rPr>
          <w:rStyle w:val="apple-converted-space"/>
          <w:rFonts w:ascii="Georgia" w:hAnsi="Georgia" w:cs="Calibri"/>
          <w:color w:val="333333"/>
          <w:sz w:val="20"/>
          <w:szCs w:val="20"/>
        </w:rPr>
        <w:t> </w:t>
      </w:r>
      <w:r>
        <w:rPr>
          <w:rStyle w:val="Emphasis"/>
          <w:rFonts w:ascii="Georgia" w:hAnsi="Georgia" w:cs="Calibri"/>
          <w:color w:val="333333"/>
          <w:sz w:val="20"/>
          <w:szCs w:val="20"/>
        </w:rPr>
        <w:t>intend</w:t>
      </w:r>
      <w:r>
        <w:rPr>
          <w:rStyle w:val="apple-converted-space"/>
          <w:rFonts w:ascii="Georgia" w:hAnsi="Georgia" w:cs="Calibri"/>
          <w:color w:val="333333"/>
          <w:sz w:val="20"/>
          <w:szCs w:val="20"/>
        </w:rPr>
        <w:t> </w:t>
      </w:r>
      <w:r>
        <w:rPr>
          <w:rFonts w:ascii="Georgia" w:hAnsi="Georgia" w:cs="Calibri"/>
          <w:color w:val="333333"/>
          <w:sz w:val="20"/>
          <w:szCs w:val="20"/>
        </w:rPr>
        <w:t>to make a gift, and (3) the donee must</w:t>
      </w:r>
      <w:r>
        <w:rPr>
          <w:rStyle w:val="apple-converted-space"/>
          <w:rFonts w:ascii="Georgia" w:hAnsi="Georgia" w:cs="Calibri"/>
          <w:color w:val="333333"/>
          <w:sz w:val="20"/>
          <w:szCs w:val="20"/>
        </w:rPr>
        <w:t> </w:t>
      </w:r>
      <w:r>
        <w:rPr>
          <w:rStyle w:val="Emphasis"/>
          <w:rFonts w:ascii="Georgia" w:hAnsi="Georgia" w:cs="Calibri"/>
          <w:color w:val="333333"/>
          <w:sz w:val="20"/>
          <w:szCs w:val="20"/>
        </w:rPr>
        <w:t>accept</w:t>
      </w:r>
      <w:r>
        <w:rPr>
          <w:rStyle w:val="apple-converted-space"/>
          <w:rFonts w:ascii="Georgia" w:hAnsi="Georgia" w:cs="Calibri"/>
          <w:color w:val="333333"/>
          <w:sz w:val="20"/>
          <w:szCs w:val="20"/>
        </w:rPr>
        <w:t> </w:t>
      </w:r>
      <w:r>
        <w:rPr>
          <w:rFonts w:ascii="Georgia" w:hAnsi="Georgia" w:cs="Calibri"/>
          <w:color w:val="333333"/>
          <w:sz w:val="20"/>
          <w:szCs w:val="20"/>
        </w:rPr>
        <w:t>(see</w:t>
      </w:r>
      <w:r>
        <w:rPr>
          <w:rFonts w:ascii="Georgia" w:hAnsi="Georgia" w:cs="Calibri"/>
          <w:color w:val="2689C6"/>
          <w:sz w:val="20"/>
          <w:szCs w:val="20"/>
        </w:rPr>
        <w:t>Figure 36.1 "Gift Requirements"</w:t>
      </w:r>
      <w:r>
        <w:rPr>
          <w:rFonts w:ascii="Georgia" w:hAnsi="Georgia" w:cs="Calibri"/>
          <w:color w:val="333333"/>
          <w:sz w:val="20"/>
          <w:szCs w:val="20"/>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Delivery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it is firmly established that the object be delivered, it is not so clear what constitutes delivery. On the face of it, the requirement seems to be that the object must be transferred to the donee’s possession. Suppose your friend tells you he is making a gift to you of certain books that are lying in a locked trunk. If he actually gives you the trunk so that you can carry it away, a gift has been made. Suppose, however, that he had merely given you the key, so that you could come back the next day with your car. If this were the sole key, the courts would probably construe the transfer of the key as possession of the trunk. Suppose, instead, that the books were in a bank vault and the friend made out a legal document giving both you and him the power to take from the bank vault. This would not be a valid gift, since he retained power over the goods.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Intent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intent to make a gift must be an intent to give the property at the present time, not later. For example, suppose a person has her savings account passbook put in her name and a friend’s name, intending that on her death the friend will be able to draw out whatever money is left. She has not made a gift, because she did not intend to give the money when she changed the passbook. The intent requirement can sometimes be sidestepped if legal title to the object is actually transferred, postponing to the donee only the use or enjoyment of the property until later. Had the passbook been made out in the name of the donee only and delivered to a third party to hold until the death of the donor, then a valid gift may have been made. Although it is sometimes difficult to discern this distinction in practice, a more accurate statement of the rule of intent is this: Intention to give in the future does not constitute the requisite intent, whereas present gifts of future interests will be upheld.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Acceptance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usual case, the rule requiring acceptance poses no difficulties. A friend hands you a new book and says, “I would like you to have this.” Your taking the book and saying “thank-you” is enough to constitute your acceptance. But suppose that the friend had given you property without your knowing it. For example, a secret admirer puts her stock certificates jointly in your name and hers without telling you. Later, you marry someone else, and she asks you to transfer the certificates back to her name. This is the first you have heard of the transaction. Has a gift been made? The usual answer is that even though you had not accepted the stock when the name change was made, the transaction was a gift that took effect immediately, subject to your right to repudiate when you find out about it. If you do not reject the gift, you have joint rights in the stock. But if you expressly refuse to accept a gift or indicate in some manner that you might not have accepted it, then the gift is not effective. For example, suppose you are running for office. A lobbyist whom you despise gives you a donation. If you refuse the money, no gift has been made.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Gifts Causa Mortis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the requirements of delivery, intent, and acceptance apply to gifts causa mortis as well as inter vivos, a gift causa mortis (one made in contemplation of death) may be distinguished from a gift inter vivos on other grounds. The difference between the two lies in the power of the donor to revoke the gift before he dies; in other words, the gift is conditional on his death. Since the law does not permit gifts that take place in the future contingent on some happening, how can it be that a gift causa mortis is effective? The answer lies in the nature of the transfer: the donee takes actual title when the gift is made; should the donor not in fact die or should he revoke the gift before he dies, then and only then will the donee lose title. The difference is subtle and amounts to the difference between saying “If I die, the watch is yours” and “The watch is yours, unless I survive.” In the former case, known as a condition precedent, there is no valid gift; in the latter case, known as a condition subsequent, the gift is valid.</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Gifts to Minors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state has adopted either the Uniform Gifts to Minors Act (UGMA) or the Uniform Transfers to Minors Act (UTMA), both of which establish the manner by which irrevocable gifts are made to minors. Under these acts, a custodian holds the gifts until the minor reaches the age of eighteen, twenty-one, or twenty-five, depending on state law. Gifts under UGMA are limited for the most part to money or securities, while UTMA allows other types of gifts as well, such as real estate or tangible personal property.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Gift Tax</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government and many states impose gift taxes on gifts above a certain dollar amount.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Accession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accession</w:t>
      </w:r>
      <w:r>
        <w:rPr>
          <w:rStyle w:val="apple-converted-space"/>
          <w:rFonts w:ascii="Georgia" w:hAnsi="Georgia" w:cs="Calibri"/>
          <w:color w:val="333333"/>
          <w:sz w:val="20"/>
          <w:szCs w:val="20"/>
        </w:rPr>
        <w:t> </w:t>
      </w:r>
      <w:r>
        <w:rPr>
          <w:rFonts w:ascii="Georgia" w:hAnsi="Georgia" w:cs="Calibri"/>
          <w:color w:val="333333"/>
          <w:sz w:val="20"/>
          <w:szCs w:val="20"/>
        </w:rPr>
        <w:t>is something that is added to what one already possesses. In general, the rule is that the owner of the thing owns the additional thing that comes to be attached to it. For example, the owner of a cow owns her calves when she gives birth. But when one person adds value to another person’s property, either through labor alone or by adding new materials, the rule must be stated somewhat differently. The general rule is this: when goods are added to goods, the owner of the principal goods becomes the owner of the enhanced product. For example, a garage uses its paint to repaint its customer’s automobile. The car owner, not the painter, is the owner of the finished product.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someone has wrongfully converted—that is, taken as her own—the property of another, the owner may sue for damages, either to recover his property or its value. But a problem arises when the converter has added to the value of that property. In general, the courts hold that when the conversion is willful, the owner is entitled to the full value of the goods as enhanced by the converter. Suppose that a carpenter enters a ten-acre forest that he knows belongs to his neighbor, cuts down one hundred trees, transports them to his shop, and cuts them up into standard lumber, thus increasing their market value. The owner is entitled to this full value, and the carpenter will get nothing for his trouble. Thus the willful converter loses the value of his labor or materials. If, on the other hand, the conversion was innocent, or at most negligent, the rule is somewhat more uncertain. Generally the courts will award the forest owner the value of the standing timber, giving the carpenter the excess attributable to his labor and transportation. A more favorable treatment of the owner is to give her the full value of the lumber as cut, remitting to the carpenter the value of his expenses.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Confusion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accession, the goods of one owner are transformed into a more valuable commodity or are inextricably united with the goods of another to form a constituent part. Still another type of joining is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confusion</w:t>
      </w:r>
      <w:r>
        <w:rPr>
          <w:rFonts w:ascii="Georgia" w:hAnsi="Georgia" w:cs="Calibri"/>
          <w:color w:val="333333"/>
          <w:sz w:val="20"/>
          <w:szCs w:val="20"/>
        </w:rPr>
        <w:t>, and it occurs when goods of different owners, while maintaining their original form, are commingled. A common example is the intermingling of grain in a silo. But goods that are identifiable as belonging to a particular person—branded cattle, for instance—are not confused, no matter how difficult it may be to separate herds that have been put together.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goods are identical, no particular problem of division arises. Assuming that each owner can show how much he has contributed to the confused mass, he is entitled to that quantity, and it does not matter which particular grains or kernels he extracts. So if a person, seeing a container of grain sitting on the side of the road, mistakes it for his own and empties it into a larger container in his truck, the remedy is simply to restore a like quantity to the original owner. When owners of like substances consent to have those substances combined (such as in a grain silo), they are said to be tenants in common, holding a proportional share in the whole.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 willful confusion of goods, many courts hold that the wrongdoer forfeits all his property unless he can identify his particular property. Other courts have modified this harsh rule by shifting the burden of proof to the wrongdoer, leaving it up to him to claim whatever he can establish was his. If he cannot establish what was his, then he will forfeit all. Likewise, when the defendant has confused the goods negligently, without intending to do so, most courts will tend to shift to the defendant the burden of proving how much of the mass belongs to him.</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rPr>
      </w:pPr>
      <w:r>
        <w:rPr>
          <w:rFonts w:ascii="Calibri" w:hAnsi="Calibri" w:cs="Calibri"/>
          <w:color w:val="333333"/>
          <w:sz w:val="20"/>
          <w:szCs w:val="20"/>
        </w:rPr>
        <w:t>Other than outright purchase of personal property, there are various ways in which to acquire legal title. Among these are possession, gift, accession, confusion, and finding property that is abandoned, lost, or mislaid, especially if the abandoned, lost, or mislaid property is found on real property that you own.</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9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Dan captures a wild boar on US Forest Service land. He takes it home and puts it in a cage, but the boar escapes and runs wild for a few days before being caught by Romero, some four miles distant from Dan’s house. Romero wants to keep the boar. Does he “own” it? Or does it belong to Dan, or to someone else?</w:t>
      </w:r>
    </w:p>
    <w:p w:rsidR="00A86150" w:rsidRDefault="00F714D4">
      <w:pPr>
        <w:numPr>
          <w:ilvl w:val="0"/>
          <w:numId w:val="9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Harriet finds a wallet in the college library, among the stacks. The wallet has $140 in it, but no credit cards or identification. The library has a lost and found at the circulation desk, and the people at the circulation desk are honest and reliable. The wallet itself is unique enough to be identified by its owner. (a) Who owns the wallet and its contents? (b) As a matter of ethics, should Harriet keep the money if the wallet is “legally” hers?</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36.3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Fixtures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A86150" w:rsidRDefault="00F714D4">
      <w:pPr>
        <w:pStyle w:val="Heading3"/>
        <w:shd w:val="clear" w:color="auto" w:fill="D2D1C2"/>
        <w:spacing w:before="0" w:beforeAutospacing="0" w:after="0" w:afterAutospacing="0" w:line="264" w:lineRule="atLeast"/>
        <w:ind w:left="360" w:right="360"/>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w:t>
      </w:r>
    </w:p>
    <w:p w:rsidR="00A86150" w:rsidRDefault="00F714D4">
      <w:pPr>
        <w:numPr>
          <w:ilvl w:val="0"/>
          <w:numId w:val="914"/>
        </w:numPr>
        <w:shd w:val="clear" w:color="auto" w:fill="EAE9DC"/>
        <w:tabs>
          <w:tab w:val="clear" w:pos="720"/>
          <w:tab w:val="num" w:pos="1080"/>
        </w:tabs>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three tests for when personal property becomes a fixture and thus becomes real property.</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Definition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fixture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 object that was once personal property but that has become so affixed to land or structures that it is considered legally a part of the real property. For example, a stove bolted to the floor of a kitchen and connected to the gas lines is usually considered a fixture, either in a contract for sale, or for testamentary transfer (by will). For tax purposes, fixtures are treated as real property.</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Tests</w:t>
      </w:r>
    </w:p>
    <w:p w:rsidR="00A86150" w:rsidRDefault="00F714D4">
      <w:pPr>
        <w:pStyle w:val="Title1"/>
        <w:shd w:val="clear" w:color="auto" w:fill="FFFFFF"/>
        <w:spacing w:before="0" w:beforeAutospacing="0" w:after="24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36.2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Fixture Tests</w:t>
      </w:r>
    </w:p>
    <w:p w:rsidR="00A86150" w:rsidRDefault="00F714D4">
      <w:pPr>
        <w:shd w:val="clear" w:color="auto" w:fill="FFFFFF"/>
        <w:spacing w:after="240"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572000" cy="1228725"/>
            <wp:effectExtent l="0" t="0" r="0" b="9525"/>
            <wp:docPr id="203" name="Picture 57" descr="http://images.flatworldknowledge.com/mayerlawentrep/mayerlawentrep-fig3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mayerlawentrep/mayerlawentrep-fig31_0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0" cy="1228725"/>
                    </a:xfrm>
                    <a:prstGeom prst="rect">
                      <a:avLst/>
                    </a:prstGeom>
                    <a:noFill/>
                    <a:ln>
                      <a:noFill/>
                    </a:ln>
                  </pic:spPr>
                </pic:pic>
              </a:graphicData>
            </a:graphic>
          </wp:inline>
        </w:drawing>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Obviously, no clear line can be drawn between what is and what is not a fixture. In general, the courts look to three tests to determine whether a particular object has become a fixture: annexation, adaptation, and intention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36.2 "Fixture Tests"</w:t>
      </w:r>
      <w:r>
        <w:rPr>
          <w:rFonts w:ascii="Georgia" w:hAnsi="Georgia" w:cs="Calibri"/>
          <w:color w:val="333333"/>
          <w:sz w:val="20"/>
          <w:szCs w:val="20"/>
          <w:lang w:val="en"/>
        </w:rPr>
        <w:t>).</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Annexation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object must be annexed or affixed to the real property. A door on a house is affixed. Suppose the door is broken and the owner has purchased a new door made to fit, but the house is sold before the new door is installed. Most courts would consider that new door a fixture under a rule of constructive annexation. Sometimes courts have said that an item is a fixture if its removal would damage the real property, but this test is not always followed. Must the object be attached with nails, screws, glue, bolts, or some other physical device? In one case, the court held that a four-ton statue was sufficiently affixed merely by its weight.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Adaptation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Another test is whether the object is adapted to the use or enjoyment of the real property. Examples are home furnaces, power equipment in a mill, and computer systems in bank buildings.</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Intention</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Recent decisions suggest that the controlling test is whether the person who actually annexes the object intends by so doing to make it a permanent part of the real estate. The intention is usually deduced from the circumstances, not from what a person might later say her intention was. If an owner installs a heating system in her house, the law will presume she intended it as a fixture because the installation was intended to benefit the house; she would not be allowed to remove the heating system when she sold the house by claiming that she had not intended to make it a fixture.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Fixture Disputes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fixtures have a hybrid nature (once personal property, subsequently real property), they generate a large number of disputes. We have already examined disputes between mortgagees and secured parties (</w:t>
      </w:r>
      <w:r>
        <w:rPr>
          <w:rFonts w:ascii="Georgia" w:hAnsi="Georgia" w:cs="Calibri"/>
          <w:color w:val="2689C6"/>
          <w:sz w:val="20"/>
          <w:szCs w:val="20"/>
          <w:lang w:val="en"/>
        </w:rPr>
        <w:t>Chapter 33 "Secured Transactions and Suretyship"</w:t>
      </w:r>
      <w:r>
        <w:rPr>
          <w:rFonts w:ascii="Georgia" w:hAnsi="Georgia" w:cs="Calibri"/>
          <w:color w:val="333333"/>
          <w:sz w:val="20"/>
          <w:szCs w:val="20"/>
          <w:lang w:val="en"/>
        </w:rPr>
        <w:t>). Two other types of disputes are discussed here.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Transfer of Real Estate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a homeowner sells her house, the problem frequently crops up as to whether certain items in the home have been sold or may be removed by the seller. Is a refrigerator, which simply plugs into the wall, a fixture or an item of personal property? If a dispute arises, the courts will apply the three tests—annexation, adaptation, and intention. Of course, the simplest way of avoiding the dispute is to incorporate specific reference to questionable items in the contract for sale, indicating whether the buyer or the seller is to keep them.</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Tenant’s Fixtures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Tenants frequently install fixtures in the buildings they rent or the property they occupy. A company may install tens of thousands of dollars worth of equipment; a tenant in an apartment may bolt a bookshelf into the wall or install shades over a window. Who owns the fixtures when the tenant’s lease expires? The older rule was that any fixture, determined by the usual tests, must remain with the landlord. Today, however, certain types of fixtures—known as</w:t>
      </w:r>
      <w:r>
        <w:rPr>
          <w:rStyle w:val="marginterm"/>
          <w:rFonts w:ascii="Georgia" w:hAnsi="Georgia" w:cs="Calibri"/>
          <w:color w:val="333333"/>
          <w:sz w:val="20"/>
          <w:szCs w:val="20"/>
          <w:lang w:val="en"/>
        </w:rPr>
        <w:t>tenant’s fixtures</w:t>
      </w:r>
      <w:r>
        <w:rPr>
          <w:rFonts w:ascii="Georgia" w:hAnsi="Georgia" w:cs="Calibri"/>
          <w:color w:val="333333"/>
          <w:sz w:val="20"/>
          <w:szCs w:val="20"/>
          <w:lang w:val="en"/>
        </w:rPr>
        <w:t>—stay with the tenant. These fall into three categories: (1) trade fixtures—articles placed on the premises to enable the tenant to carry on his or her trade or business in the rented premises; (2) agricultural fixtures—devices installed to carry on farming activities (e.g., milling plants and silos); (3) domestic fixtures—items that make a tenant’s personal life more comfortable (carpeting, screens, doors, washing machines, bookshelves, and the like).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three types of tenant’s fixtures remain personal property and may be removed by the tenant if the following three conditions are met: (1) They must be installed for the requisite purposes of carrying on the trade or business or the farming or agricultural pursuits or for making the home more comfortable, (2) they must be removable without causing substantial damage to the landlord’s property, and (3) they must be removed before the tenant turns over possession of the premises to the landlord. Again, any debatable points can be resolved in advance by specifying them in the written lease.</w:t>
      </w:r>
    </w:p>
    <w:p w:rsidR="00A86150" w:rsidRDefault="00F714D4">
      <w:pPr>
        <w:pStyle w:val="Heading3"/>
        <w:shd w:val="clear" w:color="auto" w:fill="39892F"/>
        <w:spacing w:before="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A86150" w:rsidRDefault="00F714D4">
      <w:pPr>
        <w:pStyle w:val="para"/>
        <w:shd w:val="clear" w:color="auto" w:fill="ECF9EA"/>
        <w:spacing w:before="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Personal property is often converted to real property when it is affixed to real property. There are three tests that courts use to determine whether a particular object has become a fixture and thus has become real property: annexation, adaptation, and intention. Disputes over fixtures often arise in the transfer of real property and in landlord-tenant relations.</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A86150" w:rsidRDefault="00F714D4">
      <w:pPr>
        <w:numPr>
          <w:ilvl w:val="0"/>
          <w:numId w:val="91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Jim and Donna Stoner contract to sell their house in Rochester, Michigan, to Clem and Clara Hovenkamp. Clara thinks that the decorative chandelier in the entryway is lovely and gives the house an immediate appeal. The chandelier was a gift from Donna’s mother, “to enhance the entryway” and provide “a touch of beauty” for Jim and Donna’s house. Clem and Clara assume that the chandelier will stay, and nothing specific is mentioned about the chandelier in the contract for sale. Clem and Clara are shocked when they move in and find the chandelier is gone. Have Jim and Donna breached their contract of sale?</w:t>
      </w:r>
    </w:p>
    <w:p w:rsidR="00A86150" w:rsidRDefault="00F714D4">
      <w:pPr>
        <w:numPr>
          <w:ilvl w:val="0"/>
          <w:numId w:val="91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Blaine Goodfellow rents a house from Associated Properties in Abilene, Texas. He is there for two years, and during that time he installs a ceiling fan, custom-builds a bookcase for an alcove on the main floor, and replaces the screening on the front and back doors, saving the old screening in the furnace room. When his lease expires, he leaves, and the bookcase remains behind. Blaine does, however, take the new screening after replacing it with the old screening, and he removes the ceiling fan and puts back the light. He causes no damage to Associated Properties’ house in doing any of this. Discuss who is the rightful owner of the screening, the bookcase, and the ceiling fan after the lease expires.</w:t>
      </w:r>
    </w:p>
    <w:p w:rsidR="00A86150" w:rsidRDefault="0081777E">
      <w:pPr>
        <w:spacing w:after="0"/>
        <w:jc w:val="center"/>
        <w:divId w:val="1694530828"/>
      </w:pPr>
      <w:r>
        <w:pict>
          <v:rect id="_x0000_i1176" style="width:468pt;height:1.5pt" o:hralign="center" o:hrstd="t" o:hrnoshade="t" o:hr="t" fillcolor="#555" stroked="f"/>
        </w:pict>
      </w:r>
    </w:p>
    <w:p w:rsidR="00A86150" w:rsidRDefault="00F714D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Snedeker v. Warring</w:t>
      </w:r>
      <w:r>
        <w:rPr>
          <w:rFonts w:ascii="Calibri" w:hAnsi="Calibri" w:cs="Calibri"/>
          <w:color w:val="333333"/>
          <w:sz w:val="20"/>
          <w:szCs w:val="20"/>
        </w:rPr>
        <w:t>, 12 N.Y. 170 (1854).</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36.4</w:t>
      </w:r>
      <w:r>
        <w:rPr>
          <w:rStyle w:val="apple-converted-space"/>
          <w:rFonts w:ascii="Calibri" w:hAnsi="Calibri" w:cs="Calibri"/>
          <w:color w:val="333333"/>
        </w:rPr>
        <w:t> </w:t>
      </w:r>
      <w:r>
        <w:rPr>
          <w:rFonts w:ascii="Calibri" w:hAnsi="Calibri" w:cs="Calibri"/>
          <w:color w:val="333333"/>
        </w:rPr>
        <w:t>Case</w:t>
      </w:r>
    </w:p>
    <w:p w:rsidR="00A86150" w:rsidRDefault="00F714D4">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Lost or Misplaced Property</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Bishop v. Ellsworth</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91 Ill. App.2d 386, 234 N.E. 2d 50 (1968)</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OPINION BY: STOUDER, Presiding Justice</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Dwayne Bishop, plaintiff, filed a complaint alleging that on July 21, 1965, defendants, Mark and Jeff Ellsworth and David Gibson, three small boys, entered his salvage yard premises at 427 Mulberry Street in Canton, without his permission, and while there happened upon a bottle partially embedded in the loose earth on top of a landfill, wherein they discovered the sum of $12,590 in US currency. It is further alleged that said boys delivered the money to the municipal chief of police who deposited it with defendant, Canton State Bank. The complaint also alleges defendants caused preliminary notices to be given as required by Ill. Rev. Stats., chapter 50, subsections 27 and 28 (1965), but that such statute or compliance therewith does not affect the rights of the plaintiff. [The trial court dismissed the plaintiff’s complaint.]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defendant’s contention that the provisions of Ill Rev Stats, chapter 50, subsections 27 and 28 govern this case. The relevant portions of this statute are as follows:</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“27. Lost goods…If any person or persons shall hereafter find any lost goods, money, bank notes, or other choses in action, of any description whatever, such person or persons shall inform the owner thereof, if known, and shall make restitution of the same, without any compensation whatever, except the same shall be voluntarily given on the part of the owner. If the owner be unknown, and if such property found is of the value of $ 15 or upwards, the finder…shall, within five days after such finding…appear before some judge or magistrate…and make affidavit of the description thereof, the time and place when and where the same was found, that no alteration has been made in the appearance thereof since the finding of the same, that the owner thereof is unknown to him and that he has not secreted, withheld or disposed of any part thereof. The judge or magistrate shall enter the value of the property found as near as he can ascertain in his estray book together with the affidavit of the finder, and shall also, within ten days after the proceedings have been entered on his estray book, transmit to the county clerk a certified copy thereof, to be by him recorded in his estray book and to file the same in his office…28. Advertisement…If the value thereof exceeds the sum of $ 15, the county clerk, within 20 days after receiving the certified copy of the judge or magistrate’s estray record shall cause an advertisement to be set up on the court house door, and in 3 other of the most public places in the county, and also a notice thereof to be published for 3 weeks successively in some public newspaper printed in this state and if the owner of such goods, money, bank notes, or other choses in action does not appear and claim the same and pay the finder’s charges and expenses within one year after the advertisement thereof as aforesaid, the ownership of such property shall vest in the finder.”</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think it apparent that the statute to which defendants make reference provides a means of vesting title to lost property in the finder where the prescribed search for the owner proves fruitless. This statute does not purport to provide for the disposition of property deemed mislaid or abandoned nor does it purport to describe or determine the right to possession against any party other than the true owner. The plain meaning of this statute does not support plaintiff’s position that common law is wholly abrogated thereby. The provisions of the statute are designed to provide a procedure whereby the discoverer of “lost” property may be vested with the ownership of said property even as against the true owner thereof, a right which theretofore did not exist at common law. In the absence of any language in the statute from which the contrary can be inferred it must be assumed that the term “lost” was used in its generally accepted legal sense and no extension of the term was intended. Thus the right to possession of discovered property still depends upon the relative rights of the discoverer and the owner of the locus in quo and the distinctions which exist between property which is abandoned, mislaid, lost or is treasure trove. The statute assumes that the discoverer is in the rightful possession of lost property and proceedings under such statute is (sic) not a bar where the issue is a claim to the contrary. There is a presumption that the owner or occupant of land or premises has custody of property found on it or actually imbedded in the land. The ownership or possession of the locus in quo is related to the right to possession of property discovered thereon or imbedded therein in two respects. First, if the premises on which the property is discovered are private it is deemed that the property discovered thereon is and always has been in the constructive possession of the owner of said premises and in a legal sense the property can be neither mislaid nor lost. Pyle v. Springfield Marine Bank, 330 Ill App 1, 70 NE2d 257. Second, the question of whether the property is mislaid or lost in a legal sense depends upon the intent of the true owner. The ownership or possession of the premises is an important factor in determining such intent. If the property be determined to be mislaid, the owner of the premises is entitled to the possession thereof against the discoverer. It would also appear that if the discoverer is a trespasser such trespasser can have no claim to possession of such property even if it might otherwise be considered lost.</w:t>
      </w:r>
    </w:p>
    <w:p w:rsidR="00A86150" w:rsidRDefault="00F714D4">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as alleged in substance are that the Plaintiff was the owner and in possession of real estate, that the money was discovered in a private area of said premises in a bottle partially imbedded in the soil and that such property was removed from the premises by the finders without any right or authority and in effect as trespassers. We believe the averment of facts in the complaint substantially informs the defendants of the nature of and basis for the claim and is sufficient to state a cause of action. [The trial court’s dismissal of the Plaintiff’s complaint is reversed and the case is remanded.]</w:t>
      </w:r>
    </w:p>
    <w:p w:rsidR="00A86150" w:rsidRDefault="00F714D4">
      <w:pPr>
        <w:pStyle w:val="Heading3"/>
        <w:shd w:val="clear" w:color="auto" w:fill="08629A"/>
        <w:spacing w:before="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A86150" w:rsidRDefault="00F714D4">
      <w:pPr>
        <w:numPr>
          <w:ilvl w:val="0"/>
          <w:numId w:val="9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actual result in this case? Do the young boys get any of the money that they found? Why or why not?</w:t>
      </w:r>
    </w:p>
    <w:p w:rsidR="00A86150" w:rsidRDefault="00F714D4">
      <w:pPr>
        <w:numPr>
          <w:ilvl w:val="0"/>
          <w:numId w:val="9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is Dwayne Bishop, and why is he a plaintiff here? Was it Bishop that put the $12,590 in US currency in a bottle in the landfill at the salvage yard? If not, then who did?</w:t>
      </w:r>
    </w:p>
    <w:p w:rsidR="00A86150" w:rsidRDefault="00F714D4">
      <w:pPr>
        <w:numPr>
          <w:ilvl w:val="0"/>
          <w:numId w:val="9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Bishop is not the original owner of the currency, what are the rights of the original owner in this case? Did the original owner “lose” the currency? Did the original owner “misplace” the currency? What difference does it make whether the original owner “lost” or “misplaced” the currency? Can the original owner, after viewing the legal advertisement, have a claim superior to Dwayne Bishop’s claim?</w:t>
      </w:r>
    </w:p>
    <w:p w:rsidR="00A86150" w:rsidRDefault="00F714D4">
      <w:pPr>
        <w:rPr>
          <w:rFonts w:ascii="Calibri" w:eastAsia="Times New Roman" w:hAnsi="Calibri" w:cs="Calibri"/>
          <w:color w:val="333333"/>
          <w:sz w:val="20"/>
          <w:szCs w:val="20"/>
        </w:rPr>
      </w:pPr>
      <w:r>
        <w:rPr>
          <w:rFonts w:ascii="Calibri" w:eastAsia="Times New Roman" w:hAnsi="Calibri" w:cs="Calibri"/>
          <w:color w:val="333333"/>
          <w:sz w:val="20"/>
          <w:szCs w:val="20"/>
        </w:rPr>
        <w:br w:type="page"/>
      </w:r>
    </w:p>
    <w:p w:rsidR="00A86150" w:rsidRDefault="00F714D4">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36.5</w:t>
      </w:r>
      <w:r>
        <w:rPr>
          <w:rStyle w:val="apple-converted-space"/>
          <w:rFonts w:ascii="Calibri" w:hAnsi="Calibri" w:cs="Calibri"/>
          <w:color w:val="333333"/>
        </w:rPr>
        <w:t> </w:t>
      </w:r>
      <w:r>
        <w:rPr>
          <w:rFonts w:ascii="Calibri" w:hAnsi="Calibri" w:cs="Calibri"/>
          <w:color w:val="333333"/>
        </w:rPr>
        <w:t>Summary and Exercises</w:t>
      </w:r>
    </w:p>
    <w:p w:rsidR="00A86150" w:rsidRDefault="00A86150">
      <w:pPr>
        <w:pStyle w:val="Heading2"/>
        <w:shd w:val="clear" w:color="auto" w:fill="FFFFFF"/>
        <w:spacing w:before="0" w:beforeAutospacing="0" w:after="0" w:afterAutospacing="0" w:line="439" w:lineRule="atLeast"/>
        <w:textAlignment w:val="baseline"/>
        <w:rPr>
          <w:rFonts w:ascii="Calibri" w:hAnsi="Calibri" w:cs="Calibri"/>
          <w:color w:val="333333"/>
        </w:rPr>
      </w:pPr>
    </w:p>
    <w:p w:rsidR="00A86150" w:rsidRDefault="00F714D4">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Property is the</w:t>
      </w:r>
      <w:r>
        <w:rPr>
          <w:rStyle w:val="apple-converted-space"/>
          <w:rFonts w:ascii="Georgia" w:hAnsi="Georgia" w:cs="Calibri"/>
          <w:color w:val="333333"/>
          <w:sz w:val="20"/>
          <w:szCs w:val="20"/>
        </w:rPr>
        <w:t> </w:t>
      </w:r>
      <w:r>
        <w:rPr>
          <w:rStyle w:val="Emphasis"/>
          <w:rFonts w:ascii="Georgia" w:hAnsi="Georgia" w:cs="Calibri"/>
          <w:color w:val="333333"/>
          <w:sz w:val="20"/>
          <w:szCs w:val="20"/>
        </w:rPr>
        <w:t>legal relationship</w:t>
      </w:r>
      <w:r>
        <w:rPr>
          <w:rStyle w:val="apple-converted-space"/>
          <w:rFonts w:ascii="Georgia" w:hAnsi="Georgia" w:cs="Calibri"/>
          <w:color w:val="333333"/>
          <w:sz w:val="20"/>
          <w:szCs w:val="20"/>
        </w:rPr>
        <w:t> </w:t>
      </w:r>
      <w:r>
        <w:rPr>
          <w:rFonts w:ascii="Georgia" w:hAnsi="Georgia" w:cs="Calibri"/>
          <w:color w:val="333333"/>
          <w:sz w:val="20"/>
          <w:szCs w:val="20"/>
        </w:rPr>
        <w:t>between persons with respect to things. The law spells out what can be owned and the degree to which one person can assert an interest in someone else’s things. Property is classified in several ways: personal versus real, tangible versus intangible, private versus public. The first distinction, between real and personal, is the most important, for different legal principles often apply to each. Personal property is movable, whereas real property is immovable.</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ways personal property can be acquired are: by (1) possession, (2) finding, (3) gift, (4) accession, and (5) confusion.</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Possession means the power to exclude others from using an object. Possession confers ownership only when there is no owner at the time the current owner takes possession. “Finders keepers, losers weepers” is not a universal rule; the previous owner is entitled to return of his goods if it is reasonably possible to locate him. If not, or if the owner does not claim his property, then it goes to the owner of the real estate on which it was found, if the finder was a trespasser, or the goods were buried, were in a private place, or were misplaced rather than lost. If none of these conditions applies, the property goes to the finder.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gift is a voluntary transfer of property without consideration. Two kinds of gifts are possible: inter vivos and causa mortis. To make an effective gift, (1) the donor must make out a deed or physically deliver the object to the donee, (2) the donor must intend to make a gift, and (3) the donee must accept the gift. Delivery does not always require physical transfer; sometimes, surrender of control is sufficient. The donor must intend to give the gift now, not later.</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Accession is an addition to that which is already owned—for example, the birth of calves to a cow owned by a farmer. But when someone else, through labor or by supplying material, adds value, the accession goes to the owner of the principal goods.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Confusion is the intermingling of like goods so that each, while maintaining its form, becomes a part of a larger whole, like grain mixed in a silo. As long as the goods are identical, they can easily enough be divided among their owners.</w:t>
      </w:r>
    </w:p>
    <w:p w:rsidR="00A86150" w:rsidRDefault="00F714D4">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fixture is a type of property that ceases to be personal property and becomes real property when it is annexed or affixed to land or buildings on the land and adapted to the use and enjoyment of the real property. The common-law rules governing fixtures do not employ clear-cut tests, and sellers and buyers can avoid many disputes by specifying in their contracts what goes with the land. Tenant’s fixtures remain the property of the tenant if they are for the convenience of the tenant, do not cause substantial damage to the property when removed, and are removed before possession is returned to the landlord.</w:t>
      </w:r>
    </w:p>
    <w:p w:rsidR="00A86150" w:rsidRDefault="00F714D4">
      <w:pPr>
        <w:pStyle w:val="Heading3"/>
        <w:shd w:val="clear" w:color="auto" w:fill="08629A"/>
        <w:spacing w:before="240" w:beforeAutospacing="0" w:after="0" w:afterAutospacing="0" w:line="264" w:lineRule="atLeast"/>
        <w:ind w:right="360"/>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A86150" w:rsidRDefault="00F714D4">
      <w:pPr>
        <w:numPr>
          <w:ilvl w:val="0"/>
          <w:numId w:val="9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Kate owns a guitar, stock in a corporation, and an antique bookcase that is built into the wall of her apartment. How would you classify each kind of property?</w:t>
      </w:r>
    </w:p>
    <w:p w:rsidR="00A86150" w:rsidRDefault="00F714D4">
      <w:pPr>
        <w:numPr>
          <w:ilvl w:val="0"/>
          <w:numId w:val="9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her last business law class, Ingrid casually throws her textbook into a trash can and mutters to herself, “I’m glad I don’t have to read that stuff anymore.” Tom immediately retrieves the book from the can. Days later, Ingrid realizes that the book will come in handy, sees Tom with it, and demands that he return the book. Tom refuses. Who is entitled to the book? Why?</w:t>
      </w:r>
    </w:p>
    <w:p w:rsidR="00A86150" w:rsidRDefault="00F714D4">
      <w:pPr>
        <w:numPr>
          <w:ilvl w:val="0"/>
          <w:numId w:val="9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2, suppose that Ingrid had accidentally left the book on a table in a restaurant. Tom finds it, and chanting “Finders keepers, losers weepers,” he refuses to return the book. Is Ingrid entitled to the book? Why?</w:t>
      </w:r>
    </w:p>
    <w:p w:rsidR="00A86150" w:rsidRDefault="00F714D4">
      <w:pPr>
        <w:numPr>
          <w:ilvl w:val="0"/>
          <w:numId w:val="9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3, if the owner of the book (Ingrid) is never found, who is entitled to the book—the owner of the restaurant or Tom? Why?</w:t>
      </w:r>
    </w:p>
    <w:p w:rsidR="00A86150" w:rsidRDefault="00F714D4">
      <w:pPr>
        <w:numPr>
          <w:ilvl w:val="0"/>
          <w:numId w:val="9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Matilda owned an expensive necklace. On her deathbed, Matilda handed the necklace to her best friend, Sadie, saying, “If I die, I want you to have this.” Sadie accepted the gift and placed it in her safe-deposit box. Matilda died without a will, and now her only heir, Ralph, claims the necklace. Is he entitled to it? Why or why not?</w:t>
      </w:r>
    </w:p>
    <w:p w:rsidR="00A86150" w:rsidRDefault="00F714D4">
      <w:pPr>
        <w:pStyle w:val="Heading3"/>
        <w:shd w:val="clear" w:color="auto" w:fill="08629A"/>
        <w:spacing w:before="24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A86150" w:rsidRDefault="00F714D4">
      <w:pPr>
        <w:pStyle w:val="para"/>
        <w:numPr>
          <w:ilvl w:val="0"/>
          <w:numId w:val="918"/>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Personal property is defined as property that is</w:t>
      </w:r>
    </w:p>
    <w:p w:rsidR="00A86150" w:rsidRDefault="00F714D4">
      <w:pPr>
        <w:pStyle w:val="ListParagraph"/>
        <w:numPr>
          <w:ilvl w:val="0"/>
          <w:numId w:val="9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not a chattel</w:t>
      </w:r>
    </w:p>
    <w:p w:rsidR="00A86150" w:rsidRDefault="00F714D4">
      <w:pPr>
        <w:pStyle w:val="ListParagraph"/>
        <w:numPr>
          <w:ilvl w:val="0"/>
          <w:numId w:val="9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owned by an individual</w:t>
      </w:r>
    </w:p>
    <w:p w:rsidR="00A86150" w:rsidRDefault="00F714D4">
      <w:pPr>
        <w:pStyle w:val="ListParagraph"/>
        <w:numPr>
          <w:ilvl w:val="0"/>
          <w:numId w:val="9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movable</w:t>
      </w:r>
    </w:p>
    <w:p w:rsidR="00A86150" w:rsidRDefault="00F714D4">
      <w:pPr>
        <w:pStyle w:val="ListParagraph"/>
        <w:numPr>
          <w:ilvl w:val="0"/>
          <w:numId w:val="9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immovable</w:t>
      </w:r>
    </w:p>
    <w:p w:rsidR="00A86150" w:rsidRDefault="00F714D4">
      <w:pPr>
        <w:pStyle w:val="para"/>
        <w:numPr>
          <w:ilvl w:val="0"/>
          <w:numId w:val="92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Personal property can be acquired by</w:t>
      </w:r>
    </w:p>
    <w:p w:rsidR="00A86150" w:rsidRDefault="00F714D4">
      <w:pPr>
        <w:pStyle w:val="ListParagraph"/>
        <w:numPr>
          <w:ilvl w:val="0"/>
          <w:numId w:val="9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accession</w:t>
      </w:r>
    </w:p>
    <w:p w:rsidR="00A86150" w:rsidRDefault="00F714D4">
      <w:pPr>
        <w:pStyle w:val="ListParagraph"/>
        <w:numPr>
          <w:ilvl w:val="0"/>
          <w:numId w:val="9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finding</w:t>
      </w:r>
    </w:p>
    <w:p w:rsidR="00A86150" w:rsidRDefault="00F714D4">
      <w:pPr>
        <w:pStyle w:val="ListParagraph"/>
        <w:numPr>
          <w:ilvl w:val="0"/>
          <w:numId w:val="9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gift</w:t>
      </w:r>
    </w:p>
    <w:p w:rsidR="00A86150" w:rsidRDefault="00F714D4">
      <w:pPr>
        <w:pStyle w:val="ListParagraph"/>
        <w:numPr>
          <w:ilvl w:val="0"/>
          <w:numId w:val="9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w:t>
      </w:r>
    </w:p>
    <w:p w:rsidR="00A86150" w:rsidRDefault="00F714D4">
      <w:pPr>
        <w:pStyle w:val="para"/>
        <w:numPr>
          <w:ilvl w:val="0"/>
          <w:numId w:val="92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gift causa mortis is</w:t>
      </w:r>
    </w:p>
    <w:p w:rsidR="00A86150" w:rsidRDefault="00F714D4">
      <w:pPr>
        <w:pStyle w:val="ListParagraph"/>
        <w:numPr>
          <w:ilvl w:val="0"/>
          <w:numId w:val="9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irrevocable gift</w:t>
      </w:r>
    </w:p>
    <w:p w:rsidR="00A86150" w:rsidRDefault="00F714D4">
      <w:pPr>
        <w:pStyle w:val="ListParagraph"/>
        <w:numPr>
          <w:ilvl w:val="0"/>
          <w:numId w:val="9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gift made after death</w:t>
      </w:r>
    </w:p>
    <w:p w:rsidR="00A86150" w:rsidRDefault="00F714D4">
      <w:pPr>
        <w:pStyle w:val="ListParagraph"/>
        <w:numPr>
          <w:ilvl w:val="0"/>
          <w:numId w:val="9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gift made in contemplation of death</w:t>
      </w:r>
    </w:p>
    <w:p w:rsidR="00A86150" w:rsidRDefault="00F714D4">
      <w:pPr>
        <w:pStyle w:val="ListParagraph"/>
        <w:numPr>
          <w:ilvl w:val="0"/>
          <w:numId w:val="9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none of the above</w:t>
      </w:r>
    </w:p>
    <w:p w:rsidR="00A86150" w:rsidRDefault="00F714D4">
      <w:pPr>
        <w:pStyle w:val="para"/>
        <w:numPr>
          <w:ilvl w:val="0"/>
          <w:numId w:val="92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make a gift effective,</w:t>
      </w:r>
    </w:p>
    <w:p w:rsidR="00A86150" w:rsidRDefault="00F714D4">
      <w:pPr>
        <w:pStyle w:val="ListParagraph"/>
        <w:numPr>
          <w:ilvl w:val="0"/>
          <w:numId w:val="92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donor must intend to make a gift</w:t>
      </w:r>
    </w:p>
    <w:p w:rsidR="00A86150" w:rsidRDefault="00F714D4">
      <w:pPr>
        <w:pStyle w:val="ListParagraph"/>
        <w:numPr>
          <w:ilvl w:val="0"/>
          <w:numId w:val="92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donor must either make out a deed or deliver the gift to the donee</w:t>
      </w:r>
    </w:p>
    <w:p w:rsidR="00A86150" w:rsidRDefault="00F714D4">
      <w:pPr>
        <w:pStyle w:val="ListParagraph"/>
        <w:numPr>
          <w:ilvl w:val="0"/>
          <w:numId w:val="92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donee must accept the gift</w:t>
      </w:r>
    </w:p>
    <w:p w:rsidR="00A86150" w:rsidRDefault="00F714D4">
      <w:pPr>
        <w:pStyle w:val="ListParagraph"/>
        <w:numPr>
          <w:ilvl w:val="0"/>
          <w:numId w:val="92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of the above are required</w:t>
      </w:r>
    </w:p>
    <w:p w:rsidR="00A86150" w:rsidRDefault="00F714D4">
      <w:pPr>
        <w:pStyle w:val="para"/>
        <w:numPr>
          <w:ilvl w:val="0"/>
          <w:numId w:val="9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Tenant’s fixtures</w:t>
      </w:r>
    </w:p>
    <w:p w:rsidR="00A86150" w:rsidRDefault="00F714D4">
      <w:pPr>
        <w:pStyle w:val="ListParagraph"/>
        <w:numPr>
          <w:ilvl w:val="0"/>
          <w:numId w:val="9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remain with the landlord in all cases</w:t>
      </w:r>
    </w:p>
    <w:p w:rsidR="00A86150" w:rsidRDefault="00F714D4">
      <w:pPr>
        <w:pStyle w:val="ListParagraph"/>
        <w:numPr>
          <w:ilvl w:val="0"/>
          <w:numId w:val="9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remain the property of the tenant in all cases</w:t>
      </w:r>
    </w:p>
    <w:p w:rsidR="00A86150" w:rsidRDefault="00F714D4">
      <w:pPr>
        <w:pStyle w:val="ListParagraph"/>
        <w:numPr>
          <w:ilvl w:val="0"/>
          <w:numId w:val="9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remain the property of the tenant if they are removable without substantial damage to the landlord’s property</w:t>
      </w:r>
    </w:p>
    <w:p w:rsidR="00A86150" w:rsidRDefault="00F714D4">
      <w:pPr>
        <w:pStyle w:val="ListParagraph"/>
        <w:numPr>
          <w:ilvl w:val="0"/>
          <w:numId w:val="9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refer to any fixture installed by a tenant</w:t>
      </w:r>
    </w:p>
    <w:p w:rsidR="00A86150" w:rsidRDefault="00F714D4">
      <w:pPr>
        <w:pStyle w:val="Heading3"/>
        <w:shd w:val="clear" w:color="auto" w:fill="08629A"/>
        <w:spacing w:before="24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A86150" w:rsidRDefault="00F714D4">
      <w:pPr>
        <w:numPr>
          <w:ilvl w:val="0"/>
          <w:numId w:val="9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9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9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F714D4">
      <w:pPr>
        <w:numPr>
          <w:ilvl w:val="0"/>
          <w:numId w:val="9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A86150" w:rsidRDefault="00F714D4">
      <w:pPr>
        <w:numPr>
          <w:ilvl w:val="0"/>
          <w:numId w:val="9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A86150" w:rsidRDefault="00A86150">
      <w:pPr>
        <w:shd w:val="clear" w:color="auto" w:fill="FFFFFF"/>
        <w:spacing w:after="0" w:line="439" w:lineRule="atLeast"/>
        <w:ind w:left="300"/>
        <w:textAlignment w:val="baseline"/>
        <w:rPr>
          <w:rFonts w:ascii="Calibri" w:eastAsia="Times New Roman" w:hAnsi="Calibri" w:cs="Calibri"/>
          <w:color w:val="333333"/>
          <w:sz w:val="20"/>
          <w:szCs w:val="20"/>
        </w:rPr>
      </w:pPr>
    </w:p>
    <w:p w:rsidR="00F714D4" w:rsidRDefault="00F714D4">
      <w:pPr>
        <w:shd w:val="clear" w:color="auto" w:fill="FFFFFF"/>
        <w:spacing w:after="0" w:line="439" w:lineRule="atLeast"/>
        <w:ind w:left="300"/>
        <w:textAlignment w:val="baseline"/>
        <w:rPr>
          <w:rFonts w:ascii="Calibri" w:eastAsia="Times New Roman" w:hAnsi="Calibri" w:cs="Calibri"/>
          <w:color w:val="333333"/>
          <w:sz w:val="20"/>
          <w:szCs w:val="20"/>
        </w:rPr>
      </w:pPr>
    </w:p>
    <w:sectPr w:rsidR="00F714D4">
      <w:footerReference w:type="even" r:id="rId129"/>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7E" w:rsidRDefault="0081777E">
      <w:pPr>
        <w:spacing w:after="0" w:line="240" w:lineRule="auto"/>
      </w:pPr>
      <w:r>
        <w:separator/>
      </w:r>
    </w:p>
  </w:endnote>
  <w:endnote w:type="continuationSeparator" w:id="0">
    <w:p w:rsidR="0081777E" w:rsidRDefault="00817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150" w:rsidRDefault="0081777E">
    <w:pPr>
      <w:pStyle w:val="Footer"/>
    </w:pPr>
    <w:sdt>
      <w:sdtPr>
        <w:id w:val="969400743"/>
        <w:placeholder>
          <w:docPart w:val="6565102533B0AC4F93AF2B5D49FB1DEA"/>
        </w:placeholder>
        <w:temporary/>
        <w:showingPlcHdr/>
      </w:sdtPr>
      <w:sdtEndPr/>
      <w:sdtContent>
        <w:r w:rsidR="00F714D4">
          <w:t>[Type text]</w:t>
        </w:r>
      </w:sdtContent>
    </w:sdt>
    <w:r w:rsidR="00F714D4">
      <w:ptab w:relativeTo="margin" w:alignment="center" w:leader="none"/>
    </w:r>
    <w:r w:rsidR="00F714D4">
      <w:t xml:space="preserve"> </w:t>
    </w:r>
    <w:sdt>
      <w:sdtPr>
        <w:id w:val="969400748"/>
        <w:placeholder>
          <w:docPart w:val="8911D96D293762468D8C201CB30930C7"/>
        </w:placeholder>
        <w:temporary/>
        <w:showingPlcHdr/>
      </w:sdtPr>
      <w:sdtEndPr/>
      <w:sdtContent>
        <w:r w:rsidR="00F714D4">
          <w:t>[Type text]</w:t>
        </w:r>
      </w:sdtContent>
    </w:sdt>
    <w:r w:rsidR="00F714D4">
      <w:ptab w:relativeTo="margin" w:alignment="right" w:leader="none"/>
    </w:r>
    <w:r w:rsidR="00F714D4">
      <w:t xml:space="preserve"> </w:t>
    </w:r>
    <w:sdt>
      <w:sdtPr>
        <w:id w:val="969400753"/>
        <w:placeholder>
          <w:docPart w:val="8C50F384B192964D9DCFCD911EEB055A"/>
        </w:placeholder>
        <w:temporary/>
        <w:showingPlcHdr/>
      </w:sdtPr>
      <w:sdtEndPr/>
      <w:sdtContent>
        <w:r w:rsidR="00F714D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150" w:rsidRDefault="00F714D4">
    <w:pPr>
      <w:pStyle w:val="Footer"/>
    </w:pPr>
    <w:r>
      <w:t xml:space="preserve">Saylor URL: </w:t>
    </w:r>
    <w:hyperlink r:id="rId1" w:history="1">
      <w:r>
        <w:rPr>
          <w:rStyle w:val="Hyperlink"/>
        </w:rPr>
        <w:t>http://www.saylor.org/books</w:t>
      </w:r>
    </w:hyperlink>
    <w:r>
      <w:tab/>
    </w:r>
    <w:r>
      <w:tab/>
      <w:t>Saylor.org</w:t>
    </w:r>
  </w:p>
  <w:p w:rsidR="00A86150" w:rsidRDefault="00F714D4">
    <w:pPr>
      <w:pStyle w:val="Foote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58"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PAGE   \* MERGEFORMAT </w:instrText>
    </w:r>
    <w:r>
      <w:fldChar w:fldCharType="separate"/>
    </w:r>
    <w:r w:rsidR="00564E03">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7E" w:rsidRDefault="0081777E">
      <w:pPr>
        <w:spacing w:after="0" w:line="240" w:lineRule="auto"/>
      </w:pPr>
      <w:r>
        <w:separator/>
      </w:r>
    </w:p>
  </w:footnote>
  <w:footnote w:type="continuationSeparator" w:id="0">
    <w:p w:rsidR="0081777E" w:rsidRDefault="00817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7C4"/>
    <w:multiLevelType w:val="multilevel"/>
    <w:tmpl w:val="EB607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53715"/>
    <w:multiLevelType w:val="multilevel"/>
    <w:tmpl w:val="B5E22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E56EA3"/>
    <w:multiLevelType w:val="multilevel"/>
    <w:tmpl w:val="7FA44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1C3A5C"/>
    <w:multiLevelType w:val="multilevel"/>
    <w:tmpl w:val="55BC9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624C08"/>
    <w:multiLevelType w:val="multilevel"/>
    <w:tmpl w:val="15301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8212EE"/>
    <w:multiLevelType w:val="multilevel"/>
    <w:tmpl w:val="F4982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E84467"/>
    <w:multiLevelType w:val="multilevel"/>
    <w:tmpl w:val="D4ECF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2150C51"/>
    <w:multiLevelType w:val="multilevel"/>
    <w:tmpl w:val="725E0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21764B8"/>
    <w:multiLevelType w:val="multilevel"/>
    <w:tmpl w:val="84FE7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32705F"/>
    <w:multiLevelType w:val="multilevel"/>
    <w:tmpl w:val="8CB0C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3C576A"/>
    <w:multiLevelType w:val="multilevel"/>
    <w:tmpl w:val="A59CF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2786B50"/>
    <w:multiLevelType w:val="multilevel"/>
    <w:tmpl w:val="32F68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8B4455"/>
    <w:multiLevelType w:val="hybridMultilevel"/>
    <w:tmpl w:val="7B62DF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2C74CD7"/>
    <w:multiLevelType w:val="multilevel"/>
    <w:tmpl w:val="1450B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E07810"/>
    <w:multiLevelType w:val="multilevel"/>
    <w:tmpl w:val="B68ED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3367068"/>
    <w:multiLevelType w:val="multilevel"/>
    <w:tmpl w:val="22684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3627A6C"/>
    <w:multiLevelType w:val="multilevel"/>
    <w:tmpl w:val="AC98C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3BD15D5"/>
    <w:multiLevelType w:val="multilevel"/>
    <w:tmpl w:val="8C8C6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40560DD"/>
    <w:multiLevelType w:val="multilevel"/>
    <w:tmpl w:val="9EBAA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086042"/>
    <w:multiLevelType w:val="multilevel"/>
    <w:tmpl w:val="029C5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222DE5"/>
    <w:multiLevelType w:val="hybridMultilevel"/>
    <w:tmpl w:val="A89CF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04316F66"/>
    <w:multiLevelType w:val="multilevel"/>
    <w:tmpl w:val="F724E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4D2727"/>
    <w:multiLevelType w:val="multilevel"/>
    <w:tmpl w:val="54A4AEF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46D7524"/>
    <w:multiLevelType w:val="hybridMultilevel"/>
    <w:tmpl w:val="55B43D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47A767C"/>
    <w:multiLevelType w:val="multilevel"/>
    <w:tmpl w:val="A514A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4804751"/>
    <w:multiLevelType w:val="multilevel"/>
    <w:tmpl w:val="8670F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482109B"/>
    <w:multiLevelType w:val="multilevel"/>
    <w:tmpl w:val="6D360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4BA759F"/>
    <w:multiLevelType w:val="multilevel"/>
    <w:tmpl w:val="3F82C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4BF480C"/>
    <w:multiLevelType w:val="multilevel"/>
    <w:tmpl w:val="52B08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4C22865"/>
    <w:multiLevelType w:val="multilevel"/>
    <w:tmpl w:val="AF084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4DA5EF9"/>
    <w:multiLevelType w:val="multilevel"/>
    <w:tmpl w:val="E7CAC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4E2090C"/>
    <w:multiLevelType w:val="multilevel"/>
    <w:tmpl w:val="6054E5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4FC6F68"/>
    <w:multiLevelType w:val="multilevel"/>
    <w:tmpl w:val="88C43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5180991"/>
    <w:multiLevelType w:val="hybridMultilevel"/>
    <w:tmpl w:val="7E5AB8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053C0EA3"/>
    <w:multiLevelType w:val="multilevel"/>
    <w:tmpl w:val="60505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5570EF0"/>
    <w:multiLevelType w:val="multilevel"/>
    <w:tmpl w:val="78ACD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5DA20A3"/>
    <w:multiLevelType w:val="multilevel"/>
    <w:tmpl w:val="8BFA7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6145209"/>
    <w:multiLevelType w:val="multilevel"/>
    <w:tmpl w:val="DDF0C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627389D"/>
    <w:multiLevelType w:val="multilevel"/>
    <w:tmpl w:val="29DE7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6330B8F"/>
    <w:multiLevelType w:val="hybridMultilevel"/>
    <w:tmpl w:val="212C14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06483B35"/>
    <w:multiLevelType w:val="hybridMultilevel"/>
    <w:tmpl w:val="58E6EF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066908FA"/>
    <w:multiLevelType w:val="multilevel"/>
    <w:tmpl w:val="14008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6854A9E"/>
    <w:multiLevelType w:val="multilevel"/>
    <w:tmpl w:val="861EC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6DD6D07"/>
    <w:multiLevelType w:val="multilevel"/>
    <w:tmpl w:val="C4429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6E5240B"/>
    <w:multiLevelType w:val="multilevel"/>
    <w:tmpl w:val="C5A6F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7073D73"/>
    <w:multiLevelType w:val="hybridMultilevel"/>
    <w:tmpl w:val="497819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072428DC"/>
    <w:multiLevelType w:val="multilevel"/>
    <w:tmpl w:val="954C1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7377D41"/>
    <w:multiLevelType w:val="hybridMultilevel"/>
    <w:tmpl w:val="111482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073F3448"/>
    <w:multiLevelType w:val="multilevel"/>
    <w:tmpl w:val="CFA46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7422959"/>
    <w:multiLevelType w:val="multilevel"/>
    <w:tmpl w:val="09B01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74E77F7"/>
    <w:multiLevelType w:val="multilevel"/>
    <w:tmpl w:val="3DD44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7795CB4"/>
    <w:multiLevelType w:val="hybridMultilevel"/>
    <w:tmpl w:val="7DCEB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nsid w:val="07836A4B"/>
    <w:multiLevelType w:val="multilevel"/>
    <w:tmpl w:val="2C426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7AC7515"/>
    <w:multiLevelType w:val="multilevel"/>
    <w:tmpl w:val="F4446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7AE4FA6"/>
    <w:multiLevelType w:val="hybridMultilevel"/>
    <w:tmpl w:val="BF28E6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07CE0A14"/>
    <w:multiLevelType w:val="hybridMultilevel"/>
    <w:tmpl w:val="A4DC19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07D951D1"/>
    <w:multiLevelType w:val="hybridMultilevel"/>
    <w:tmpl w:val="0F7689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084F64B2"/>
    <w:multiLevelType w:val="multilevel"/>
    <w:tmpl w:val="B29C8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86A0CED"/>
    <w:multiLevelType w:val="hybridMultilevel"/>
    <w:tmpl w:val="2A4AB4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08957521"/>
    <w:multiLevelType w:val="multilevel"/>
    <w:tmpl w:val="674C4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9911FED"/>
    <w:multiLevelType w:val="multilevel"/>
    <w:tmpl w:val="DDA8F84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99E1DED"/>
    <w:multiLevelType w:val="hybridMultilevel"/>
    <w:tmpl w:val="A574E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09A833EB"/>
    <w:multiLevelType w:val="multilevel"/>
    <w:tmpl w:val="FBDCE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9AF2376"/>
    <w:multiLevelType w:val="multilevel"/>
    <w:tmpl w:val="22C09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9B337A4"/>
    <w:multiLevelType w:val="hybridMultilevel"/>
    <w:tmpl w:val="9B7C4C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09B76992"/>
    <w:multiLevelType w:val="multilevel"/>
    <w:tmpl w:val="96B67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9C87587"/>
    <w:multiLevelType w:val="multilevel"/>
    <w:tmpl w:val="227EB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9E36A45"/>
    <w:multiLevelType w:val="multilevel"/>
    <w:tmpl w:val="735031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9F4185C"/>
    <w:multiLevelType w:val="hybridMultilevel"/>
    <w:tmpl w:val="69E60E6E"/>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69">
    <w:nsid w:val="09FE121B"/>
    <w:multiLevelType w:val="multilevel"/>
    <w:tmpl w:val="92A42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A0937E9"/>
    <w:multiLevelType w:val="multilevel"/>
    <w:tmpl w:val="3D9E6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A202991"/>
    <w:multiLevelType w:val="hybridMultilevel"/>
    <w:tmpl w:val="C186B6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0A520DF9"/>
    <w:multiLevelType w:val="multilevel"/>
    <w:tmpl w:val="98161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0A7B4254"/>
    <w:multiLevelType w:val="hybridMultilevel"/>
    <w:tmpl w:val="C3C62D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0A7E372C"/>
    <w:multiLevelType w:val="multilevel"/>
    <w:tmpl w:val="9E4E8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0A93631E"/>
    <w:multiLevelType w:val="multilevel"/>
    <w:tmpl w:val="9B2EB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0A9E7419"/>
    <w:multiLevelType w:val="multilevel"/>
    <w:tmpl w:val="66CAD6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0AA51862"/>
    <w:multiLevelType w:val="multilevel"/>
    <w:tmpl w:val="1C2E8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0B090F3E"/>
    <w:multiLevelType w:val="multilevel"/>
    <w:tmpl w:val="F3FA6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0B562521"/>
    <w:multiLevelType w:val="hybridMultilevel"/>
    <w:tmpl w:val="3E6AF8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0B865014"/>
    <w:multiLevelType w:val="multilevel"/>
    <w:tmpl w:val="B0CC1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0B8D4991"/>
    <w:multiLevelType w:val="multilevel"/>
    <w:tmpl w:val="1C02E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0BD52634"/>
    <w:multiLevelType w:val="multilevel"/>
    <w:tmpl w:val="935E0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0BD52890"/>
    <w:multiLevelType w:val="hybridMultilevel"/>
    <w:tmpl w:val="D096B2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0BEE4CDA"/>
    <w:multiLevelType w:val="multilevel"/>
    <w:tmpl w:val="FFD05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0C3B698C"/>
    <w:multiLevelType w:val="hybridMultilevel"/>
    <w:tmpl w:val="E056C7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0C4F6A79"/>
    <w:multiLevelType w:val="multilevel"/>
    <w:tmpl w:val="FFB80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0C6D5EA7"/>
    <w:multiLevelType w:val="multilevel"/>
    <w:tmpl w:val="8D64A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0C890CE9"/>
    <w:multiLevelType w:val="multilevel"/>
    <w:tmpl w:val="D2B4C488"/>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9">
    <w:nsid w:val="0C9B5617"/>
    <w:multiLevelType w:val="multilevel"/>
    <w:tmpl w:val="09B01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0CBB1526"/>
    <w:multiLevelType w:val="multilevel"/>
    <w:tmpl w:val="F622F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0CD85A31"/>
    <w:multiLevelType w:val="hybridMultilevel"/>
    <w:tmpl w:val="9650E8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0D3C5959"/>
    <w:multiLevelType w:val="hybridMultilevel"/>
    <w:tmpl w:val="080C31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0D546EC9"/>
    <w:multiLevelType w:val="hybridMultilevel"/>
    <w:tmpl w:val="DAB4EA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nsid w:val="0D8A15C0"/>
    <w:multiLevelType w:val="multilevel"/>
    <w:tmpl w:val="22AA4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0DEA7DD4"/>
    <w:multiLevelType w:val="multilevel"/>
    <w:tmpl w:val="F5AC5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0E0037F3"/>
    <w:multiLevelType w:val="hybridMultilevel"/>
    <w:tmpl w:val="4D261D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0E213A83"/>
    <w:multiLevelType w:val="multilevel"/>
    <w:tmpl w:val="F8403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0E56316B"/>
    <w:multiLevelType w:val="multilevel"/>
    <w:tmpl w:val="049E5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0EE237C3"/>
    <w:multiLevelType w:val="multilevel"/>
    <w:tmpl w:val="05E0C48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0EE922CC"/>
    <w:multiLevelType w:val="hybridMultilevel"/>
    <w:tmpl w:val="2E3623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0F4D29D9"/>
    <w:multiLevelType w:val="hybridMultilevel"/>
    <w:tmpl w:val="4028B1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0F5D0E04"/>
    <w:multiLevelType w:val="multilevel"/>
    <w:tmpl w:val="D6C03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0F5E442B"/>
    <w:multiLevelType w:val="hybridMultilevel"/>
    <w:tmpl w:val="AE301B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nsid w:val="0F5E4D93"/>
    <w:multiLevelType w:val="multilevel"/>
    <w:tmpl w:val="8670E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0F782315"/>
    <w:multiLevelType w:val="hybridMultilevel"/>
    <w:tmpl w:val="1BF01D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10077E46"/>
    <w:multiLevelType w:val="multilevel"/>
    <w:tmpl w:val="49DA9F2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02B063E"/>
    <w:multiLevelType w:val="multilevel"/>
    <w:tmpl w:val="39F0F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043045F"/>
    <w:multiLevelType w:val="multilevel"/>
    <w:tmpl w:val="D1DEE5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05662ED"/>
    <w:multiLevelType w:val="multilevel"/>
    <w:tmpl w:val="D464A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07F0195"/>
    <w:multiLevelType w:val="hybridMultilevel"/>
    <w:tmpl w:val="B83A0A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10A82FDA"/>
    <w:multiLevelType w:val="hybridMultilevel"/>
    <w:tmpl w:val="D8945E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10C16EE8"/>
    <w:multiLevelType w:val="multilevel"/>
    <w:tmpl w:val="31A4D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0CC2099"/>
    <w:multiLevelType w:val="multilevel"/>
    <w:tmpl w:val="7B76E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1423C11"/>
    <w:multiLevelType w:val="multilevel"/>
    <w:tmpl w:val="4F10A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11535720"/>
    <w:multiLevelType w:val="multilevel"/>
    <w:tmpl w:val="8384C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17906F5"/>
    <w:multiLevelType w:val="hybridMultilevel"/>
    <w:tmpl w:val="1D4414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nsid w:val="11E831FD"/>
    <w:multiLevelType w:val="hybridMultilevel"/>
    <w:tmpl w:val="DD9674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nsid w:val="11EE7F97"/>
    <w:multiLevelType w:val="multilevel"/>
    <w:tmpl w:val="1B947F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203427E"/>
    <w:multiLevelType w:val="hybridMultilevel"/>
    <w:tmpl w:val="323804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12266F08"/>
    <w:multiLevelType w:val="multilevel"/>
    <w:tmpl w:val="9C3A0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24814C8"/>
    <w:multiLevelType w:val="multilevel"/>
    <w:tmpl w:val="04CA1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2BB3633"/>
    <w:multiLevelType w:val="multilevel"/>
    <w:tmpl w:val="E0F6F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3170E30"/>
    <w:multiLevelType w:val="multilevel"/>
    <w:tmpl w:val="DFE04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132A697B"/>
    <w:multiLevelType w:val="multilevel"/>
    <w:tmpl w:val="BBEA8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1335045A"/>
    <w:multiLevelType w:val="hybridMultilevel"/>
    <w:tmpl w:val="5C049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nsid w:val="13597F2A"/>
    <w:multiLevelType w:val="multilevel"/>
    <w:tmpl w:val="9FBC9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13957401"/>
    <w:multiLevelType w:val="multilevel"/>
    <w:tmpl w:val="37E6C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13AA27BA"/>
    <w:multiLevelType w:val="multilevel"/>
    <w:tmpl w:val="79D45F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3AB2D65"/>
    <w:multiLevelType w:val="multilevel"/>
    <w:tmpl w:val="93B88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3C47D9C"/>
    <w:multiLevelType w:val="multilevel"/>
    <w:tmpl w:val="3E525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3EA2740"/>
    <w:multiLevelType w:val="multilevel"/>
    <w:tmpl w:val="1A6E6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41F2B16"/>
    <w:multiLevelType w:val="multilevel"/>
    <w:tmpl w:val="5CA0D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142176E2"/>
    <w:multiLevelType w:val="multilevel"/>
    <w:tmpl w:val="19308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142F0353"/>
    <w:multiLevelType w:val="hybridMultilevel"/>
    <w:tmpl w:val="477E3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nsid w:val="143C753B"/>
    <w:multiLevelType w:val="multilevel"/>
    <w:tmpl w:val="6226A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14751281"/>
    <w:multiLevelType w:val="hybridMultilevel"/>
    <w:tmpl w:val="31C234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nsid w:val="148C0083"/>
    <w:multiLevelType w:val="multilevel"/>
    <w:tmpl w:val="80DE2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14AC3BE8"/>
    <w:multiLevelType w:val="multilevel"/>
    <w:tmpl w:val="F2F89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4BF0B81"/>
    <w:multiLevelType w:val="multilevel"/>
    <w:tmpl w:val="FB5C9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14C737AA"/>
    <w:multiLevelType w:val="multilevel"/>
    <w:tmpl w:val="5220F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14EC62D1"/>
    <w:multiLevelType w:val="multilevel"/>
    <w:tmpl w:val="7618F7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14F35E8E"/>
    <w:multiLevelType w:val="multilevel"/>
    <w:tmpl w:val="6BD2DB6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15021436"/>
    <w:multiLevelType w:val="hybridMultilevel"/>
    <w:tmpl w:val="112AB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nsid w:val="153F357A"/>
    <w:multiLevelType w:val="multilevel"/>
    <w:tmpl w:val="8FCCF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154F2840"/>
    <w:multiLevelType w:val="hybridMultilevel"/>
    <w:tmpl w:val="B6B030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15CE3120"/>
    <w:multiLevelType w:val="multilevel"/>
    <w:tmpl w:val="8F40F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15DB1709"/>
    <w:multiLevelType w:val="hybridMultilevel"/>
    <w:tmpl w:val="DB5AC1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nsid w:val="15EB13DD"/>
    <w:multiLevelType w:val="multilevel"/>
    <w:tmpl w:val="66AE9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165F0175"/>
    <w:multiLevelType w:val="hybridMultilevel"/>
    <w:tmpl w:val="470C09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16725B78"/>
    <w:multiLevelType w:val="multilevel"/>
    <w:tmpl w:val="C18A6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16BA1407"/>
    <w:multiLevelType w:val="multilevel"/>
    <w:tmpl w:val="F2DC7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16C06AA7"/>
    <w:multiLevelType w:val="hybridMultilevel"/>
    <w:tmpl w:val="C85CF7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nsid w:val="16FE40D1"/>
    <w:multiLevelType w:val="hybridMultilevel"/>
    <w:tmpl w:val="B5A4D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nsid w:val="170B3397"/>
    <w:multiLevelType w:val="multilevel"/>
    <w:tmpl w:val="DC0C4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170E3C29"/>
    <w:multiLevelType w:val="multilevel"/>
    <w:tmpl w:val="6E423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174559F4"/>
    <w:multiLevelType w:val="hybridMultilevel"/>
    <w:tmpl w:val="4BBAB0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nsid w:val="17652493"/>
    <w:multiLevelType w:val="multilevel"/>
    <w:tmpl w:val="9F585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177B7EF1"/>
    <w:multiLevelType w:val="multilevel"/>
    <w:tmpl w:val="750CC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17AC48C3"/>
    <w:multiLevelType w:val="multilevel"/>
    <w:tmpl w:val="5E30F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17C059ED"/>
    <w:multiLevelType w:val="multilevel"/>
    <w:tmpl w:val="33222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17DD384C"/>
    <w:multiLevelType w:val="multilevel"/>
    <w:tmpl w:val="FE326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17F00B0A"/>
    <w:multiLevelType w:val="hybridMultilevel"/>
    <w:tmpl w:val="4CD85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nsid w:val="182F6A7E"/>
    <w:multiLevelType w:val="hybridMultilevel"/>
    <w:tmpl w:val="49DCF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nsid w:val="185472BA"/>
    <w:multiLevelType w:val="multilevel"/>
    <w:tmpl w:val="1AE8B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18802A86"/>
    <w:multiLevelType w:val="multilevel"/>
    <w:tmpl w:val="06704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18D02ABE"/>
    <w:multiLevelType w:val="multilevel"/>
    <w:tmpl w:val="029EB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18E4133F"/>
    <w:multiLevelType w:val="multilevel"/>
    <w:tmpl w:val="07268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18E71E13"/>
    <w:multiLevelType w:val="multilevel"/>
    <w:tmpl w:val="CAB8B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19227627"/>
    <w:multiLevelType w:val="multilevel"/>
    <w:tmpl w:val="1214D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19325524"/>
    <w:multiLevelType w:val="multilevel"/>
    <w:tmpl w:val="1284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19336D29"/>
    <w:multiLevelType w:val="multilevel"/>
    <w:tmpl w:val="1B726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19964380"/>
    <w:multiLevelType w:val="multilevel"/>
    <w:tmpl w:val="B3787E3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199D4F64"/>
    <w:multiLevelType w:val="hybridMultilevel"/>
    <w:tmpl w:val="C8F27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nsid w:val="19B57DD0"/>
    <w:multiLevelType w:val="multilevel"/>
    <w:tmpl w:val="C3F40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19C603A4"/>
    <w:multiLevelType w:val="hybridMultilevel"/>
    <w:tmpl w:val="CB58AC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nsid w:val="19CF5AC3"/>
    <w:multiLevelType w:val="multilevel"/>
    <w:tmpl w:val="86F039F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1A421468"/>
    <w:multiLevelType w:val="multilevel"/>
    <w:tmpl w:val="3F90E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1A487B91"/>
    <w:multiLevelType w:val="multilevel"/>
    <w:tmpl w:val="977AA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1A60105E"/>
    <w:multiLevelType w:val="multilevel"/>
    <w:tmpl w:val="1158C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1AA720BB"/>
    <w:multiLevelType w:val="multilevel"/>
    <w:tmpl w:val="CC3E1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1AC70A74"/>
    <w:multiLevelType w:val="multilevel"/>
    <w:tmpl w:val="562AF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1ACA610A"/>
    <w:multiLevelType w:val="multilevel"/>
    <w:tmpl w:val="F474B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1ADF1E98"/>
    <w:multiLevelType w:val="multilevel"/>
    <w:tmpl w:val="B0EE3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1B386991"/>
    <w:multiLevelType w:val="multilevel"/>
    <w:tmpl w:val="44201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1B414683"/>
    <w:multiLevelType w:val="multilevel"/>
    <w:tmpl w:val="940E7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1B4F6859"/>
    <w:multiLevelType w:val="multilevel"/>
    <w:tmpl w:val="EF2AC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1B680926"/>
    <w:multiLevelType w:val="multilevel"/>
    <w:tmpl w:val="4C884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1B6C35E2"/>
    <w:multiLevelType w:val="hybridMultilevel"/>
    <w:tmpl w:val="DDC432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9">
    <w:nsid w:val="1B75053F"/>
    <w:multiLevelType w:val="hybridMultilevel"/>
    <w:tmpl w:val="F89C13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0">
    <w:nsid w:val="1BA073C0"/>
    <w:multiLevelType w:val="hybridMultilevel"/>
    <w:tmpl w:val="DADE37BA"/>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191">
    <w:nsid w:val="1BD73241"/>
    <w:multiLevelType w:val="multilevel"/>
    <w:tmpl w:val="6A805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1BE13233"/>
    <w:multiLevelType w:val="hybridMultilevel"/>
    <w:tmpl w:val="2AB496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nsid w:val="1C2974C3"/>
    <w:multiLevelType w:val="hybridMultilevel"/>
    <w:tmpl w:val="37DA36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nsid w:val="1C325826"/>
    <w:multiLevelType w:val="multilevel"/>
    <w:tmpl w:val="F896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1C6631DD"/>
    <w:multiLevelType w:val="hybridMultilevel"/>
    <w:tmpl w:val="312CB7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nsid w:val="1D503CB9"/>
    <w:multiLevelType w:val="multilevel"/>
    <w:tmpl w:val="8A3EF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1D7E23A1"/>
    <w:multiLevelType w:val="multilevel"/>
    <w:tmpl w:val="224AE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1D9E6D5C"/>
    <w:multiLevelType w:val="hybridMultilevel"/>
    <w:tmpl w:val="61D8F3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nsid w:val="1DA85DDD"/>
    <w:multiLevelType w:val="hybridMultilevel"/>
    <w:tmpl w:val="838299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1DBB3D84"/>
    <w:multiLevelType w:val="hybridMultilevel"/>
    <w:tmpl w:val="67B891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nsid w:val="1DDF2D30"/>
    <w:multiLevelType w:val="multilevel"/>
    <w:tmpl w:val="AE440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1DFF7391"/>
    <w:multiLevelType w:val="multilevel"/>
    <w:tmpl w:val="C0AE6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1E83329D"/>
    <w:multiLevelType w:val="multilevel"/>
    <w:tmpl w:val="D048D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1EA55EB6"/>
    <w:multiLevelType w:val="multilevel"/>
    <w:tmpl w:val="7BD40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1EB52B4A"/>
    <w:multiLevelType w:val="multilevel"/>
    <w:tmpl w:val="E998F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1F0F4ADB"/>
    <w:multiLevelType w:val="multilevel"/>
    <w:tmpl w:val="FF70F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1F232DA3"/>
    <w:multiLevelType w:val="multilevel"/>
    <w:tmpl w:val="1DCA1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1F425DFE"/>
    <w:multiLevelType w:val="multilevel"/>
    <w:tmpl w:val="62D4B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1F8E3CF6"/>
    <w:multiLevelType w:val="multilevel"/>
    <w:tmpl w:val="B76C5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1FB35731"/>
    <w:multiLevelType w:val="multilevel"/>
    <w:tmpl w:val="64523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1FD56255"/>
    <w:multiLevelType w:val="hybridMultilevel"/>
    <w:tmpl w:val="673037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2">
    <w:nsid w:val="200C149F"/>
    <w:multiLevelType w:val="multilevel"/>
    <w:tmpl w:val="886E7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208966B9"/>
    <w:multiLevelType w:val="multilevel"/>
    <w:tmpl w:val="48B6D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209F2AF1"/>
    <w:multiLevelType w:val="multilevel"/>
    <w:tmpl w:val="41409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20DF3311"/>
    <w:multiLevelType w:val="multilevel"/>
    <w:tmpl w:val="B8807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20EA7BCB"/>
    <w:multiLevelType w:val="multilevel"/>
    <w:tmpl w:val="BFFCD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21463840"/>
    <w:multiLevelType w:val="multilevel"/>
    <w:tmpl w:val="5E184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216026DE"/>
    <w:multiLevelType w:val="hybridMultilevel"/>
    <w:tmpl w:val="7AD605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nsid w:val="21724D02"/>
    <w:multiLevelType w:val="multilevel"/>
    <w:tmpl w:val="0262B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2173717F"/>
    <w:multiLevelType w:val="hybridMultilevel"/>
    <w:tmpl w:val="BABC42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nsid w:val="218D56B4"/>
    <w:multiLevelType w:val="multilevel"/>
    <w:tmpl w:val="124E8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219B60AE"/>
    <w:multiLevelType w:val="multilevel"/>
    <w:tmpl w:val="92B47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21F862B0"/>
    <w:multiLevelType w:val="multilevel"/>
    <w:tmpl w:val="9500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220B3A0F"/>
    <w:multiLevelType w:val="multilevel"/>
    <w:tmpl w:val="32961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2216538C"/>
    <w:multiLevelType w:val="multilevel"/>
    <w:tmpl w:val="DD1068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222C1865"/>
    <w:multiLevelType w:val="multilevel"/>
    <w:tmpl w:val="322C1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2234699E"/>
    <w:multiLevelType w:val="multilevel"/>
    <w:tmpl w:val="292CC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22401ADE"/>
    <w:multiLevelType w:val="hybridMultilevel"/>
    <w:tmpl w:val="B40233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9">
    <w:nsid w:val="22524C3F"/>
    <w:multiLevelType w:val="multilevel"/>
    <w:tmpl w:val="9328D3E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226B0C49"/>
    <w:multiLevelType w:val="hybridMultilevel"/>
    <w:tmpl w:val="1E421A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1">
    <w:nsid w:val="22B8222C"/>
    <w:multiLevelType w:val="multilevel"/>
    <w:tmpl w:val="4672D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22C62F75"/>
    <w:multiLevelType w:val="multilevel"/>
    <w:tmpl w:val="911EA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22F3738D"/>
    <w:multiLevelType w:val="hybridMultilevel"/>
    <w:tmpl w:val="96CC80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4">
    <w:nsid w:val="22FF5577"/>
    <w:multiLevelType w:val="multilevel"/>
    <w:tmpl w:val="EA3C9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23022C1A"/>
    <w:multiLevelType w:val="multilevel"/>
    <w:tmpl w:val="395E3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23023280"/>
    <w:multiLevelType w:val="multilevel"/>
    <w:tmpl w:val="40DEF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230D60A8"/>
    <w:multiLevelType w:val="hybridMultilevel"/>
    <w:tmpl w:val="CA8279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nsid w:val="232879C1"/>
    <w:multiLevelType w:val="hybridMultilevel"/>
    <w:tmpl w:val="586A5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9">
    <w:nsid w:val="2337241B"/>
    <w:multiLevelType w:val="multilevel"/>
    <w:tmpl w:val="D4B6F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237C0F62"/>
    <w:multiLevelType w:val="hybridMultilevel"/>
    <w:tmpl w:val="958238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nsid w:val="23923F0C"/>
    <w:multiLevelType w:val="multilevel"/>
    <w:tmpl w:val="DCFC5F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239D7698"/>
    <w:multiLevelType w:val="multilevel"/>
    <w:tmpl w:val="04E4E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239E1A84"/>
    <w:multiLevelType w:val="hybridMultilevel"/>
    <w:tmpl w:val="FF76194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4">
    <w:nsid w:val="23A22664"/>
    <w:multiLevelType w:val="multilevel"/>
    <w:tmpl w:val="1D022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23F931C6"/>
    <w:multiLevelType w:val="multilevel"/>
    <w:tmpl w:val="5538A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24202699"/>
    <w:multiLevelType w:val="hybridMultilevel"/>
    <w:tmpl w:val="F4A27A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nsid w:val="24212D49"/>
    <w:multiLevelType w:val="multilevel"/>
    <w:tmpl w:val="1CB0F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24267054"/>
    <w:multiLevelType w:val="hybridMultilevel"/>
    <w:tmpl w:val="1E3A11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9">
    <w:nsid w:val="244E7C3B"/>
    <w:multiLevelType w:val="multilevel"/>
    <w:tmpl w:val="49829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247F6407"/>
    <w:multiLevelType w:val="multilevel"/>
    <w:tmpl w:val="61C42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2483605D"/>
    <w:multiLevelType w:val="multilevel"/>
    <w:tmpl w:val="2DB4C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24DB25BF"/>
    <w:multiLevelType w:val="multilevel"/>
    <w:tmpl w:val="B9407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25126E12"/>
    <w:multiLevelType w:val="multilevel"/>
    <w:tmpl w:val="DD024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25DF1652"/>
    <w:multiLevelType w:val="multilevel"/>
    <w:tmpl w:val="F49E0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263D2902"/>
    <w:multiLevelType w:val="multilevel"/>
    <w:tmpl w:val="EFAE8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265C63A3"/>
    <w:multiLevelType w:val="multilevel"/>
    <w:tmpl w:val="6FE29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266657C8"/>
    <w:multiLevelType w:val="multilevel"/>
    <w:tmpl w:val="CC92B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26787C2B"/>
    <w:multiLevelType w:val="multilevel"/>
    <w:tmpl w:val="87600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26971FD5"/>
    <w:multiLevelType w:val="hybridMultilevel"/>
    <w:tmpl w:val="AFF4AB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0">
    <w:nsid w:val="269C7ADC"/>
    <w:multiLevelType w:val="hybridMultilevel"/>
    <w:tmpl w:val="3C04F1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nsid w:val="26DA2A45"/>
    <w:multiLevelType w:val="multilevel"/>
    <w:tmpl w:val="C4742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271B6DB2"/>
    <w:multiLevelType w:val="multilevel"/>
    <w:tmpl w:val="256AD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27214B2F"/>
    <w:multiLevelType w:val="hybridMultilevel"/>
    <w:tmpl w:val="336047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nsid w:val="275B16F2"/>
    <w:multiLevelType w:val="multilevel"/>
    <w:tmpl w:val="E7F65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279362D8"/>
    <w:multiLevelType w:val="multilevel"/>
    <w:tmpl w:val="7D686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27D72A4C"/>
    <w:multiLevelType w:val="multilevel"/>
    <w:tmpl w:val="A9361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27E0775D"/>
    <w:multiLevelType w:val="multilevel"/>
    <w:tmpl w:val="D3A4DAA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2825503E"/>
    <w:multiLevelType w:val="multilevel"/>
    <w:tmpl w:val="92B47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286D0B54"/>
    <w:multiLevelType w:val="multilevel"/>
    <w:tmpl w:val="886C085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28C5563B"/>
    <w:multiLevelType w:val="multilevel"/>
    <w:tmpl w:val="A43AD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28C83998"/>
    <w:multiLevelType w:val="multilevel"/>
    <w:tmpl w:val="5BC60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28EC1E1F"/>
    <w:multiLevelType w:val="multilevel"/>
    <w:tmpl w:val="6DDAE4F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28F85A17"/>
    <w:multiLevelType w:val="multilevel"/>
    <w:tmpl w:val="F8741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2925321A"/>
    <w:multiLevelType w:val="hybridMultilevel"/>
    <w:tmpl w:val="A2867B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5">
    <w:nsid w:val="297F3695"/>
    <w:multiLevelType w:val="multilevel"/>
    <w:tmpl w:val="3F76F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29AE30DE"/>
    <w:multiLevelType w:val="multilevel"/>
    <w:tmpl w:val="E208E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29EE3FE9"/>
    <w:multiLevelType w:val="multilevel"/>
    <w:tmpl w:val="36B64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2A1E0650"/>
    <w:multiLevelType w:val="multilevel"/>
    <w:tmpl w:val="AAEA5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2A4975EC"/>
    <w:multiLevelType w:val="multilevel"/>
    <w:tmpl w:val="473E7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2A507C8D"/>
    <w:multiLevelType w:val="multilevel"/>
    <w:tmpl w:val="15B07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2A536B8F"/>
    <w:multiLevelType w:val="multilevel"/>
    <w:tmpl w:val="19BA7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2B2576CE"/>
    <w:multiLevelType w:val="multilevel"/>
    <w:tmpl w:val="FA122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2B5941BE"/>
    <w:multiLevelType w:val="multilevel"/>
    <w:tmpl w:val="A1884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2B5C2610"/>
    <w:multiLevelType w:val="multilevel"/>
    <w:tmpl w:val="B87AB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2BA50931"/>
    <w:multiLevelType w:val="multilevel"/>
    <w:tmpl w:val="9AF64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2BED6B96"/>
    <w:multiLevelType w:val="multilevel"/>
    <w:tmpl w:val="4C4EB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2C171D56"/>
    <w:multiLevelType w:val="hybridMultilevel"/>
    <w:tmpl w:val="2B2A3F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8">
    <w:nsid w:val="2C3949B7"/>
    <w:multiLevelType w:val="multilevel"/>
    <w:tmpl w:val="75083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2C556882"/>
    <w:multiLevelType w:val="hybridMultilevel"/>
    <w:tmpl w:val="FF82DF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nsid w:val="2CF90600"/>
    <w:multiLevelType w:val="multilevel"/>
    <w:tmpl w:val="C9F40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2D177A04"/>
    <w:multiLevelType w:val="multilevel"/>
    <w:tmpl w:val="64F6B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2D5555DB"/>
    <w:multiLevelType w:val="multilevel"/>
    <w:tmpl w:val="194C0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2D5B37C8"/>
    <w:multiLevelType w:val="hybridMultilevel"/>
    <w:tmpl w:val="589CE9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4">
    <w:nsid w:val="2D696221"/>
    <w:multiLevelType w:val="multilevel"/>
    <w:tmpl w:val="C28AC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2E3E40B6"/>
    <w:multiLevelType w:val="multilevel"/>
    <w:tmpl w:val="7480D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2E5247A8"/>
    <w:multiLevelType w:val="multilevel"/>
    <w:tmpl w:val="9CBA0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2EBB08A1"/>
    <w:multiLevelType w:val="multilevel"/>
    <w:tmpl w:val="77880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2F1918BE"/>
    <w:multiLevelType w:val="multilevel"/>
    <w:tmpl w:val="B832D96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2F2F5CC4"/>
    <w:multiLevelType w:val="multilevel"/>
    <w:tmpl w:val="05B42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2F575388"/>
    <w:multiLevelType w:val="multilevel"/>
    <w:tmpl w:val="C3AAF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2F9A766E"/>
    <w:multiLevelType w:val="multilevel"/>
    <w:tmpl w:val="3D6EF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2FA04C9E"/>
    <w:multiLevelType w:val="multilevel"/>
    <w:tmpl w:val="11347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2FB74284"/>
    <w:multiLevelType w:val="multilevel"/>
    <w:tmpl w:val="F0BC0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2FF4629E"/>
    <w:multiLevelType w:val="multilevel"/>
    <w:tmpl w:val="18942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30851C45"/>
    <w:multiLevelType w:val="multilevel"/>
    <w:tmpl w:val="7474D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31095C3B"/>
    <w:multiLevelType w:val="hybridMultilevel"/>
    <w:tmpl w:val="20220B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nsid w:val="315C587C"/>
    <w:multiLevelType w:val="multilevel"/>
    <w:tmpl w:val="978EA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31681270"/>
    <w:multiLevelType w:val="hybridMultilevel"/>
    <w:tmpl w:val="25FA6F5C"/>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09">
    <w:nsid w:val="3173425E"/>
    <w:multiLevelType w:val="multilevel"/>
    <w:tmpl w:val="BC545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31857EFF"/>
    <w:multiLevelType w:val="hybridMultilevel"/>
    <w:tmpl w:val="ADB8FD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1">
    <w:nsid w:val="318B6116"/>
    <w:multiLevelType w:val="multilevel"/>
    <w:tmpl w:val="CA70D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31E14062"/>
    <w:multiLevelType w:val="multilevel"/>
    <w:tmpl w:val="819EF7D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3240788D"/>
    <w:multiLevelType w:val="multilevel"/>
    <w:tmpl w:val="2BC8E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32570008"/>
    <w:multiLevelType w:val="hybridMultilevel"/>
    <w:tmpl w:val="DA9C3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5">
    <w:nsid w:val="325E7C20"/>
    <w:multiLevelType w:val="hybridMultilevel"/>
    <w:tmpl w:val="7478A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6">
    <w:nsid w:val="326F01C3"/>
    <w:multiLevelType w:val="multilevel"/>
    <w:tmpl w:val="77C41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328B31DC"/>
    <w:multiLevelType w:val="multilevel"/>
    <w:tmpl w:val="1CC29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32B3419A"/>
    <w:multiLevelType w:val="hybridMultilevel"/>
    <w:tmpl w:val="EDA8D0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9">
    <w:nsid w:val="32BC1B46"/>
    <w:multiLevelType w:val="multilevel"/>
    <w:tmpl w:val="FEA6E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335F7397"/>
    <w:multiLevelType w:val="multilevel"/>
    <w:tmpl w:val="91481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337678C8"/>
    <w:multiLevelType w:val="multilevel"/>
    <w:tmpl w:val="B764F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338371F4"/>
    <w:multiLevelType w:val="multilevel"/>
    <w:tmpl w:val="E934F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33981A0D"/>
    <w:multiLevelType w:val="multilevel"/>
    <w:tmpl w:val="40BA6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33AC00AE"/>
    <w:multiLevelType w:val="hybridMultilevel"/>
    <w:tmpl w:val="81B451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5">
    <w:nsid w:val="33BC7B40"/>
    <w:multiLevelType w:val="multilevel"/>
    <w:tmpl w:val="37FE8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33CA10D5"/>
    <w:multiLevelType w:val="multilevel"/>
    <w:tmpl w:val="EBAA8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33D36B4E"/>
    <w:multiLevelType w:val="hybridMultilevel"/>
    <w:tmpl w:val="D31C90FC"/>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28">
    <w:nsid w:val="34044920"/>
    <w:multiLevelType w:val="hybridMultilevel"/>
    <w:tmpl w:val="2D6E2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9">
    <w:nsid w:val="340974AA"/>
    <w:multiLevelType w:val="multilevel"/>
    <w:tmpl w:val="E0C8F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340F6E94"/>
    <w:multiLevelType w:val="multilevel"/>
    <w:tmpl w:val="CCCC4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343A604A"/>
    <w:multiLevelType w:val="multilevel"/>
    <w:tmpl w:val="974260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34555F40"/>
    <w:multiLevelType w:val="multilevel"/>
    <w:tmpl w:val="C0844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34753BC2"/>
    <w:multiLevelType w:val="multilevel"/>
    <w:tmpl w:val="96640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34A25DD9"/>
    <w:multiLevelType w:val="multilevel"/>
    <w:tmpl w:val="2DE4E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34BB2304"/>
    <w:multiLevelType w:val="multilevel"/>
    <w:tmpl w:val="0C985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34C94E19"/>
    <w:multiLevelType w:val="hybridMultilevel"/>
    <w:tmpl w:val="D79AC7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7">
    <w:nsid w:val="34FD108F"/>
    <w:multiLevelType w:val="hybridMultilevel"/>
    <w:tmpl w:val="FD3EC9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8">
    <w:nsid w:val="350947D8"/>
    <w:multiLevelType w:val="multilevel"/>
    <w:tmpl w:val="E77AE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35D5616C"/>
    <w:multiLevelType w:val="multilevel"/>
    <w:tmpl w:val="70563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35D84FBB"/>
    <w:multiLevelType w:val="hybridMultilevel"/>
    <w:tmpl w:val="F56E19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nsid w:val="36906488"/>
    <w:multiLevelType w:val="multilevel"/>
    <w:tmpl w:val="E7041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36BC165C"/>
    <w:multiLevelType w:val="multilevel"/>
    <w:tmpl w:val="718EB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36D53623"/>
    <w:multiLevelType w:val="hybridMultilevel"/>
    <w:tmpl w:val="50089F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4">
    <w:nsid w:val="370F07DF"/>
    <w:multiLevelType w:val="multilevel"/>
    <w:tmpl w:val="41001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37BC72B9"/>
    <w:multiLevelType w:val="hybridMultilevel"/>
    <w:tmpl w:val="ECCA9F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6">
    <w:nsid w:val="37BD7B02"/>
    <w:multiLevelType w:val="multilevel"/>
    <w:tmpl w:val="86DAC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3804202C"/>
    <w:multiLevelType w:val="multilevel"/>
    <w:tmpl w:val="D00E2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382A5EC4"/>
    <w:multiLevelType w:val="hybridMultilevel"/>
    <w:tmpl w:val="93DE3D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9">
    <w:nsid w:val="38305362"/>
    <w:multiLevelType w:val="hybridMultilevel"/>
    <w:tmpl w:val="52AC15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0">
    <w:nsid w:val="3887643D"/>
    <w:multiLevelType w:val="multilevel"/>
    <w:tmpl w:val="9C8A0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38ED24B8"/>
    <w:multiLevelType w:val="multilevel"/>
    <w:tmpl w:val="B5B43F6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38F96E10"/>
    <w:multiLevelType w:val="hybridMultilevel"/>
    <w:tmpl w:val="4CF27434"/>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53">
    <w:nsid w:val="399D037E"/>
    <w:multiLevelType w:val="multilevel"/>
    <w:tmpl w:val="39282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399D71FB"/>
    <w:multiLevelType w:val="hybridMultilevel"/>
    <w:tmpl w:val="DF3ECE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5">
    <w:nsid w:val="39D01987"/>
    <w:multiLevelType w:val="multilevel"/>
    <w:tmpl w:val="2924C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39FA6B8F"/>
    <w:multiLevelType w:val="multilevel"/>
    <w:tmpl w:val="37CCE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nsid w:val="3A004893"/>
    <w:multiLevelType w:val="multilevel"/>
    <w:tmpl w:val="076C2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3A116345"/>
    <w:multiLevelType w:val="hybridMultilevel"/>
    <w:tmpl w:val="21E848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9">
    <w:nsid w:val="3A2148A5"/>
    <w:multiLevelType w:val="multilevel"/>
    <w:tmpl w:val="2B0E2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3A2B3577"/>
    <w:multiLevelType w:val="multilevel"/>
    <w:tmpl w:val="BC20B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3A312AA2"/>
    <w:multiLevelType w:val="multilevel"/>
    <w:tmpl w:val="A7A4F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3A5B63A4"/>
    <w:multiLevelType w:val="multilevel"/>
    <w:tmpl w:val="D1CAA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3A8F4CF1"/>
    <w:multiLevelType w:val="multilevel"/>
    <w:tmpl w:val="09E84FA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3B073FFA"/>
    <w:multiLevelType w:val="multilevel"/>
    <w:tmpl w:val="48068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3B0B4F85"/>
    <w:multiLevelType w:val="multilevel"/>
    <w:tmpl w:val="A934B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3B1719F2"/>
    <w:multiLevelType w:val="multilevel"/>
    <w:tmpl w:val="14740CEE"/>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67">
    <w:nsid w:val="3B340C6F"/>
    <w:multiLevelType w:val="multilevel"/>
    <w:tmpl w:val="86108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3B60174D"/>
    <w:multiLevelType w:val="multilevel"/>
    <w:tmpl w:val="4CAA9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3B6718C8"/>
    <w:multiLevelType w:val="multilevel"/>
    <w:tmpl w:val="B0400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3B697DD8"/>
    <w:multiLevelType w:val="multilevel"/>
    <w:tmpl w:val="55866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3B863409"/>
    <w:multiLevelType w:val="multilevel"/>
    <w:tmpl w:val="0AB2B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3B892E39"/>
    <w:multiLevelType w:val="hybridMultilevel"/>
    <w:tmpl w:val="EC2E34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3">
    <w:nsid w:val="3B9055FF"/>
    <w:multiLevelType w:val="hybridMultilevel"/>
    <w:tmpl w:val="D26E4B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4">
    <w:nsid w:val="3BB129A0"/>
    <w:multiLevelType w:val="multilevel"/>
    <w:tmpl w:val="13366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3BB55B0A"/>
    <w:multiLevelType w:val="multilevel"/>
    <w:tmpl w:val="A2342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3C181CEB"/>
    <w:multiLevelType w:val="multilevel"/>
    <w:tmpl w:val="39A60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3C3A4029"/>
    <w:multiLevelType w:val="hybridMultilevel"/>
    <w:tmpl w:val="401E0F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8">
    <w:nsid w:val="3C566EB5"/>
    <w:multiLevelType w:val="multilevel"/>
    <w:tmpl w:val="C3D07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3CAA0012"/>
    <w:multiLevelType w:val="multilevel"/>
    <w:tmpl w:val="AC606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3CBC2CBD"/>
    <w:multiLevelType w:val="multilevel"/>
    <w:tmpl w:val="184EA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3CC74C6D"/>
    <w:multiLevelType w:val="multilevel"/>
    <w:tmpl w:val="584E14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3D052961"/>
    <w:multiLevelType w:val="multilevel"/>
    <w:tmpl w:val="3514AE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3D483EF0"/>
    <w:multiLevelType w:val="multilevel"/>
    <w:tmpl w:val="78225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3DAF2084"/>
    <w:multiLevelType w:val="multilevel"/>
    <w:tmpl w:val="59D23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3DB34A03"/>
    <w:multiLevelType w:val="hybridMultilevel"/>
    <w:tmpl w:val="1B0AC1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6">
    <w:nsid w:val="3DC4461C"/>
    <w:multiLevelType w:val="multilevel"/>
    <w:tmpl w:val="C804DE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3DF46A7C"/>
    <w:multiLevelType w:val="multilevel"/>
    <w:tmpl w:val="BF5E1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3DFA568C"/>
    <w:multiLevelType w:val="multilevel"/>
    <w:tmpl w:val="1B96A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3E1D110D"/>
    <w:multiLevelType w:val="multilevel"/>
    <w:tmpl w:val="B406C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3E5C1268"/>
    <w:multiLevelType w:val="multilevel"/>
    <w:tmpl w:val="AEC64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3E657399"/>
    <w:multiLevelType w:val="multilevel"/>
    <w:tmpl w:val="FEB65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2">
    <w:nsid w:val="3ECD6F3E"/>
    <w:multiLevelType w:val="multilevel"/>
    <w:tmpl w:val="F716B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3ECE31E0"/>
    <w:multiLevelType w:val="multilevel"/>
    <w:tmpl w:val="46408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3ED76D09"/>
    <w:multiLevelType w:val="multilevel"/>
    <w:tmpl w:val="63D07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3F0614CB"/>
    <w:multiLevelType w:val="multilevel"/>
    <w:tmpl w:val="DEBA3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nsid w:val="3F416BE2"/>
    <w:multiLevelType w:val="multilevel"/>
    <w:tmpl w:val="234EA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3F4C11C5"/>
    <w:multiLevelType w:val="multilevel"/>
    <w:tmpl w:val="A83A2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3F59010C"/>
    <w:multiLevelType w:val="multilevel"/>
    <w:tmpl w:val="A300DFA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3F7A5CD4"/>
    <w:multiLevelType w:val="multilevel"/>
    <w:tmpl w:val="E4DC9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3FCA7BA1"/>
    <w:multiLevelType w:val="multilevel"/>
    <w:tmpl w:val="2D38207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1">
    <w:nsid w:val="3FD22477"/>
    <w:multiLevelType w:val="multilevel"/>
    <w:tmpl w:val="4A1A4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3FDA45F8"/>
    <w:multiLevelType w:val="multilevel"/>
    <w:tmpl w:val="1D34C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3FEF6A77"/>
    <w:multiLevelType w:val="multilevel"/>
    <w:tmpl w:val="4D54F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4024585D"/>
    <w:multiLevelType w:val="multilevel"/>
    <w:tmpl w:val="46AE0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403A2D88"/>
    <w:multiLevelType w:val="multilevel"/>
    <w:tmpl w:val="FE48C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405C46C9"/>
    <w:multiLevelType w:val="hybridMultilevel"/>
    <w:tmpl w:val="929CF522"/>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407">
    <w:nsid w:val="407C20F3"/>
    <w:multiLevelType w:val="multilevel"/>
    <w:tmpl w:val="61C08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8">
    <w:nsid w:val="409421F8"/>
    <w:multiLevelType w:val="multilevel"/>
    <w:tmpl w:val="B9DCD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40B930F6"/>
    <w:multiLevelType w:val="hybridMultilevel"/>
    <w:tmpl w:val="F41C8F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0">
    <w:nsid w:val="40C50D99"/>
    <w:multiLevelType w:val="multilevel"/>
    <w:tmpl w:val="D1543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1">
    <w:nsid w:val="41005337"/>
    <w:multiLevelType w:val="hybridMultilevel"/>
    <w:tmpl w:val="71F41E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2">
    <w:nsid w:val="415A5439"/>
    <w:multiLevelType w:val="multilevel"/>
    <w:tmpl w:val="8B56F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nsid w:val="41605014"/>
    <w:multiLevelType w:val="hybridMultilevel"/>
    <w:tmpl w:val="C480E3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4">
    <w:nsid w:val="416C1695"/>
    <w:multiLevelType w:val="hybridMultilevel"/>
    <w:tmpl w:val="1A42CB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5">
    <w:nsid w:val="422C4D21"/>
    <w:multiLevelType w:val="multilevel"/>
    <w:tmpl w:val="4D342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nsid w:val="423350D8"/>
    <w:multiLevelType w:val="multilevel"/>
    <w:tmpl w:val="7018C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nsid w:val="427F4B23"/>
    <w:multiLevelType w:val="multilevel"/>
    <w:tmpl w:val="7088A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427F5113"/>
    <w:multiLevelType w:val="multilevel"/>
    <w:tmpl w:val="20409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9">
    <w:nsid w:val="42C42BFC"/>
    <w:multiLevelType w:val="multilevel"/>
    <w:tmpl w:val="40E2A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42CB1965"/>
    <w:multiLevelType w:val="multilevel"/>
    <w:tmpl w:val="CAD4A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nsid w:val="42CB2324"/>
    <w:multiLevelType w:val="multilevel"/>
    <w:tmpl w:val="B4247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43124005"/>
    <w:multiLevelType w:val="multilevel"/>
    <w:tmpl w:val="76F66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43194D75"/>
    <w:multiLevelType w:val="multilevel"/>
    <w:tmpl w:val="AE9C1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4">
    <w:nsid w:val="432D6421"/>
    <w:multiLevelType w:val="multilevel"/>
    <w:tmpl w:val="3A1CC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434B69B1"/>
    <w:multiLevelType w:val="multilevel"/>
    <w:tmpl w:val="DA045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6">
    <w:nsid w:val="43566979"/>
    <w:multiLevelType w:val="multilevel"/>
    <w:tmpl w:val="059209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43BB10ED"/>
    <w:multiLevelType w:val="hybridMultilevel"/>
    <w:tmpl w:val="30126F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8">
    <w:nsid w:val="44106F84"/>
    <w:multiLevelType w:val="multilevel"/>
    <w:tmpl w:val="E9AE38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nsid w:val="44220992"/>
    <w:multiLevelType w:val="hybridMultilevel"/>
    <w:tmpl w:val="955C6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0">
    <w:nsid w:val="442A3A72"/>
    <w:multiLevelType w:val="multilevel"/>
    <w:tmpl w:val="BC22F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nsid w:val="44B16B7F"/>
    <w:multiLevelType w:val="multilevel"/>
    <w:tmpl w:val="7DD26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44CC17A0"/>
    <w:multiLevelType w:val="hybridMultilevel"/>
    <w:tmpl w:val="3B0210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3">
    <w:nsid w:val="44D61374"/>
    <w:multiLevelType w:val="multilevel"/>
    <w:tmpl w:val="1A908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44E432A6"/>
    <w:multiLevelType w:val="multilevel"/>
    <w:tmpl w:val="7A7C8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5">
    <w:nsid w:val="450172F1"/>
    <w:multiLevelType w:val="hybridMultilevel"/>
    <w:tmpl w:val="9F2CD2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6">
    <w:nsid w:val="45051D5C"/>
    <w:multiLevelType w:val="multilevel"/>
    <w:tmpl w:val="319C849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45297503"/>
    <w:multiLevelType w:val="hybridMultilevel"/>
    <w:tmpl w:val="9E5002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8">
    <w:nsid w:val="454F1F82"/>
    <w:multiLevelType w:val="multilevel"/>
    <w:tmpl w:val="EC309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456A3BFA"/>
    <w:multiLevelType w:val="hybridMultilevel"/>
    <w:tmpl w:val="422843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0">
    <w:nsid w:val="456B62B6"/>
    <w:multiLevelType w:val="multilevel"/>
    <w:tmpl w:val="71E00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45AB6CF2"/>
    <w:multiLevelType w:val="hybridMultilevel"/>
    <w:tmpl w:val="9E744DB4"/>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442">
    <w:nsid w:val="45DA7EFB"/>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nsid w:val="4618578E"/>
    <w:multiLevelType w:val="hybridMultilevel"/>
    <w:tmpl w:val="40E605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4">
    <w:nsid w:val="462C3F04"/>
    <w:multiLevelType w:val="multilevel"/>
    <w:tmpl w:val="79C29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465F6925"/>
    <w:multiLevelType w:val="multilevel"/>
    <w:tmpl w:val="06148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nsid w:val="467C5206"/>
    <w:multiLevelType w:val="multilevel"/>
    <w:tmpl w:val="CDB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4681141B"/>
    <w:multiLevelType w:val="multilevel"/>
    <w:tmpl w:val="FA565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46A61EA2"/>
    <w:multiLevelType w:val="multilevel"/>
    <w:tmpl w:val="D4EE4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9">
    <w:nsid w:val="4705471D"/>
    <w:multiLevelType w:val="multilevel"/>
    <w:tmpl w:val="E35E1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474F58C7"/>
    <w:multiLevelType w:val="multilevel"/>
    <w:tmpl w:val="1D325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nsid w:val="47D1573E"/>
    <w:multiLevelType w:val="multilevel"/>
    <w:tmpl w:val="4B600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2">
    <w:nsid w:val="47F25DC4"/>
    <w:multiLevelType w:val="multilevel"/>
    <w:tmpl w:val="D310B3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47F70DFD"/>
    <w:multiLevelType w:val="multilevel"/>
    <w:tmpl w:val="C33C7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48022FD3"/>
    <w:multiLevelType w:val="multilevel"/>
    <w:tmpl w:val="DE26DAA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486D4A18"/>
    <w:multiLevelType w:val="hybridMultilevel"/>
    <w:tmpl w:val="6810B87E"/>
    <w:lvl w:ilvl="0" w:tplc="04090019">
      <w:start w:val="1"/>
      <w:numFmt w:val="lowerLetter"/>
      <w:lvlText w:val="%1."/>
      <w:lvlJc w:val="left"/>
      <w:pPr>
        <w:ind w:left="1320" w:hanging="360"/>
      </w:p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456">
    <w:nsid w:val="48762C64"/>
    <w:multiLevelType w:val="multilevel"/>
    <w:tmpl w:val="5CC21C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489377C8"/>
    <w:multiLevelType w:val="multilevel"/>
    <w:tmpl w:val="8A3EF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nsid w:val="48941ED6"/>
    <w:multiLevelType w:val="multilevel"/>
    <w:tmpl w:val="7D1E5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48B50EC8"/>
    <w:multiLevelType w:val="hybridMultilevel"/>
    <w:tmpl w:val="6D18D0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0">
    <w:nsid w:val="48C56D1A"/>
    <w:multiLevelType w:val="multilevel"/>
    <w:tmpl w:val="B1A0E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nsid w:val="49256071"/>
    <w:multiLevelType w:val="multilevel"/>
    <w:tmpl w:val="4C62D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493712EA"/>
    <w:multiLevelType w:val="hybridMultilevel"/>
    <w:tmpl w:val="9746E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3">
    <w:nsid w:val="49A75EAF"/>
    <w:multiLevelType w:val="multilevel"/>
    <w:tmpl w:val="45E6F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49D5314E"/>
    <w:multiLevelType w:val="multilevel"/>
    <w:tmpl w:val="8B7C9C5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49F177BC"/>
    <w:multiLevelType w:val="multilevel"/>
    <w:tmpl w:val="850A3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49F74E72"/>
    <w:multiLevelType w:val="hybridMultilevel"/>
    <w:tmpl w:val="57F24C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7">
    <w:nsid w:val="4A061533"/>
    <w:multiLevelType w:val="multilevel"/>
    <w:tmpl w:val="D1623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4A5F569A"/>
    <w:multiLevelType w:val="multilevel"/>
    <w:tmpl w:val="4DB44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9">
    <w:nsid w:val="4AB073BD"/>
    <w:multiLevelType w:val="multilevel"/>
    <w:tmpl w:val="E2B0F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nsid w:val="4AB70DFB"/>
    <w:multiLevelType w:val="hybridMultilevel"/>
    <w:tmpl w:val="F5A8BD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1">
    <w:nsid w:val="4ADD4C06"/>
    <w:multiLevelType w:val="multilevel"/>
    <w:tmpl w:val="7ED63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4B2C1020"/>
    <w:multiLevelType w:val="hybridMultilevel"/>
    <w:tmpl w:val="94B2D7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3">
    <w:nsid w:val="4B3D1A5F"/>
    <w:multiLevelType w:val="multilevel"/>
    <w:tmpl w:val="22AA4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4B733616"/>
    <w:multiLevelType w:val="hybridMultilevel"/>
    <w:tmpl w:val="631459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5">
    <w:nsid w:val="4B791B95"/>
    <w:multiLevelType w:val="multilevel"/>
    <w:tmpl w:val="B9522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4BED07CF"/>
    <w:multiLevelType w:val="multilevel"/>
    <w:tmpl w:val="6950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4BF258D9"/>
    <w:multiLevelType w:val="multilevel"/>
    <w:tmpl w:val="9CAC12C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4C7B61B6"/>
    <w:multiLevelType w:val="multilevel"/>
    <w:tmpl w:val="AA642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4C824D62"/>
    <w:multiLevelType w:val="multilevel"/>
    <w:tmpl w:val="F40C2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4CBC1CB0"/>
    <w:multiLevelType w:val="multilevel"/>
    <w:tmpl w:val="96048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nsid w:val="4CD5573D"/>
    <w:multiLevelType w:val="multilevel"/>
    <w:tmpl w:val="337EB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4CE10A24"/>
    <w:multiLevelType w:val="multilevel"/>
    <w:tmpl w:val="56CE7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4CE76F0B"/>
    <w:multiLevelType w:val="multilevel"/>
    <w:tmpl w:val="730E6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4">
    <w:nsid w:val="4D075C71"/>
    <w:multiLevelType w:val="multilevel"/>
    <w:tmpl w:val="6E2C0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4D1E3D47"/>
    <w:multiLevelType w:val="hybridMultilevel"/>
    <w:tmpl w:val="1884F6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6">
    <w:nsid w:val="4D3C4A20"/>
    <w:multiLevelType w:val="multilevel"/>
    <w:tmpl w:val="7CE4CAF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87">
    <w:nsid w:val="4DB25EBE"/>
    <w:multiLevelType w:val="multilevel"/>
    <w:tmpl w:val="CEAE8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8">
    <w:nsid w:val="4DF27D59"/>
    <w:multiLevelType w:val="multilevel"/>
    <w:tmpl w:val="3738DAB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9">
    <w:nsid w:val="4DFE4477"/>
    <w:multiLevelType w:val="multilevel"/>
    <w:tmpl w:val="8CD8D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4E0F5BB9"/>
    <w:multiLevelType w:val="multilevel"/>
    <w:tmpl w:val="3CCA6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4E747B0A"/>
    <w:multiLevelType w:val="hybridMultilevel"/>
    <w:tmpl w:val="0CC2AE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2">
    <w:nsid w:val="4EA55E83"/>
    <w:multiLevelType w:val="multilevel"/>
    <w:tmpl w:val="4426E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nsid w:val="4EAF4FEF"/>
    <w:multiLevelType w:val="multilevel"/>
    <w:tmpl w:val="70F03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nsid w:val="4ED339C1"/>
    <w:multiLevelType w:val="multilevel"/>
    <w:tmpl w:val="CE7CFDF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4EE1595D"/>
    <w:multiLevelType w:val="multilevel"/>
    <w:tmpl w:val="26D2A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nsid w:val="4EE608E4"/>
    <w:multiLevelType w:val="multilevel"/>
    <w:tmpl w:val="ABBCE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7">
    <w:nsid w:val="4F105860"/>
    <w:multiLevelType w:val="multilevel"/>
    <w:tmpl w:val="6136C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nsid w:val="4F3A2F33"/>
    <w:multiLevelType w:val="multilevel"/>
    <w:tmpl w:val="F8BE3E9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9">
    <w:nsid w:val="4F3B4E39"/>
    <w:multiLevelType w:val="hybridMultilevel"/>
    <w:tmpl w:val="6CD6DF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0">
    <w:nsid w:val="4FA523FD"/>
    <w:multiLevelType w:val="multilevel"/>
    <w:tmpl w:val="9DE87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1">
    <w:nsid w:val="4FB33F99"/>
    <w:multiLevelType w:val="multilevel"/>
    <w:tmpl w:val="29365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2">
    <w:nsid w:val="503B32F8"/>
    <w:multiLevelType w:val="multilevel"/>
    <w:tmpl w:val="140C9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506F083B"/>
    <w:multiLevelType w:val="multilevel"/>
    <w:tmpl w:val="FFAE418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4">
    <w:nsid w:val="508A02C4"/>
    <w:multiLevelType w:val="multilevel"/>
    <w:tmpl w:val="8EDAE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50981259"/>
    <w:multiLevelType w:val="hybridMultilevel"/>
    <w:tmpl w:val="32B004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6">
    <w:nsid w:val="511A2A37"/>
    <w:multiLevelType w:val="hybridMultilevel"/>
    <w:tmpl w:val="97004F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7">
    <w:nsid w:val="511F5832"/>
    <w:multiLevelType w:val="multilevel"/>
    <w:tmpl w:val="763C4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8">
    <w:nsid w:val="517653FF"/>
    <w:multiLevelType w:val="multilevel"/>
    <w:tmpl w:val="5D90A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518D51E8"/>
    <w:multiLevelType w:val="multilevel"/>
    <w:tmpl w:val="0D5263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0">
    <w:nsid w:val="51B66973"/>
    <w:multiLevelType w:val="multilevel"/>
    <w:tmpl w:val="71FE8D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51C95CC4"/>
    <w:multiLevelType w:val="hybridMultilevel"/>
    <w:tmpl w:val="4A9A81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2">
    <w:nsid w:val="51CA783A"/>
    <w:multiLevelType w:val="hybridMultilevel"/>
    <w:tmpl w:val="4D6CB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3">
    <w:nsid w:val="51D941CA"/>
    <w:multiLevelType w:val="multilevel"/>
    <w:tmpl w:val="3EFCC8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4">
    <w:nsid w:val="51F7288D"/>
    <w:multiLevelType w:val="hybridMultilevel"/>
    <w:tmpl w:val="BB5672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5">
    <w:nsid w:val="52085339"/>
    <w:multiLevelType w:val="multilevel"/>
    <w:tmpl w:val="EECCC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nsid w:val="522E03A3"/>
    <w:multiLevelType w:val="multilevel"/>
    <w:tmpl w:val="4D367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7">
    <w:nsid w:val="52555B9B"/>
    <w:multiLevelType w:val="multilevel"/>
    <w:tmpl w:val="461ACA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8">
    <w:nsid w:val="5279418A"/>
    <w:multiLevelType w:val="multilevel"/>
    <w:tmpl w:val="FDA0A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52BF2436"/>
    <w:multiLevelType w:val="multilevel"/>
    <w:tmpl w:val="C3089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0">
    <w:nsid w:val="52C52321"/>
    <w:multiLevelType w:val="multilevel"/>
    <w:tmpl w:val="A0CE87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nsid w:val="52D91AFC"/>
    <w:multiLevelType w:val="multilevel"/>
    <w:tmpl w:val="F6C0D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2">
    <w:nsid w:val="533270CC"/>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nsid w:val="533F6402"/>
    <w:multiLevelType w:val="hybridMultilevel"/>
    <w:tmpl w:val="E294D4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4">
    <w:nsid w:val="5345529D"/>
    <w:multiLevelType w:val="multilevel"/>
    <w:tmpl w:val="10060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535E0E63"/>
    <w:multiLevelType w:val="multilevel"/>
    <w:tmpl w:val="2E8E8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6">
    <w:nsid w:val="53720EB6"/>
    <w:multiLevelType w:val="multilevel"/>
    <w:tmpl w:val="16DE9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7">
    <w:nsid w:val="539F2F28"/>
    <w:multiLevelType w:val="hybridMultilevel"/>
    <w:tmpl w:val="8F2875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8">
    <w:nsid w:val="540F7AA7"/>
    <w:multiLevelType w:val="multilevel"/>
    <w:tmpl w:val="5A584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9">
    <w:nsid w:val="545C20EF"/>
    <w:multiLevelType w:val="multilevel"/>
    <w:tmpl w:val="6AE2E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0">
    <w:nsid w:val="545E5684"/>
    <w:multiLevelType w:val="multilevel"/>
    <w:tmpl w:val="8932C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1">
    <w:nsid w:val="547A1734"/>
    <w:multiLevelType w:val="multilevel"/>
    <w:tmpl w:val="AB28C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2">
    <w:nsid w:val="5526668A"/>
    <w:multiLevelType w:val="multilevel"/>
    <w:tmpl w:val="718EB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nsid w:val="557E1CB1"/>
    <w:multiLevelType w:val="multilevel"/>
    <w:tmpl w:val="C9BCB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4">
    <w:nsid w:val="55AD2072"/>
    <w:multiLevelType w:val="multilevel"/>
    <w:tmpl w:val="D00C1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5">
    <w:nsid w:val="55D75E94"/>
    <w:multiLevelType w:val="multilevel"/>
    <w:tmpl w:val="5C70B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6">
    <w:nsid w:val="560669C0"/>
    <w:multiLevelType w:val="multilevel"/>
    <w:tmpl w:val="84BA3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7">
    <w:nsid w:val="56106BEC"/>
    <w:multiLevelType w:val="multilevel"/>
    <w:tmpl w:val="1DB04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8">
    <w:nsid w:val="5640159C"/>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nsid w:val="564A19BF"/>
    <w:multiLevelType w:val="multilevel"/>
    <w:tmpl w:val="B7FCD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0">
    <w:nsid w:val="56617C85"/>
    <w:multiLevelType w:val="multilevel"/>
    <w:tmpl w:val="862E0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1">
    <w:nsid w:val="569B406D"/>
    <w:multiLevelType w:val="multilevel"/>
    <w:tmpl w:val="958EFEE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2">
    <w:nsid w:val="569D0166"/>
    <w:multiLevelType w:val="multilevel"/>
    <w:tmpl w:val="AAB6A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3">
    <w:nsid w:val="572B60BD"/>
    <w:multiLevelType w:val="multilevel"/>
    <w:tmpl w:val="F7AC0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4">
    <w:nsid w:val="57354353"/>
    <w:multiLevelType w:val="hybridMultilevel"/>
    <w:tmpl w:val="040ED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5">
    <w:nsid w:val="574374B7"/>
    <w:multiLevelType w:val="hybridMultilevel"/>
    <w:tmpl w:val="B2ECB7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6">
    <w:nsid w:val="576C1E83"/>
    <w:multiLevelType w:val="multilevel"/>
    <w:tmpl w:val="64D60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7">
    <w:nsid w:val="57B74156"/>
    <w:multiLevelType w:val="multilevel"/>
    <w:tmpl w:val="9D36B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8">
    <w:nsid w:val="57C67F37"/>
    <w:multiLevelType w:val="hybridMultilevel"/>
    <w:tmpl w:val="553EBB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9">
    <w:nsid w:val="57E93EB4"/>
    <w:multiLevelType w:val="hybridMultilevel"/>
    <w:tmpl w:val="955208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0">
    <w:nsid w:val="57EC5181"/>
    <w:multiLevelType w:val="hybridMultilevel"/>
    <w:tmpl w:val="1368F5C0"/>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551">
    <w:nsid w:val="580C79DB"/>
    <w:multiLevelType w:val="multilevel"/>
    <w:tmpl w:val="48D6C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2">
    <w:nsid w:val="587F4599"/>
    <w:multiLevelType w:val="multilevel"/>
    <w:tmpl w:val="9D50A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3">
    <w:nsid w:val="58C001F5"/>
    <w:multiLevelType w:val="multilevel"/>
    <w:tmpl w:val="9DDEC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4">
    <w:nsid w:val="58C07823"/>
    <w:multiLevelType w:val="multilevel"/>
    <w:tmpl w:val="32EE1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5">
    <w:nsid w:val="58C70E72"/>
    <w:multiLevelType w:val="hybridMultilevel"/>
    <w:tmpl w:val="B7A22F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6">
    <w:nsid w:val="58EB03CF"/>
    <w:multiLevelType w:val="hybridMultilevel"/>
    <w:tmpl w:val="B0A082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7">
    <w:nsid w:val="58F5725E"/>
    <w:multiLevelType w:val="hybridMultilevel"/>
    <w:tmpl w:val="9F948E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8">
    <w:nsid w:val="591010C0"/>
    <w:multiLevelType w:val="multilevel"/>
    <w:tmpl w:val="B4E06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9">
    <w:nsid w:val="5923672E"/>
    <w:multiLevelType w:val="multilevel"/>
    <w:tmpl w:val="5008A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0">
    <w:nsid w:val="5924005C"/>
    <w:multiLevelType w:val="multilevel"/>
    <w:tmpl w:val="E4146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1">
    <w:nsid w:val="59527483"/>
    <w:multiLevelType w:val="multilevel"/>
    <w:tmpl w:val="50B80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2">
    <w:nsid w:val="598339D9"/>
    <w:multiLevelType w:val="multilevel"/>
    <w:tmpl w:val="D89C6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3">
    <w:nsid w:val="59A85D8E"/>
    <w:multiLevelType w:val="hybridMultilevel"/>
    <w:tmpl w:val="98D6E6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4">
    <w:nsid w:val="59B96951"/>
    <w:multiLevelType w:val="multilevel"/>
    <w:tmpl w:val="1778C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5">
    <w:nsid w:val="59D624A8"/>
    <w:multiLevelType w:val="multilevel"/>
    <w:tmpl w:val="F2F64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6">
    <w:nsid w:val="59DE6F4D"/>
    <w:multiLevelType w:val="multilevel"/>
    <w:tmpl w:val="6E309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7">
    <w:nsid w:val="59EE58D6"/>
    <w:multiLevelType w:val="multilevel"/>
    <w:tmpl w:val="7EEA6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8">
    <w:nsid w:val="5AD570CB"/>
    <w:multiLevelType w:val="multilevel"/>
    <w:tmpl w:val="F838FDD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9">
    <w:nsid w:val="5ADD14E9"/>
    <w:multiLevelType w:val="hybridMultilevel"/>
    <w:tmpl w:val="B66AB7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0">
    <w:nsid w:val="5AEB31ED"/>
    <w:multiLevelType w:val="multilevel"/>
    <w:tmpl w:val="2F681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1">
    <w:nsid w:val="5B016D5D"/>
    <w:multiLevelType w:val="multilevel"/>
    <w:tmpl w:val="BE567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2">
    <w:nsid w:val="5B2143B5"/>
    <w:multiLevelType w:val="hybridMultilevel"/>
    <w:tmpl w:val="96ACD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3">
    <w:nsid w:val="5B5D5106"/>
    <w:multiLevelType w:val="multilevel"/>
    <w:tmpl w:val="38BAC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4">
    <w:nsid w:val="5B8D66D5"/>
    <w:multiLevelType w:val="multilevel"/>
    <w:tmpl w:val="66D0D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5">
    <w:nsid w:val="5C5B49C9"/>
    <w:multiLevelType w:val="hybridMultilevel"/>
    <w:tmpl w:val="B3E83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6">
    <w:nsid w:val="5C771A5F"/>
    <w:multiLevelType w:val="multilevel"/>
    <w:tmpl w:val="CEE6E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7">
    <w:nsid w:val="5C8B0680"/>
    <w:multiLevelType w:val="hybridMultilevel"/>
    <w:tmpl w:val="1E04DC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8">
    <w:nsid w:val="5CAC6EB3"/>
    <w:multiLevelType w:val="hybridMultilevel"/>
    <w:tmpl w:val="310017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9">
    <w:nsid w:val="5CCE1C8A"/>
    <w:multiLevelType w:val="multilevel"/>
    <w:tmpl w:val="0C706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0">
    <w:nsid w:val="5CD17989"/>
    <w:multiLevelType w:val="multilevel"/>
    <w:tmpl w:val="8780C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1">
    <w:nsid w:val="5CE213D1"/>
    <w:multiLevelType w:val="multilevel"/>
    <w:tmpl w:val="C3121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2">
    <w:nsid w:val="5CEA57CE"/>
    <w:multiLevelType w:val="multilevel"/>
    <w:tmpl w:val="7CE4C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nsid w:val="5D000191"/>
    <w:multiLevelType w:val="hybridMultilevel"/>
    <w:tmpl w:val="94AE71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4">
    <w:nsid w:val="5D166B1C"/>
    <w:multiLevelType w:val="multilevel"/>
    <w:tmpl w:val="DC24F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5">
    <w:nsid w:val="5D18254E"/>
    <w:multiLevelType w:val="multilevel"/>
    <w:tmpl w:val="C2EA1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6">
    <w:nsid w:val="5D2F2BA4"/>
    <w:multiLevelType w:val="multilevel"/>
    <w:tmpl w:val="DF347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7">
    <w:nsid w:val="5D6943F4"/>
    <w:multiLevelType w:val="multilevel"/>
    <w:tmpl w:val="2FE4A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8">
    <w:nsid w:val="5DCE7CC4"/>
    <w:multiLevelType w:val="multilevel"/>
    <w:tmpl w:val="674E7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9">
    <w:nsid w:val="5DF24800"/>
    <w:multiLevelType w:val="hybridMultilevel"/>
    <w:tmpl w:val="BEA448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0">
    <w:nsid w:val="5E9719AD"/>
    <w:multiLevelType w:val="hybridMultilevel"/>
    <w:tmpl w:val="6694CD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1">
    <w:nsid w:val="5E9C51E6"/>
    <w:multiLevelType w:val="multilevel"/>
    <w:tmpl w:val="7CDCA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2">
    <w:nsid w:val="5EA526EF"/>
    <w:multiLevelType w:val="hybridMultilevel"/>
    <w:tmpl w:val="AE240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3">
    <w:nsid w:val="5F087034"/>
    <w:multiLevelType w:val="multilevel"/>
    <w:tmpl w:val="7A8E0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4">
    <w:nsid w:val="5F127A4A"/>
    <w:multiLevelType w:val="hybridMultilevel"/>
    <w:tmpl w:val="589828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5">
    <w:nsid w:val="5F1A35EB"/>
    <w:multiLevelType w:val="multilevel"/>
    <w:tmpl w:val="6D724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6">
    <w:nsid w:val="5F4524E1"/>
    <w:multiLevelType w:val="multilevel"/>
    <w:tmpl w:val="02C8F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7">
    <w:nsid w:val="5F9E7F75"/>
    <w:multiLevelType w:val="multilevel"/>
    <w:tmpl w:val="19A2B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8">
    <w:nsid w:val="5FC37F23"/>
    <w:multiLevelType w:val="multilevel"/>
    <w:tmpl w:val="84A66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9">
    <w:nsid w:val="5FE112F2"/>
    <w:multiLevelType w:val="multilevel"/>
    <w:tmpl w:val="DFFEA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0">
    <w:nsid w:val="600A2F29"/>
    <w:multiLevelType w:val="multilevel"/>
    <w:tmpl w:val="C344B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1">
    <w:nsid w:val="607D6875"/>
    <w:multiLevelType w:val="multilevel"/>
    <w:tmpl w:val="718EB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nsid w:val="60B12929"/>
    <w:multiLevelType w:val="multilevel"/>
    <w:tmpl w:val="89E6B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3">
    <w:nsid w:val="60B713DA"/>
    <w:multiLevelType w:val="hybridMultilevel"/>
    <w:tmpl w:val="A904A4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4">
    <w:nsid w:val="60CA7AC1"/>
    <w:multiLevelType w:val="multilevel"/>
    <w:tmpl w:val="FE301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5">
    <w:nsid w:val="60CD6BBD"/>
    <w:multiLevelType w:val="multilevel"/>
    <w:tmpl w:val="0D525BF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6">
    <w:nsid w:val="61B22919"/>
    <w:multiLevelType w:val="multilevel"/>
    <w:tmpl w:val="DB2E2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7">
    <w:nsid w:val="61D20503"/>
    <w:multiLevelType w:val="multilevel"/>
    <w:tmpl w:val="FB08F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8">
    <w:nsid w:val="61F37BF4"/>
    <w:multiLevelType w:val="hybridMultilevel"/>
    <w:tmpl w:val="0C52E7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9">
    <w:nsid w:val="62366B24"/>
    <w:multiLevelType w:val="multilevel"/>
    <w:tmpl w:val="2E64035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0">
    <w:nsid w:val="62477DF4"/>
    <w:multiLevelType w:val="hybridMultilevel"/>
    <w:tmpl w:val="C0A653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1">
    <w:nsid w:val="627B64BA"/>
    <w:multiLevelType w:val="multilevel"/>
    <w:tmpl w:val="06624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2">
    <w:nsid w:val="62981BAA"/>
    <w:multiLevelType w:val="multilevel"/>
    <w:tmpl w:val="1624A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3">
    <w:nsid w:val="62983271"/>
    <w:multiLevelType w:val="multilevel"/>
    <w:tmpl w:val="86A61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4">
    <w:nsid w:val="63376F75"/>
    <w:multiLevelType w:val="hybridMultilevel"/>
    <w:tmpl w:val="4A40FC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5">
    <w:nsid w:val="6359146B"/>
    <w:multiLevelType w:val="hybridMultilevel"/>
    <w:tmpl w:val="0174F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6">
    <w:nsid w:val="638416BB"/>
    <w:multiLevelType w:val="multilevel"/>
    <w:tmpl w:val="91E69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7">
    <w:nsid w:val="63847F3F"/>
    <w:multiLevelType w:val="multilevel"/>
    <w:tmpl w:val="EF96F27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8">
    <w:nsid w:val="63F90842"/>
    <w:multiLevelType w:val="multilevel"/>
    <w:tmpl w:val="FE64E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9">
    <w:nsid w:val="641B2881"/>
    <w:multiLevelType w:val="multilevel"/>
    <w:tmpl w:val="47FAC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0">
    <w:nsid w:val="648937DD"/>
    <w:multiLevelType w:val="hybridMultilevel"/>
    <w:tmpl w:val="B5DA11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1">
    <w:nsid w:val="649337D9"/>
    <w:multiLevelType w:val="multilevel"/>
    <w:tmpl w:val="764E1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2">
    <w:nsid w:val="64991186"/>
    <w:multiLevelType w:val="multilevel"/>
    <w:tmpl w:val="DA8EF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3">
    <w:nsid w:val="64AB5091"/>
    <w:multiLevelType w:val="multilevel"/>
    <w:tmpl w:val="FDFAF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4">
    <w:nsid w:val="64E610BE"/>
    <w:multiLevelType w:val="multilevel"/>
    <w:tmpl w:val="0E1ED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5">
    <w:nsid w:val="64F13050"/>
    <w:multiLevelType w:val="multilevel"/>
    <w:tmpl w:val="4A4CD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6">
    <w:nsid w:val="65006D2B"/>
    <w:multiLevelType w:val="multilevel"/>
    <w:tmpl w:val="BB02E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7">
    <w:nsid w:val="653500B8"/>
    <w:multiLevelType w:val="multilevel"/>
    <w:tmpl w:val="62DAC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8">
    <w:nsid w:val="659423E0"/>
    <w:multiLevelType w:val="multilevel"/>
    <w:tmpl w:val="065AF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9">
    <w:nsid w:val="65CD275D"/>
    <w:multiLevelType w:val="multilevel"/>
    <w:tmpl w:val="C9AC5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0">
    <w:nsid w:val="660C1E9C"/>
    <w:multiLevelType w:val="multilevel"/>
    <w:tmpl w:val="F0AEE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1">
    <w:nsid w:val="662605DB"/>
    <w:multiLevelType w:val="hybridMultilevel"/>
    <w:tmpl w:val="C596AF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2">
    <w:nsid w:val="66DC42D6"/>
    <w:multiLevelType w:val="multilevel"/>
    <w:tmpl w:val="99D89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3">
    <w:nsid w:val="66FE7200"/>
    <w:multiLevelType w:val="multilevel"/>
    <w:tmpl w:val="5920A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4">
    <w:nsid w:val="67671F02"/>
    <w:multiLevelType w:val="multilevel"/>
    <w:tmpl w:val="94F4F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5">
    <w:nsid w:val="679B7F7F"/>
    <w:multiLevelType w:val="multilevel"/>
    <w:tmpl w:val="0F92B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6">
    <w:nsid w:val="67FC6A89"/>
    <w:multiLevelType w:val="multilevel"/>
    <w:tmpl w:val="A3C41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7">
    <w:nsid w:val="68211734"/>
    <w:multiLevelType w:val="multilevel"/>
    <w:tmpl w:val="B7803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8">
    <w:nsid w:val="68235AD5"/>
    <w:multiLevelType w:val="multilevel"/>
    <w:tmpl w:val="F3B6217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9">
    <w:nsid w:val="682361D9"/>
    <w:multiLevelType w:val="multilevel"/>
    <w:tmpl w:val="104A3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0">
    <w:nsid w:val="682E747C"/>
    <w:multiLevelType w:val="hybridMultilevel"/>
    <w:tmpl w:val="AF7002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1">
    <w:nsid w:val="683049DF"/>
    <w:multiLevelType w:val="multilevel"/>
    <w:tmpl w:val="74380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2">
    <w:nsid w:val="68FF4CE3"/>
    <w:multiLevelType w:val="multilevel"/>
    <w:tmpl w:val="DC08B29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3">
    <w:nsid w:val="6919416C"/>
    <w:multiLevelType w:val="multilevel"/>
    <w:tmpl w:val="2D1AB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4">
    <w:nsid w:val="692D201F"/>
    <w:multiLevelType w:val="multilevel"/>
    <w:tmpl w:val="1A440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5">
    <w:nsid w:val="694B3C96"/>
    <w:multiLevelType w:val="hybridMultilevel"/>
    <w:tmpl w:val="FADA3C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6">
    <w:nsid w:val="696F1C0E"/>
    <w:multiLevelType w:val="multilevel"/>
    <w:tmpl w:val="0B4006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7">
    <w:nsid w:val="697504DC"/>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8">
    <w:nsid w:val="69AC2A5C"/>
    <w:multiLevelType w:val="multilevel"/>
    <w:tmpl w:val="A7C6D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9">
    <w:nsid w:val="69D6002B"/>
    <w:multiLevelType w:val="multilevel"/>
    <w:tmpl w:val="35766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0">
    <w:nsid w:val="69FF2408"/>
    <w:multiLevelType w:val="hybridMultilevel"/>
    <w:tmpl w:val="EA9283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1">
    <w:nsid w:val="6A2279ED"/>
    <w:multiLevelType w:val="multilevel"/>
    <w:tmpl w:val="9CB6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2">
    <w:nsid w:val="6A3C4B5B"/>
    <w:multiLevelType w:val="multilevel"/>
    <w:tmpl w:val="348C4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3">
    <w:nsid w:val="6A685A83"/>
    <w:multiLevelType w:val="multilevel"/>
    <w:tmpl w:val="39167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4">
    <w:nsid w:val="6A785932"/>
    <w:multiLevelType w:val="multilevel"/>
    <w:tmpl w:val="45D68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5">
    <w:nsid w:val="6AD66046"/>
    <w:multiLevelType w:val="multilevel"/>
    <w:tmpl w:val="2EDAA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6">
    <w:nsid w:val="6AE768BB"/>
    <w:multiLevelType w:val="multilevel"/>
    <w:tmpl w:val="1D801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7">
    <w:nsid w:val="6AFD2EB8"/>
    <w:multiLevelType w:val="hybridMultilevel"/>
    <w:tmpl w:val="E52411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8">
    <w:nsid w:val="6B043ABC"/>
    <w:multiLevelType w:val="multilevel"/>
    <w:tmpl w:val="1E06179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9">
    <w:nsid w:val="6B3F2B86"/>
    <w:multiLevelType w:val="multilevel"/>
    <w:tmpl w:val="C3F408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0">
    <w:nsid w:val="6B5148CE"/>
    <w:multiLevelType w:val="multilevel"/>
    <w:tmpl w:val="A30A5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1">
    <w:nsid w:val="6B9A3843"/>
    <w:multiLevelType w:val="multilevel"/>
    <w:tmpl w:val="59B29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2">
    <w:nsid w:val="6C8E4BFB"/>
    <w:multiLevelType w:val="multilevel"/>
    <w:tmpl w:val="630E8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3">
    <w:nsid w:val="6CC91B98"/>
    <w:multiLevelType w:val="hybridMultilevel"/>
    <w:tmpl w:val="A9A0D6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4">
    <w:nsid w:val="6D257C44"/>
    <w:multiLevelType w:val="multilevel"/>
    <w:tmpl w:val="350A4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5">
    <w:nsid w:val="6D6340C1"/>
    <w:multiLevelType w:val="multilevel"/>
    <w:tmpl w:val="CD3E5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6">
    <w:nsid w:val="6D7E5356"/>
    <w:multiLevelType w:val="multilevel"/>
    <w:tmpl w:val="8A3EF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7">
    <w:nsid w:val="6D8C55E4"/>
    <w:multiLevelType w:val="multilevel"/>
    <w:tmpl w:val="C2CA5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8">
    <w:nsid w:val="6DAB081D"/>
    <w:multiLevelType w:val="multilevel"/>
    <w:tmpl w:val="F8CC62C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9">
    <w:nsid w:val="6DB61E41"/>
    <w:multiLevelType w:val="multilevel"/>
    <w:tmpl w:val="9AEE41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0">
    <w:nsid w:val="6DCC68EC"/>
    <w:multiLevelType w:val="multilevel"/>
    <w:tmpl w:val="E7CAC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1">
    <w:nsid w:val="6E284121"/>
    <w:multiLevelType w:val="multilevel"/>
    <w:tmpl w:val="BA9A5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2">
    <w:nsid w:val="6E35284F"/>
    <w:multiLevelType w:val="multilevel"/>
    <w:tmpl w:val="1966D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3">
    <w:nsid w:val="6E655A44"/>
    <w:multiLevelType w:val="multilevel"/>
    <w:tmpl w:val="4A6A4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4">
    <w:nsid w:val="6E9B08A4"/>
    <w:multiLevelType w:val="multilevel"/>
    <w:tmpl w:val="49386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5">
    <w:nsid w:val="6EC83070"/>
    <w:multiLevelType w:val="hybridMultilevel"/>
    <w:tmpl w:val="FF24BC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6">
    <w:nsid w:val="6F1C65BE"/>
    <w:multiLevelType w:val="multilevel"/>
    <w:tmpl w:val="E5D00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7">
    <w:nsid w:val="6F322FE5"/>
    <w:multiLevelType w:val="multilevel"/>
    <w:tmpl w:val="E7CAC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8">
    <w:nsid w:val="6F7820D2"/>
    <w:multiLevelType w:val="hybridMultilevel"/>
    <w:tmpl w:val="7A6E46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9">
    <w:nsid w:val="6F927AE1"/>
    <w:multiLevelType w:val="multilevel"/>
    <w:tmpl w:val="BEBE2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0">
    <w:nsid w:val="6F956BC8"/>
    <w:multiLevelType w:val="multilevel"/>
    <w:tmpl w:val="72BAD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1">
    <w:nsid w:val="6FC7702B"/>
    <w:multiLevelType w:val="multilevel"/>
    <w:tmpl w:val="F350D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2">
    <w:nsid w:val="6FEE4166"/>
    <w:multiLevelType w:val="multilevel"/>
    <w:tmpl w:val="660C3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3">
    <w:nsid w:val="700D7167"/>
    <w:multiLevelType w:val="multilevel"/>
    <w:tmpl w:val="B55AD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4">
    <w:nsid w:val="702937A8"/>
    <w:multiLevelType w:val="hybridMultilevel"/>
    <w:tmpl w:val="CC742D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5">
    <w:nsid w:val="702D36F5"/>
    <w:multiLevelType w:val="multilevel"/>
    <w:tmpl w:val="070A8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6">
    <w:nsid w:val="703030E4"/>
    <w:multiLevelType w:val="multilevel"/>
    <w:tmpl w:val="B8D8C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7">
    <w:nsid w:val="703873DB"/>
    <w:multiLevelType w:val="multilevel"/>
    <w:tmpl w:val="E4ECD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8">
    <w:nsid w:val="708B62E9"/>
    <w:multiLevelType w:val="multilevel"/>
    <w:tmpl w:val="B5806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9">
    <w:nsid w:val="70A94F9C"/>
    <w:multiLevelType w:val="multilevel"/>
    <w:tmpl w:val="9200A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0">
    <w:nsid w:val="70B9451F"/>
    <w:multiLevelType w:val="multilevel"/>
    <w:tmpl w:val="DA98B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1">
    <w:nsid w:val="70C80478"/>
    <w:multiLevelType w:val="hybridMultilevel"/>
    <w:tmpl w:val="58D8D4D0"/>
    <w:lvl w:ilvl="0" w:tplc="04090019">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692">
    <w:nsid w:val="70EA0A2A"/>
    <w:multiLevelType w:val="hybridMultilevel"/>
    <w:tmpl w:val="3C3E6F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3">
    <w:nsid w:val="70FD5C4B"/>
    <w:multiLevelType w:val="multilevel"/>
    <w:tmpl w:val="C930C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4">
    <w:nsid w:val="71213F71"/>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5">
    <w:nsid w:val="712F663E"/>
    <w:multiLevelType w:val="multilevel"/>
    <w:tmpl w:val="30C45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6">
    <w:nsid w:val="7189589E"/>
    <w:multiLevelType w:val="multilevel"/>
    <w:tmpl w:val="F842B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7">
    <w:nsid w:val="720206EF"/>
    <w:multiLevelType w:val="hybridMultilevel"/>
    <w:tmpl w:val="3CEEFE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8">
    <w:nsid w:val="720A4AC9"/>
    <w:multiLevelType w:val="multilevel"/>
    <w:tmpl w:val="83ACF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9">
    <w:nsid w:val="724C1DE7"/>
    <w:multiLevelType w:val="multilevel"/>
    <w:tmpl w:val="BA9C8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0">
    <w:nsid w:val="726A10BD"/>
    <w:multiLevelType w:val="multilevel"/>
    <w:tmpl w:val="8F6C8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1">
    <w:nsid w:val="72A15AB9"/>
    <w:multiLevelType w:val="multilevel"/>
    <w:tmpl w:val="59B25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2">
    <w:nsid w:val="72B267BB"/>
    <w:multiLevelType w:val="multilevel"/>
    <w:tmpl w:val="8DD6E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3">
    <w:nsid w:val="72D0753E"/>
    <w:multiLevelType w:val="multilevel"/>
    <w:tmpl w:val="417E1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4">
    <w:nsid w:val="73085C1E"/>
    <w:multiLevelType w:val="multilevel"/>
    <w:tmpl w:val="7BAA9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5">
    <w:nsid w:val="73315D5E"/>
    <w:multiLevelType w:val="multilevel"/>
    <w:tmpl w:val="770204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6">
    <w:nsid w:val="737071A9"/>
    <w:multiLevelType w:val="multilevel"/>
    <w:tmpl w:val="6B806F4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7">
    <w:nsid w:val="73B773CE"/>
    <w:multiLevelType w:val="multilevel"/>
    <w:tmpl w:val="F93C2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8">
    <w:nsid w:val="73E97C15"/>
    <w:multiLevelType w:val="multilevel"/>
    <w:tmpl w:val="1CEE1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9">
    <w:nsid w:val="73EB59A1"/>
    <w:multiLevelType w:val="multilevel"/>
    <w:tmpl w:val="718EB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nsid w:val="73F13F0A"/>
    <w:multiLevelType w:val="hybridMultilevel"/>
    <w:tmpl w:val="301E39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1">
    <w:nsid w:val="74047FCA"/>
    <w:multiLevelType w:val="multilevel"/>
    <w:tmpl w:val="6F5A4C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2">
    <w:nsid w:val="743A34C7"/>
    <w:multiLevelType w:val="multilevel"/>
    <w:tmpl w:val="FB0C8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3">
    <w:nsid w:val="749D7BE6"/>
    <w:multiLevelType w:val="multilevel"/>
    <w:tmpl w:val="067AB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4">
    <w:nsid w:val="74A4179B"/>
    <w:multiLevelType w:val="multilevel"/>
    <w:tmpl w:val="8FB0B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5">
    <w:nsid w:val="74BD39A0"/>
    <w:multiLevelType w:val="multilevel"/>
    <w:tmpl w:val="FB28C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6">
    <w:nsid w:val="74E13CE9"/>
    <w:multiLevelType w:val="multilevel"/>
    <w:tmpl w:val="FB0CA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7">
    <w:nsid w:val="752D0444"/>
    <w:multiLevelType w:val="hybridMultilevel"/>
    <w:tmpl w:val="C494F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8">
    <w:nsid w:val="75AD3ECE"/>
    <w:multiLevelType w:val="hybridMultilevel"/>
    <w:tmpl w:val="6F76A0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9">
    <w:nsid w:val="75F764EC"/>
    <w:multiLevelType w:val="multilevel"/>
    <w:tmpl w:val="F920E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0">
    <w:nsid w:val="76377BEA"/>
    <w:multiLevelType w:val="multilevel"/>
    <w:tmpl w:val="1E2E3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1">
    <w:nsid w:val="76BE3438"/>
    <w:multiLevelType w:val="multilevel"/>
    <w:tmpl w:val="278EB4C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2">
    <w:nsid w:val="76D1080A"/>
    <w:multiLevelType w:val="multilevel"/>
    <w:tmpl w:val="33606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3">
    <w:nsid w:val="76E32FE3"/>
    <w:multiLevelType w:val="multilevel"/>
    <w:tmpl w:val="C694B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4">
    <w:nsid w:val="77402612"/>
    <w:multiLevelType w:val="multilevel"/>
    <w:tmpl w:val="64A48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5">
    <w:nsid w:val="775D0C18"/>
    <w:multiLevelType w:val="multilevel"/>
    <w:tmpl w:val="6E726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6">
    <w:nsid w:val="77A000A9"/>
    <w:multiLevelType w:val="hybridMultilevel"/>
    <w:tmpl w:val="285E03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7">
    <w:nsid w:val="77F36D85"/>
    <w:multiLevelType w:val="multilevel"/>
    <w:tmpl w:val="D1DA1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8">
    <w:nsid w:val="78C74667"/>
    <w:multiLevelType w:val="multilevel"/>
    <w:tmpl w:val="498CD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9">
    <w:nsid w:val="78FB7FCC"/>
    <w:multiLevelType w:val="multilevel"/>
    <w:tmpl w:val="35ECF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0">
    <w:nsid w:val="790C0A80"/>
    <w:multiLevelType w:val="multilevel"/>
    <w:tmpl w:val="0A0E2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1">
    <w:nsid w:val="792E2ABF"/>
    <w:multiLevelType w:val="multilevel"/>
    <w:tmpl w:val="328E0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2">
    <w:nsid w:val="798B184B"/>
    <w:multiLevelType w:val="multilevel"/>
    <w:tmpl w:val="50040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3">
    <w:nsid w:val="79963F9F"/>
    <w:multiLevelType w:val="multilevel"/>
    <w:tmpl w:val="EC562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4">
    <w:nsid w:val="79AB6364"/>
    <w:multiLevelType w:val="multilevel"/>
    <w:tmpl w:val="609EE6D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5">
    <w:nsid w:val="79AD4344"/>
    <w:multiLevelType w:val="multilevel"/>
    <w:tmpl w:val="742A0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6">
    <w:nsid w:val="79BB4E32"/>
    <w:multiLevelType w:val="multilevel"/>
    <w:tmpl w:val="47726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7">
    <w:nsid w:val="79D7104A"/>
    <w:multiLevelType w:val="multilevel"/>
    <w:tmpl w:val="20CEC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8">
    <w:nsid w:val="7A100B53"/>
    <w:multiLevelType w:val="multilevel"/>
    <w:tmpl w:val="5A002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9">
    <w:nsid w:val="7A5D1D73"/>
    <w:multiLevelType w:val="hybridMultilevel"/>
    <w:tmpl w:val="E482CF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0">
    <w:nsid w:val="7A7642B7"/>
    <w:multiLevelType w:val="multilevel"/>
    <w:tmpl w:val="44A25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1">
    <w:nsid w:val="7A914CDA"/>
    <w:multiLevelType w:val="multilevel"/>
    <w:tmpl w:val="37AA0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2">
    <w:nsid w:val="7AC81FC2"/>
    <w:multiLevelType w:val="hybridMultilevel"/>
    <w:tmpl w:val="3560FC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3">
    <w:nsid w:val="7AD21CC7"/>
    <w:multiLevelType w:val="multilevel"/>
    <w:tmpl w:val="88581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4">
    <w:nsid w:val="7AE57081"/>
    <w:multiLevelType w:val="hybridMultilevel"/>
    <w:tmpl w:val="8B12D4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5">
    <w:nsid w:val="7BA12678"/>
    <w:multiLevelType w:val="multilevel"/>
    <w:tmpl w:val="E1B6C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6">
    <w:nsid w:val="7BD6128F"/>
    <w:multiLevelType w:val="hybridMultilevel"/>
    <w:tmpl w:val="40FC63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7">
    <w:nsid w:val="7C9061AE"/>
    <w:multiLevelType w:val="hybridMultilevel"/>
    <w:tmpl w:val="4A4EEC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8">
    <w:nsid w:val="7CA759E5"/>
    <w:multiLevelType w:val="multilevel"/>
    <w:tmpl w:val="C7F00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9">
    <w:nsid w:val="7CDF59CB"/>
    <w:multiLevelType w:val="multilevel"/>
    <w:tmpl w:val="1BDAB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0">
    <w:nsid w:val="7D075116"/>
    <w:multiLevelType w:val="multilevel"/>
    <w:tmpl w:val="FB5ED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1">
    <w:nsid w:val="7D4817CD"/>
    <w:multiLevelType w:val="multilevel"/>
    <w:tmpl w:val="A6A8F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2">
    <w:nsid w:val="7D5A3C0B"/>
    <w:multiLevelType w:val="multilevel"/>
    <w:tmpl w:val="5BAC3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3">
    <w:nsid w:val="7D70141C"/>
    <w:multiLevelType w:val="hybridMultilevel"/>
    <w:tmpl w:val="60DC71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4">
    <w:nsid w:val="7DEC1159"/>
    <w:multiLevelType w:val="multilevel"/>
    <w:tmpl w:val="53763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5">
    <w:nsid w:val="7E0E2CB7"/>
    <w:multiLevelType w:val="multilevel"/>
    <w:tmpl w:val="2EEEA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6">
    <w:nsid w:val="7E1705F0"/>
    <w:multiLevelType w:val="multilevel"/>
    <w:tmpl w:val="CAA24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7">
    <w:nsid w:val="7E2762F5"/>
    <w:multiLevelType w:val="multilevel"/>
    <w:tmpl w:val="1C0EC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8">
    <w:nsid w:val="7E2B13A5"/>
    <w:multiLevelType w:val="multilevel"/>
    <w:tmpl w:val="B26E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9">
    <w:nsid w:val="7E52591E"/>
    <w:multiLevelType w:val="multilevel"/>
    <w:tmpl w:val="47283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0">
    <w:nsid w:val="7E625622"/>
    <w:multiLevelType w:val="hybridMultilevel"/>
    <w:tmpl w:val="3048B0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1">
    <w:nsid w:val="7E8800BC"/>
    <w:multiLevelType w:val="multilevel"/>
    <w:tmpl w:val="A1722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2">
    <w:nsid w:val="7ED6304B"/>
    <w:multiLevelType w:val="multilevel"/>
    <w:tmpl w:val="CA223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3">
    <w:nsid w:val="7F083B0F"/>
    <w:multiLevelType w:val="multilevel"/>
    <w:tmpl w:val="F4B42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4">
    <w:nsid w:val="7F1E6984"/>
    <w:multiLevelType w:val="hybridMultilevel"/>
    <w:tmpl w:val="8BA24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5">
    <w:nsid w:val="7F4D7AFF"/>
    <w:multiLevelType w:val="multilevel"/>
    <w:tmpl w:val="A8A44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6">
    <w:nsid w:val="7F651536"/>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nsid w:val="7F703F41"/>
    <w:multiLevelType w:val="multilevel"/>
    <w:tmpl w:val="D0DE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8">
    <w:nsid w:val="7F8C5F6B"/>
    <w:multiLevelType w:val="multilevel"/>
    <w:tmpl w:val="A3A8C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9">
    <w:nsid w:val="7FA47B90"/>
    <w:multiLevelType w:val="multilevel"/>
    <w:tmpl w:val="0FF8F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0">
    <w:nsid w:val="7FAE1ACE"/>
    <w:multiLevelType w:val="hybridMultilevel"/>
    <w:tmpl w:val="1A3250D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1">
    <w:nsid w:val="7FB33BBD"/>
    <w:multiLevelType w:val="multilevel"/>
    <w:tmpl w:val="107EF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2">
    <w:nsid w:val="7FC218BD"/>
    <w:multiLevelType w:val="multilevel"/>
    <w:tmpl w:val="6FBE48C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3">
    <w:nsid w:val="7FED0722"/>
    <w:multiLevelType w:val="multilevel"/>
    <w:tmpl w:val="AB183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4">
    <w:nsid w:val="7FFD7351"/>
    <w:multiLevelType w:val="multilevel"/>
    <w:tmpl w:val="91D40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42"/>
  </w:num>
  <w:num w:numId="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2"/>
  </w:num>
  <w:num w:numId="8">
    <w:abstractNumId w:val="601"/>
  </w:num>
  <w:num w:numId="9">
    <w:abstractNumId w:val="709"/>
  </w:num>
  <w:num w:numId="10">
    <w:abstractNumId w:val="7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5"/>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ind w:left="0" w:firstLine="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22">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7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7"/>
  </w:num>
  <w:num w:numId="34">
    <w:abstractNumId w:val="7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2"/>
  </w:num>
  <w:num w:numId="44">
    <w:abstractNumId w:val="7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75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3"/>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ind w:left="0" w:firstLine="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6"/>
  </w:num>
  <w:num w:numId="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70"/>
  </w:num>
  <w:num w:numId="94">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2">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4">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6">
    <w:abstractNumId w:val="6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7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
  </w:num>
  <w:num w:numId="12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77"/>
  </w:num>
  <w:num w:numId="123">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9">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1">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5">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4">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6">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8">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0">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88"/>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ind w:left="0" w:firstLine="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19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1"/>
  </w:num>
  <w:num w:numId="19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3"/>
  </w:num>
  <w:num w:numId="1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9">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3">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7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1">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3">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65"/>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ind w:left="0" w:firstLine="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25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1">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3">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7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3">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3">
    <w:abstractNumId w:val="7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6"/>
    <w:lvlOverride w:ilvl="0">
      <w:lvl w:ilvl="0">
        <w:start w:val="1"/>
        <w:numFmt w:val="decimal"/>
        <w:lvlText w:val="%1."/>
        <w:lvlJc w:val="left"/>
        <w:pPr>
          <w:tabs>
            <w:tab w:val="num" w:pos="720"/>
          </w:tabs>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307">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9">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7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7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512"/>
  </w:num>
  <w:num w:numId="321">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0">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2">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4">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7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3"/>
    <w:lvlOverride w:ilvl="0">
      <w:lvl w:ilvl="0">
        <w:start w:val="1"/>
        <w:numFmt w:val="decimal"/>
        <w:lvlText w:val="%1."/>
        <w:lvlJc w:val="left"/>
        <w:pPr>
          <w:tabs>
            <w:tab w:val="num" w:pos="720"/>
          </w:tabs>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351">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3">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6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5">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7">
    <w:abstractNumId w:val="7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7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6">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8">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2">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7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7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7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9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4">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9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9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9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0">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72"/>
  </w:num>
  <w:num w:numId="415">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34"/>
  </w:num>
  <w:num w:numId="418">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59"/>
  </w:num>
  <w:num w:numId="422">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657"/>
  </w:num>
  <w:num w:numId="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7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5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8">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5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2">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4">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7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7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8">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2">
    <w:abstractNumId w:val="7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8"/>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ind w:left="0" w:firstLine="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488">
    <w:abstractNumId w:val="6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348"/>
  </w:num>
  <w:num w:numId="4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43"/>
  </w:num>
  <w:num w:numId="496">
    <w:abstractNumId w:val="6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37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2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6">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2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8">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2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2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2">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4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7">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4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4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36"/>
  </w:num>
  <w:num w:numId="558">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717"/>
  </w:num>
  <w:num w:numId="5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6">
    <w:abstractNumId w:val="5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8">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5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6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663"/>
  </w:num>
  <w:num w:numId="587">
    <w:abstractNumId w:val="7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28"/>
  </w:num>
  <w:num w:numId="592">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5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0">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5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5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5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6">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7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7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6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9">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1">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3">
    <w:abstractNumId w:val="7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5">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7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6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7">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16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6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6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3">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7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7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7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2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3">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2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5">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2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7">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2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9">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7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3">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1">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6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7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7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4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26">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4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28">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4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0">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46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2">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615"/>
  </w:num>
  <w:num w:numId="73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8">
    <w:abstractNumId w:val="5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5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1">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5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5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5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5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5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7">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5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5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125"/>
  </w:num>
  <w:num w:numId="786">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5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9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5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5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0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5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02">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7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189"/>
  </w:num>
  <w:num w:numId="808">
    <w:abstractNumId w:val="61"/>
  </w:num>
  <w:num w:numId="809">
    <w:abstractNumId w:val="230"/>
  </w:num>
  <w:num w:numId="810">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1">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abstractNumId w:val="248"/>
  </w:num>
  <w:num w:numId="8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620"/>
  </w:num>
  <w:num w:numId="819">
    <w:abstractNumId w:val="590"/>
  </w:num>
  <w:num w:numId="820">
    <w:abstractNumId w:val="575"/>
  </w:num>
  <w:num w:numId="821">
    <w:abstractNumId w:val="666"/>
  </w:num>
  <w:num w:numId="8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4">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7">
    <w:abstractNumId w:val="3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28">
    <w:abstractNumId w:val="3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29">
    <w:abstractNumId w:val="30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30">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abstractNumId w:val="6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3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abstractNumId w:val="6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35">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abstractNumId w:val="6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37">
    <w:abstractNumId w:val="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8">
    <w:abstractNumId w:val="6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3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abstractNumId w:val="7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abstractNumId w:val="196"/>
  </w:num>
  <w:num w:numId="850">
    <w:abstractNumId w:val="457"/>
  </w:num>
  <w:num w:numId="851">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abstractNumId w:val="6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1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abstractNumId w:val="1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6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1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63">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4">
    <w:abstractNumId w:val="16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6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7">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abstractNumId w:val="442"/>
  </w:num>
  <w:num w:numId="87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2">
    <w:abstractNumId w:val="45"/>
  </w:num>
  <w:num w:numId="873">
    <w:abstractNumId w:val="233"/>
  </w:num>
  <w:num w:numId="874">
    <w:abstractNumId w:val="766"/>
  </w:num>
  <w:num w:numId="875">
    <w:abstractNumId w:val="538"/>
  </w:num>
  <w:num w:numId="876">
    <w:abstractNumId w:val="522"/>
  </w:num>
  <w:num w:numId="877">
    <w:abstractNumId w:val="767"/>
  </w:num>
  <w:num w:numId="878">
    <w:abstractNumId w:val="647"/>
  </w:num>
  <w:num w:numId="879">
    <w:abstractNumId w:val="694"/>
  </w:num>
  <w:num w:numId="88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1">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2">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3">
    <w:abstractNumId w:val="7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4">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5">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7">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8">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9">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0">
    <w:abstractNumId w:val="592"/>
  </w:num>
  <w:num w:numId="89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5">
    <w:abstractNumId w:val="3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96">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7">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8">
    <w:abstractNumId w:val="60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0">
    <w:abstractNumId w:val="60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1">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2">
    <w:abstractNumId w:val="60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3">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4">
    <w:abstractNumId w:val="60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5">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6">
    <w:abstractNumId w:val="60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7">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8">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9">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2">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3">
    <w:abstractNumId w:val="7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4">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5">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7">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8">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9">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0">
    <w:abstractNumId w:val="6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2">
    <w:abstractNumId w:val="6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3">
    <w:abstractNumId w:val="6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4">
    <w:abstractNumId w:val="6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6">
    <w:abstractNumId w:val="6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7">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8">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988"/>
    <w:rsid w:val="00564E03"/>
    <w:rsid w:val="0081777E"/>
    <w:rsid w:val="00A86150"/>
    <w:rsid w:val="00C46988"/>
    <w:rsid w:val="00F7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8507">
      <w:marLeft w:val="0"/>
      <w:marRight w:val="0"/>
      <w:marTop w:val="0"/>
      <w:marBottom w:val="200"/>
      <w:divBdr>
        <w:top w:val="none" w:sz="0" w:space="0" w:color="auto"/>
        <w:left w:val="none" w:sz="0" w:space="0" w:color="auto"/>
        <w:bottom w:val="none" w:sz="0" w:space="0" w:color="auto"/>
        <w:right w:val="none" w:sz="0" w:space="0" w:color="auto"/>
      </w:divBdr>
    </w:div>
    <w:div w:id="114105188">
      <w:marLeft w:val="0"/>
      <w:marRight w:val="0"/>
      <w:marTop w:val="0"/>
      <w:marBottom w:val="200"/>
      <w:divBdr>
        <w:top w:val="none" w:sz="0" w:space="0" w:color="auto"/>
        <w:left w:val="none" w:sz="0" w:space="0" w:color="auto"/>
        <w:bottom w:val="none" w:sz="0" w:space="0" w:color="auto"/>
        <w:right w:val="none" w:sz="0" w:space="0" w:color="auto"/>
      </w:divBdr>
    </w:div>
    <w:div w:id="137187206">
      <w:marLeft w:val="0"/>
      <w:marRight w:val="0"/>
      <w:marTop w:val="0"/>
      <w:marBottom w:val="200"/>
      <w:divBdr>
        <w:top w:val="none" w:sz="0" w:space="0" w:color="auto"/>
        <w:left w:val="none" w:sz="0" w:space="0" w:color="auto"/>
        <w:bottom w:val="none" w:sz="0" w:space="0" w:color="auto"/>
        <w:right w:val="none" w:sz="0" w:space="0" w:color="auto"/>
      </w:divBdr>
    </w:div>
    <w:div w:id="244918980">
      <w:marLeft w:val="0"/>
      <w:marRight w:val="0"/>
      <w:marTop w:val="0"/>
      <w:marBottom w:val="200"/>
      <w:divBdr>
        <w:top w:val="none" w:sz="0" w:space="0" w:color="auto"/>
        <w:left w:val="none" w:sz="0" w:space="0" w:color="auto"/>
        <w:bottom w:val="none" w:sz="0" w:space="0" w:color="auto"/>
        <w:right w:val="none" w:sz="0" w:space="0" w:color="auto"/>
      </w:divBdr>
    </w:div>
    <w:div w:id="314991147">
      <w:marLeft w:val="0"/>
      <w:marRight w:val="0"/>
      <w:marTop w:val="0"/>
      <w:marBottom w:val="200"/>
      <w:divBdr>
        <w:top w:val="none" w:sz="0" w:space="0" w:color="auto"/>
        <w:left w:val="none" w:sz="0" w:space="0" w:color="auto"/>
        <w:bottom w:val="none" w:sz="0" w:space="0" w:color="auto"/>
        <w:right w:val="none" w:sz="0" w:space="0" w:color="auto"/>
      </w:divBdr>
    </w:div>
    <w:div w:id="401176320">
      <w:marLeft w:val="0"/>
      <w:marRight w:val="0"/>
      <w:marTop w:val="0"/>
      <w:marBottom w:val="200"/>
      <w:divBdr>
        <w:top w:val="none" w:sz="0" w:space="0" w:color="auto"/>
        <w:left w:val="none" w:sz="0" w:space="0" w:color="auto"/>
        <w:bottom w:val="none" w:sz="0" w:space="0" w:color="auto"/>
        <w:right w:val="none" w:sz="0" w:space="0" w:color="auto"/>
      </w:divBdr>
    </w:div>
    <w:div w:id="524907457">
      <w:marLeft w:val="0"/>
      <w:marRight w:val="0"/>
      <w:marTop w:val="0"/>
      <w:marBottom w:val="200"/>
      <w:divBdr>
        <w:top w:val="none" w:sz="0" w:space="0" w:color="auto"/>
        <w:left w:val="none" w:sz="0" w:space="0" w:color="auto"/>
        <w:bottom w:val="none" w:sz="0" w:space="0" w:color="auto"/>
        <w:right w:val="none" w:sz="0" w:space="0" w:color="auto"/>
      </w:divBdr>
    </w:div>
    <w:div w:id="534730511">
      <w:marLeft w:val="0"/>
      <w:marRight w:val="0"/>
      <w:marTop w:val="0"/>
      <w:marBottom w:val="200"/>
      <w:divBdr>
        <w:top w:val="none" w:sz="0" w:space="0" w:color="auto"/>
        <w:left w:val="none" w:sz="0" w:space="0" w:color="auto"/>
        <w:bottom w:val="none" w:sz="0" w:space="0" w:color="auto"/>
        <w:right w:val="none" w:sz="0" w:space="0" w:color="auto"/>
      </w:divBdr>
    </w:div>
    <w:div w:id="656760511">
      <w:marLeft w:val="0"/>
      <w:marRight w:val="0"/>
      <w:marTop w:val="0"/>
      <w:marBottom w:val="200"/>
      <w:divBdr>
        <w:top w:val="none" w:sz="0" w:space="0" w:color="auto"/>
        <w:left w:val="none" w:sz="0" w:space="0" w:color="auto"/>
        <w:bottom w:val="none" w:sz="0" w:space="0" w:color="auto"/>
        <w:right w:val="none" w:sz="0" w:space="0" w:color="auto"/>
      </w:divBdr>
    </w:div>
    <w:div w:id="678193464">
      <w:marLeft w:val="0"/>
      <w:marRight w:val="0"/>
      <w:marTop w:val="0"/>
      <w:marBottom w:val="200"/>
      <w:divBdr>
        <w:top w:val="none" w:sz="0" w:space="0" w:color="auto"/>
        <w:left w:val="none" w:sz="0" w:space="0" w:color="auto"/>
        <w:bottom w:val="none" w:sz="0" w:space="0" w:color="auto"/>
        <w:right w:val="none" w:sz="0" w:space="0" w:color="auto"/>
      </w:divBdr>
    </w:div>
    <w:div w:id="694303813">
      <w:marLeft w:val="0"/>
      <w:marRight w:val="0"/>
      <w:marTop w:val="240"/>
      <w:marBottom w:val="200"/>
      <w:divBdr>
        <w:top w:val="none" w:sz="0" w:space="0" w:color="auto"/>
        <w:left w:val="none" w:sz="0" w:space="0" w:color="auto"/>
        <w:bottom w:val="none" w:sz="0" w:space="0" w:color="auto"/>
        <w:right w:val="none" w:sz="0" w:space="0" w:color="auto"/>
      </w:divBdr>
    </w:div>
    <w:div w:id="706296883">
      <w:marLeft w:val="0"/>
      <w:marRight w:val="0"/>
      <w:marTop w:val="0"/>
      <w:marBottom w:val="200"/>
      <w:divBdr>
        <w:top w:val="none" w:sz="0" w:space="0" w:color="auto"/>
        <w:left w:val="none" w:sz="0" w:space="0" w:color="auto"/>
        <w:bottom w:val="none" w:sz="0" w:space="0" w:color="auto"/>
        <w:right w:val="none" w:sz="0" w:space="0" w:color="auto"/>
      </w:divBdr>
    </w:div>
    <w:div w:id="771244365">
      <w:marLeft w:val="0"/>
      <w:marRight w:val="0"/>
      <w:marTop w:val="240"/>
      <w:marBottom w:val="200"/>
      <w:divBdr>
        <w:top w:val="none" w:sz="0" w:space="0" w:color="auto"/>
        <w:left w:val="none" w:sz="0" w:space="0" w:color="auto"/>
        <w:bottom w:val="none" w:sz="0" w:space="0" w:color="auto"/>
        <w:right w:val="none" w:sz="0" w:space="0" w:color="auto"/>
      </w:divBdr>
    </w:div>
    <w:div w:id="779839868">
      <w:marLeft w:val="0"/>
      <w:marRight w:val="0"/>
      <w:marTop w:val="0"/>
      <w:marBottom w:val="200"/>
      <w:divBdr>
        <w:top w:val="none" w:sz="0" w:space="0" w:color="auto"/>
        <w:left w:val="none" w:sz="0" w:space="0" w:color="auto"/>
        <w:bottom w:val="none" w:sz="0" w:space="0" w:color="auto"/>
        <w:right w:val="none" w:sz="0" w:space="0" w:color="auto"/>
      </w:divBdr>
    </w:div>
    <w:div w:id="814444455">
      <w:marLeft w:val="0"/>
      <w:marRight w:val="0"/>
      <w:marTop w:val="0"/>
      <w:marBottom w:val="200"/>
      <w:divBdr>
        <w:top w:val="none" w:sz="0" w:space="0" w:color="auto"/>
        <w:left w:val="none" w:sz="0" w:space="0" w:color="auto"/>
        <w:bottom w:val="none" w:sz="0" w:space="0" w:color="auto"/>
        <w:right w:val="none" w:sz="0" w:space="0" w:color="auto"/>
      </w:divBdr>
    </w:div>
    <w:div w:id="859121205">
      <w:marLeft w:val="0"/>
      <w:marRight w:val="0"/>
      <w:marTop w:val="0"/>
      <w:marBottom w:val="200"/>
      <w:divBdr>
        <w:top w:val="none" w:sz="0" w:space="0" w:color="auto"/>
        <w:left w:val="none" w:sz="0" w:space="0" w:color="auto"/>
        <w:bottom w:val="none" w:sz="0" w:space="0" w:color="auto"/>
        <w:right w:val="none" w:sz="0" w:space="0" w:color="auto"/>
      </w:divBdr>
    </w:div>
    <w:div w:id="992760810">
      <w:marLeft w:val="0"/>
      <w:marRight w:val="0"/>
      <w:marTop w:val="0"/>
      <w:marBottom w:val="200"/>
      <w:divBdr>
        <w:top w:val="none" w:sz="0" w:space="0" w:color="auto"/>
        <w:left w:val="none" w:sz="0" w:space="0" w:color="auto"/>
        <w:bottom w:val="none" w:sz="0" w:space="0" w:color="auto"/>
        <w:right w:val="none" w:sz="0" w:space="0" w:color="auto"/>
      </w:divBdr>
    </w:div>
    <w:div w:id="1093741130">
      <w:marLeft w:val="0"/>
      <w:marRight w:val="0"/>
      <w:marTop w:val="0"/>
      <w:marBottom w:val="200"/>
      <w:divBdr>
        <w:top w:val="none" w:sz="0" w:space="0" w:color="auto"/>
        <w:left w:val="none" w:sz="0" w:space="0" w:color="auto"/>
        <w:bottom w:val="none" w:sz="0" w:space="0" w:color="auto"/>
        <w:right w:val="none" w:sz="0" w:space="0" w:color="auto"/>
      </w:divBdr>
    </w:div>
    <w:div w:id="1127547656">
      <w:marLeft w:val="0"/>
      <w:marRight w:val="0"/>
      <w:marTop w:val="0"/>
      <w:marBottom w:val="200"/>
      <w:divBdr>
        <w:top w:val="none" w:sz="0" w:space="0" w:color="auto"/>
        <w:left w:val="none" w:sz="0" w:space="0" w:color="auto"/>
        <w:bottom w:val="none" w:sz="0" w:space="0" w:color="auto"/>
        <w:right w:val="none" w:sz="0" w:space="0" w:color="auto"/>
      </w:divBdr>
    </w:div>
    <w:div w:id="1187333938">
      <w:marLeft w:val="0"/>
      <w:marRight w:val="0"/>
      <w:marTop w:val="0"/>
      <w:marBottom w:val="200"/>
      <w:divBdr>
        <w:top w:val="none" w:sz="0" w:space="0" w:color="auto"/>
        <w:left w:val="none" w:sz="0" w:space="0" w:color="auto"/>
        <w:bottom w:val="none" w:sz="0" w:space="0" w:color="auto"/>
        <w:right w:val="none" w:sz="0" w:space="0" w:color="auto"/>
      </w:divBdr>
    </w:div>
    <w:div w:id="1203438025">
      <w:marLeft w:val="0"/>
      <w:marRight w:val="0"/>
      <w:marTop w:val="0"/>
      <w:marBottom w:val="200"/>
      <w:divBdr>
        <w:top w:val="none" w:sz="0" w:space="0" w:color="auto"/>
        <w:left w:val="none" w:sz="0" w:space="0" w:color="auto"/>
        <w:bottom w:val="none" w:sz="0" w:space="0" w:color="auto"/>
        <w:right w:val="none" w:sz="0" w:space="0" w:color="auto"/>
      </w:divBdr>
    </w:div>
    <w:div w:id="1205019359">
      <w:marLeft w:val="0"/>
      <w:marRight w:val="0"/>
      <w:marTop w:val="240"/>
      <w:marBottom w:val="200"/>
      <w:divBdr>
        <w:top w:val="none" w:sz="0" w:space="0" w:color="auto"/>
        <w:left w:val="none" w:sz="0" w:space="0" w:color="auto"/>
        <w:bottom w:val="none" w:sz="0" w:space="0" w:color="auto"/>
        <w:right w:val="none" w:sz="0" w:space="0" w:color="auto"/>
      </w:divBdr>
    </w:div>
    <w:div w:id="1205941468">
      <w:marLeft w:val="0"/>
      <w:marRight w:val="0"/>
      <w:marTop w:val="0"/>
      <w:marBottom w:val="200"/>
      <w:divBdr>
        <w:top w:val="none" w:sz="0" w:space="0" w:color="auto"/>
        <w:left w:val="none" w:sz="0" w:space="0" w:color="auto"/>
        <w:bottom w:val="none" w:sz="0" w:space="0" w:color="auto"/>
        <w:right w:val="none" w:sz="0" w:space="0" w:color="auto"/>
      </w:divBdr>
    </w:div>
    <w:div w:id="1376153878">
      <w:marLeft w:val="0"/>
      <w:marRight w:val="0"/>
      <w:marTop w:val="0"/>
      <w:marBottom w:val="200"/>
      <w:divBdr>
        <w:top w:val="none" w:sz="0" w:space="0" w:color="auto"/>
        <w:left w:val="none" w:sz="0" w:space="0" w:color="auto"/>
        <w:bottom w:val="none" w:sz="0" w:space="0" w:color="auto"/>
        <w:right w:val="none" w:sz="0" w:space="0" w:color="auto"/>
      </w:divBdr>
    </w:div>
    <w:div w:id="1625117624">
      <w:marLeft w:val="0"/>
      <w:marRight w:val="0"/>
      <w:marTop w:val="0"/>
      <w:marBottom w:val="200"/>
      <w:divBdr>
        <w:top w:val="none" w:sz="0" w:space="0" w:color="auto"/>
        <w:left w:val="none" w:sz="0" w:space="0" w:color="auto"/>
        <w:bottom w:val="none" w:sz="0" w:space="0" w:color="auto"/>
        <w:right w:val="none" w:sz="0" w:space="0" w:color="auto"/>
      </w:divBdr>
    </w:div>
    <w:div w:id="1640526740">
      <w:marLeft w:val="0"/>
      <w:marRight w:val="0"/>
      <w:marTop w:val="0"/>
      <w:marBottom w:val="200"/>
      <w:divBdr>
        <w:top w:val="none" w:sz="0" w:space="0" w:color="auto"/>
        <w:left w:val="none" w:sz="0" w:space="0" w:color="auto"/>
        <w:bottom w:val="none" w:sz="0" w:space="0" w:color="auto"/>
        <w:right w:val="none" w:sz="0" w:space="0" w:color="auto"/>
      </w:divBdr>
    </w:div>
    <w:div w:id="1656032146">
      <w:marLeft w:val="360"/>
      <w:marRight w:val="0"/>
      <w:marTop w:val="0"/>
      <w:marBottom w:val="0"/>
      <w:divBdr>
        <w:top w:val="none" w:sz="0" w:space="0" w:color="auto"/>
        <w:left w:val="none" w:sz="0" w:space="0" w:color="auto"/>
        <w:bottom w:val="none" w:sz="0" w:space="0" w:color="auto"/>
        <w:right w:val="none" w:sz="0" w:space="0" w:color="auto"/>
      </w:divBdr>
    </w:div>
    <w:div w:id="1672024958">
      <w:marLeft w:val="0"/>
      <w:marRight w:val="0"/>
      <w:marTop w:val="0"/>
      <w:marBottom w:val="200"/>
      <w:divBdr>
        <w:top w:val="none" w:sz="0" w:space="0" w:color="auto"/>
        <w:left w:val="none" w:sz="0" w:space="0" w:color="auto"/>
        <w:bottom w:val="none" w:sz="0" w:space="0" w:color="auto"/>
        <w:right w:val="none" w:sz="0" w:space="0" w:color="auto"/>
      </w:divBdr>
    </w:div>
    <w:div w:id="1694530828">
      <w:marLeft w:val="0"/>
      <w:marRight w:val="0"/>
      <w:marTop w:val="0"/>
      <w:marBottom w:val="200"/>
      <w:divBdr>
        <w:top w:val="none" w:sz="0" w:space="0" w:color="auto"/>
        <w:left w:val="none" w:sz="0" w:space="0" w:color="auto"/>
        <w:bottom w:val="none" w:sz="0" w:space="0" w:color="auto"/>
        <w:right w:val="none" w:sz="0" w:space="0" w:color="auto"/>
      </w:divBdr>
    </w:div>
    <w:div w:id="1697735049">
      <w:marLeft w:val="0"/>
      <w:marRight w:val="0"/>
      <w:marTop w:val="0"/>
      <w:marBottom w:val="200"/>
      <w:divBdr>
        <w:top w:val="none" w:sz="0" w:space="0" w:color="auto"/>
        <w:left w:val="none" w:sz="0" w:space="0" w:color="auto"/>
        <w:bottom w:val="none" w:sz="0" w:space="0" w:color="auto"/>
        <w:right w:val="none" w:sz="0" w:space="0" w:color="auto"/>
      </w:divBdr>
    </w:div>
    <w:div w:id="1708213365">
      <w:marLeft w:val="0"/>
      <w:marRight w:val="0"/>
      <w:marTop w:val="0"/>
      <w:marBottom w:val="200"/>
      <w:divBdr>
        <w:top w:val="none" w:sz="0" w:space="0" w:color="auto"/>
        <w:left w:val="none" w:sz="0" w:space="0" w:color="auto"/>
        <w:bottom w:val="none" w:sz="0" w:space="0" w:color="auto"/>
        <w:right w:val="none" w:sz="0" w:space="0" w:color="auto"/>
      </w:divBdr>
    </w:div>
    <w:div w:id="1727294463">
      <w:marLeft w:val="0"/>
      <w:marRight w:val="0"/>
      <w:marTop w:val="0"/>
      <w:marBottom w:val="200"/>
      <w:divBdr>
        <w:top w:val="none" w:sz="0" w:space="0" w:color="auto"/>
        <w:left w:val="none" w:sz="0" w:space="0" w:color="auto"/>
        <w:bottom w:val="none" w:sz="0" w:space="0" w:color="auto"/>
        <w:right w:val="none" w:sz="0" w:space="0" w:color="auto"/>
      </w:divBdr>
    </w:div>
    <w:div w:id="1740975925">
      <w:marLeft w:val="0"/>
      <w:marRight w:val="0"/>
      <w:marTop w:val="0"/>
      <w:marBottom w:val="200"/>
      <w:divBdr>
        <w:top w:val="none" w:sz="0" w:space="0" w:color="auto"/>
        <w:left w:val="none" w:sz="0" w:space="0" w:color="auto"/>
        <w:bottom w:val="none" w:sz="0" w:space="0" w:color="auto"/>
        <w:right w:val="none" w:sz="0" w:space="0" w:color="auto"/>
      </w:divBdr>
    </w:div>
    <w:div w:id="1745032271">
      <w:marLeft w:val="0"/>
      <w:marRight w:val="0"/>
      <w:marTop w:val="0"/>
      <w:marBottom w:val="200"/>
      <w:divBdr>
        <w:top w:val="none" w:sz="0" w:space="0" w:color="auto"/>
        <w:left w:val="none" w:sz="0" w:space="0" w:color="auto"/>
        <w:bottom w:val="none" w:sz="0" w:space="0" w:color="auto"/>
        <w:right w:val="none" w:sz="0" w:space="0" w:color="auto"/>
      </w:divBdr>
    </w:div>
    <w:div w:id="1766533915">
      <w:marLeft w:val="0"/>
      <w:marRight w:val="0"/>
      <w:marTop w:val="0"/>
      <w:marBottom w:val="200"/>
      <w:divBdr>
        <w:top w:val="none" w:sz="0" w:space="0" w:color="auto"/>
        <w:left w:val="none" w:sz="0" w:space="0" w:color="auto"/>
        <w:bottom w:val="none" w:sz="0" w:space="0" w:color="auto"/>
        <w:right w:val="none" w:sz="0" w:space="0" w:color="auto"/>
      </w:divBdr>
    </w:div>
    <w:div w:id="1825122490">
      <w:marLeft w:val="0"/>
      <w:marRight w:val="0"/>
      <w:marTop w:val="0"/>
      <w:marBottom w:val="200"/>
      <w:divBdr>
        <w:top w:val="none" w:sz="0" w:space="0" w:color="auto"/>
        <w:left w:val="none" w:sz="0" w:space="0" w:color="auto"/>
        <w:bottom w:val="none" w:sz="0" w:space="0" w:color="auto"/>
        <w:right w:val="none" w:sz="0" w:space="0" w:color="auto"/>
      </w:divBdr>
    </w:div>
    <w:div w:id="1845706616">
      <w:marLeft w:val="0"/>
      <w:marRight w:val="0"/>
      <w:marTop w:val="0"/>
      <w:marBottom w:val="200"/>
      <w:divBdr>
        <w:top w:val="none" w:sz="0" w:space="0" w:color="auto"/>
        <w:left w:val="none" w:sz="0" w:space="0" w:color="auto"/>
        <w:bottom w:val="none" w:sz="0" w:space="0" w:color="auto"/>
        <w:right w:val="none" w:sz="0" w:space="0" w:color="auto"/>
      </w:divBdr>
    </w:div>
    <w:div w:id="1892305778">
      <w:marLeft w:val="0"/>
      <w:marRight w:val="0"/>
      <w:marTop w:val="0"/>
      <w:marBottom w:val="200"/>
      <w:divBdr>
        <w:top w:val="none" w:sz="0" w:space="0" w:color="auto"/>
        <w:left w:val="none" w:sz="0" w:space="0" w:color="auto"/>
        <w:bottom w:val="none" w:sz="0" w:space="0" w:color="auto"/>
        <w:right w:val="none" w:sz="0" w:space="0" w:color="auto"/>
      </w:divBdr>
    </w:div>
    <w:div w:id="1974631578">
      <w:marLeft w:val="0"/>
      <w:marRight w:val="0"/>
      <w:marTop w:val="0"/>
      <w:marBottom w:val="200"/>
      <w:divBdr>
        <w:top w:val="none" w:sz="0" w:space="0" w:color="auto"/>
        <w:left w:val="none" w:sz="0" w:space="0" w:color="auto"/>
        <w:bottom w:val="none" w:sz="0" w:space="0" w:color="auto"/>
        <w:right w:val="none" w:sz="0" w:space="0" w:color="auto"/>
      </w:divBdr>
    </w:div>
    <w:div w:id="2059282897">
      <w:marLeft w:val="0"/>
      <w:marRight w:val="0"/>
      <w:marTop w:val="0"/>
      <w:marBottom w:val="200"/>
      <w:divBdr>
        <w:top w:val="none" w:sz="0" w:space="0" w:color="auto"/>
        <w:left w:val="none" w:sz="0" w:space="0" w:color="auto"/>
        <w:bottom w:val="none" w:sz="0" w:space="0" w:color="auto"/>
        <w:right w:val="none" w:sz="0" w:space="0" w:color="auto"/>
      </w:divBdr>
    </w:div>
    <w:div w:id="2120484398">
      <w:marLeft w:val="0"/>
      <w:marRight w:val="0"/>
      <w:marTop w:val="0"/>
      <w:marBottom w:val="2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w.upenn.edu/bll/archives/ulc/fnact99/1990s/ueta99.pdf" TargetMode="External"/><Relationship Id="rId117" Type="http://schemas.openxmlformats.org/officeDocument/2006/relationships/image" Target="media/image44.jpg"/><Relationship Id="rId21" Type="http://schemas.openxmlformats.org/officeDocument/2006/relationships/hyperlink" Target="http://www.regulations.gov/" TargetMode="External"/><Relationship Id="rId42" Type="http://schemas.openxmlformats.org/officeDocument/2006/relationships/image" Target="media/image15.jpg"/><Relationship Id="rId47" Type="http://schemas.openxmlformats.org/officeDocument/2006/relationships/image" Target="media/image17.jpg"/><Relationship Id="rId63" Type="http://schemas.openxmlformats.org/officeDocument/2006/relationships/hyperlink" Target="http://www.abanet.org/intlaw/leadership/policy/RUUNAA_Final_08.pdf" TargetMode="External"/><Relationship Id="rId68" Type="http://schemas.openxmlformats.org/officeDocument/2006/relationships/image" Target="media/image26.jpg"/><Relationship Id="rId84" Type="http://schemas.openxmlformats.org/officeDocument/2006/relationships/hyperlink" Target="http://thomas.loc.gov/cgi-bin/bdquery/z?d111:HR04173:@@@L&amp;summ2=m&amp;" TargetMode="External"/><Relationship Id="rId89" Type="http://schemas.openxmlformats.org/officeDocument/2006/relationships/image" Target="media/image34.jpg"/><Relationship Id="rId112" Type="http://schemas.openxmlformats.org/officeDocument/2006/relationships/image" Target="media/image41.jpg"/><Relationship Id="rId133" Type="http://schemas.openxmlformats.org/officeDocument/2006/relationships/theme" Target="theme/theme1.xml"/><Relationship Id="rId16" Type="http://schemas.openxmlformats.org/officeDocument/2006/relationships/hyperlink" Target="http://www.findlaw.com/" TargetMode="External"/><Relationship Id="rId107" Type="http://schemas.openxmlformats.org/officeDocument/2006/relationships/image" Target="media/image38.jpg"/><Relationship Id="rId11" Type="http://schemas.openxmlformats.org/officeDocument/2006/relationships/hyperlink" Target="http://www.access.gpo.gov/nara/cfr/cfr-table-search.html" TargetMode="External"/><Relationship Id="rId32" Type="http://schemas.openxmlformats.org/officeDocument/2006/relationships/image" Target="media/image12.jpeg"/><Relationship Id="rId37" Type="http://schemas.openxmlformats.org/officeDocument/2006/relationships/hyperlink" Target="http://news.techworld.com/personal-tech/3200539/new-study-warns-of-cell-phone-dangers" TargetMode="External"/><Relationship Id="rId53" Type="http://schemas.openxmlformats.org/officeDocument/2006/relationships/image" Target="media/image21.jpg"/><Relationship Id="rId58" Type="http://schemas.openxmlformats.org/officeDocument/2006/relationships/hyperlink" Target="http://www.law.upenn.edu/bll/archives/ulc/fnact99/1990s/upa97fa.pdf" TargetMode="External"/><Relationship Id="rId74" Type="http://schemas.openxmlformats.org/officeDocument/2006/relationships/hyperlink" Target="http://articles.latimes.com/2011/jan/11/business/la-fi-ct-playboy-hefner-20110111" TargetMode="External"/><Relationship Id="rId79" Type="http://schemas.openxmlformats.org/officeDocument/2006/relationships/hyperlink" Target="http://www.proxyvoting.com/" TargetMode="External"/><Relationship Id="rId102" Type="http://schemas.openxmlformats.org/officeDocument/2006/relationships/hyperlink" Target="http://www.law.cornell.edu/uniform/vol7.html" TargetMode="External"/><Relationship Id="rId123" Type="http://schemas.openxmlformats.org/officeDocument/2006/relationships/hyperlink" Target="http://www.new-bankruptcy-law-info.com/" TargetMode="External"/><Relationship Id="rId128" Type="http://schemas.openxmlformats.org/officeDocument/2006/relationships/image" Target="media/image51.jpg"/><Relationship Id="rId5" Type="http://schemas.openxmlformats.org/officeDocument/2006/relationships/settings" Target="settings.xml"/><Relationship Id="rId90" Type="http://schemas.openxmlformats.org/officeDocument/2006/relationships/hyperlink" Target="http://delcode.delaware.gov/title8/index.shtml" TargetMode="External"/><Relationship Id="rId95" Type="http://schemas.openxmlformats.org/officeDocument/2006/relationships/hyperlink" Target="http://www.congresslink.org/print_basics_histmats_civilrights64text.htm" TargetMode="External"/><Relationship Id="rId14" Type="http://schemas.openxmlformats.org/officeDocument/2006/relationships/hyperlink" Target="http://reason.com/archives/2005/10/01/rethinking-the-social-responsi" TargetMode="External"/><Relationship Id="rId22" Type="http://schemas.openxmlformats.org/officeDocument/2006/relationships/image" Target="media/image4.jpg"/><Relationship Id="rId27" Type="http://schemas.openxmlformats.org/officeDocument/2006/relationships/hyperlink" Target="http://www.highbeam.com/doc/1P3-708279811.html" TargetMode="External"/><Relationship Id="rId30" Type="http://schemas.openxmlformats.org/officeDocument/2006/relationships/image" Target="media/image10.jpg"/><Relationship Id="rId35" Type="http://schemas.openxmlformats.org/officeDocument/2006/relationships/hyperlink" Target="http://www.businessweek.com/managing/content/mar2009/ca2009036_271002.htm" TargetMode="External"/><Relationship Id="rId43" Type="http://schemas.openxmlformats.org/officeDocument/2006/relationships/hyperlink" Target="http://library.findlaw.com/1999/Jun/1/127691.html" TargetMode="External"/><Relationship Id="rId48" Type="http://schemas.openxmlformats.org/officeDocument/2006/relationships/image" Target="media/image18.jpg"/><Relationship Id="rId56" Type="http://schemas.openxmlformats.org/officeDocument/2006/relationships/hyperlink" Target="http://www.irs.gov/pub/irs-soi/09sprbul.pdf" TargetMode="External"/><Relationship Id="rId64" Type="http://schemas.openxmlformats.org/officeDocument/2006/relationships/image" Target="media/image23.jpg"/><Relationship Id="rId69" Type="http://schemas.openxmlformats.org/officeDocument/2006/relationships/hyperlink" Target="http://www.law.upenn.edu/bll/archives/ulc/ulpa/final2001.pdf" TargetMode="External"/><Relationship Id="rId77" Type="http://schemas.openxmlformats.org/officeDocument/2006/relationships/hyperlink" Target="http://www.law.cornell.edu/ucc/8/overview.html" TargetMode="External"/><Relationship Id="rId100" Type="http://schemas.openxmlformats.org/officeDocument/2006/relationships/image" Target="media/image36.jpg"/><Relationship Id="rId105" Type="http://schemas.openxmlformats.org/officeDocument/2006/relationships/hyperlink" Target="http://fjallfoss.fcc.gov/edocs_public/attachmatch/FCC-07-232A1.txt" TargetMode="External"/><Relationship Id="rId113" Type="http://schemas.openxmlformats.org/officeDocument/2006/relationships/hyperlink" Target="http://www.simonsrecovery.com/index.htm" TargetMode="External"/><Relationship Id="rId118" Type="http://schemas.openxmlformats.org/officeDocument/2006/relationships/image" Target="media/image45.jpg"/><Relationship Id="rId126" Type="http://schemas.openxmlformats.org/officeDocument/2006/relationships/hyperlink" Target="http://judiciary.house.gov/hearings/printers/110th/44493.PDF" TargetMode="External"/><Relationship Id="rId8" Type="http://schemas.openxmlformats.org/officeDocument/2006/relationships/endnotes" Target="endnotes.xml"/><Relationship Id="rId51" Type="http://schemas.openxmlformats.org/officeDocument/2006/relationships/hyperlink" Target="http://www.lni.wa.gov/ClaimsIns/Insurance/RatesRisk/Check/RatesHistory" TargetMode="External"/><Relationship Id="rId72" Type="http://schemas.openxmlformats.org/officeDocument/2006/relationships/image" Target="media/image27.jpg"/><Relationship Id="rId80" Type="http://schemas.openxmlformats.org/officeDocument/2006/relationships/image" Target="media/image30.jpg"/><Relationship Id="rId85" Type="http://schemas.openxmlformats.org/officeDocument/2006/relationships/hyperlink" Target="http://www.sec.gov/news/press/2003-69.htm" TargetMode="External"/><Relationship Id="rId93" Type="http://schemas.openxmlformats.org/officeDocument/2006/relationships/hyperlink" Target="http://www.irs.gov/businesses/small/article/0,,id=98703,00.html" TargetMode="External"/><Relationship Id="rId98" Type="http://schemas.openxmlformats.org/officeDocument/2006/relationships/hyperlink" Target="http://financialplan.about.com/od/creditcarddebt/a/CCMinimums.htm" TargetMode="External"/><Relationship Id="rId121" Type="http://schemas.openxmlformats.org/officeDocument/2006/relationships/image" Target="media/image48.jp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caselaw.lp.findlaw.com/cgi-bin/getcase.pl?navby=volpage&amp;court=us&amp;vol=326&amp;page=320" TargetMode="External"/><Relationship Id="rId25" Type="http://schemas.openxmlformats.org/officeDocument/2006/relationships/image" Target="media/image7.jpeg"/><Relationship Id="rId33" Type="http://schemas.openxmlformats.org/officeDocument/2006/relationships/hyperlink" Target="http://www.cpsc.gov/cpscpub/pubs/reports/2009rpt.pdf" TargetMode="External"/><Relationship Id="rId38" Type="http://schemas.openxmlformats.org/officeDocument/2006/relationships/hyperlink" Target="http://www.businessweek.com/managing/content/mar2009/ca2009036_271002.htm" TargetMode="External"/><Relationship Id="rId46" Type="http://schemas.openxmlformats.org/officeDocument/2006/relationships/image" Target="media/image16.jpg"/><Relationship Id="rId59" Type="http://schemas.openxmlformats.org/officeDocument/2006/relationships/hyperlink" Target="http://www.law.upenn.edu/bll/archives/ulc/fnact99/1990s/upa97fa.pdf" TargetMode="External"/><Relationship Id="rId67" Type="http://schemas.openxmlformats.org/officeDocument/2006/relationships/hyperlink" Target="http://www.wyopa.com/Articles%20of%20limited%20partnership.htm" TargetMode="External"/><Relationship Id="rId103" Type="http://schemas.openxmlformats.org/officeDocument/2006/relationships/hyperlink" Target="http://www.urban.org/uploadedpdf/1001247_hdma.pdf" TargetMode="External"/><Relationship Id="rId108" Type="http://schemas.openxmlformats.org/officeDocument/2006/relationships/image" Target="media/image39.jpg"/><Relationship Id="rId116" Type="http://schemas.openxmlformats.org/officeDocument/2006/relationships/image" Target="media/image43.jpg"/><Relationship Id="rId124" Type="http://schemas.openxmlformats.org/officeDocument/2006/relationships/image" Target="media/image49.jpeg"/><Relationship Id="rId129" Type="http://schemas.openxmlformats.org/officeDocument/2006/relationships/footer" Target="footer1.xml"/><Relationship Id="rId20" Type="http://schemas.openxmlformats.org/officeDocument/2006/relationships/image" Target="media/image3.jpg"/><Relationship Id="rId41" Type="http://schemas.openxmlformats.org/officeDocument/2006/relationships/hyperlink" Target="http://www.newsomelaw.com/resources/articles/federal-preemption-products-lawyers-beware" TargetMode="External"/><Relationship Id="rId54" Type="http://schemas.openxmlformats.org/officeDocument/2006/relationships/hyperlink" Target="http://www.outsidelands.org/larraburu.php" TargetMode="External"/><Relationship Id="rId62" Type="http://schemas.openxmlformats.org/officeDocument/2006/relationships/hyperlink" Target="http://wheels.blogs.nytimes.com/2010/04/02/g-m-and-toyotas-joint-venture-ends-in-california" TargetMode="External"/><Relationship Id="rId70" Type="http://schemas.openxmlformats.org/officeDocument/2006/relationships/hyperlink" Target="http://www.s-corp.org/our-history" TargetMode="External"/><Relationship Id="rId75" Type="http://schemas.openxmlformats.org/officeDocument/2006/relationships/hyperlink" Target="http://taft.law.uc.edu/CCL/SOact/toc.html" TargetMode="External"/><Relationship Id="rId83" Type="http://schemas.openxmlformats.org/officeDocument/2006/relationships/hyperlink" Target="http://www.usatoday.com/money/companies/management/2002-11-24-interlock_x.htm" TargetMode="External"/><Relationship Id="rId88" Type="http://schemas.openxmlformats.org/officeDocument/2006/relationships/image" Target="media/image33.jpg"/><Relationship Id="rId91" Type="http://schemas.openxmlformats.org/officeDocument/2006/relationships/hyperlink" Target="http://www.wsj.com/" TargetMode="External"/><Relationship Id="rId96" Type="http://schemas.openxmlformats.org/officeDocument/2006/relationships/hyperlink" Target="http://www.law.cornell.edu/supct/pdf/08-441P.ZD1" TargetMode="External"/><Relationship Id="rId111" Type="http://schemas.openxmlformats.org/officeDocument/2006/relationships/hyperlink" Target="http://www.docstoc.com/docs/271920/Free-Business-Templates%E2%80%94-Sample-Open-Ended-Security-Agreement" TargetMode="External"/><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hyperlink" Target="http://www.cpsc.gov/cpscpub/pubs/reports/2009rpt.pdf" TargetMode="External"/><Relationship Id="rId49" Type="http://schemas.openxmlformats.org/officeDocument/2006/relationships/image" Target="media/image19.jpg"/><Relationship Id="rId57" Type="http://schemas.openxmlformats.org/officeDocument/2006/relationships/hyperlink" Target="http://www.nccusl.org/Act.aspx?title=Partnership%20Act" TargetMode="External"/><Relationship Id="rId106" Type="http://schemas.openxmlformats.org/officeDocument/2006/relationships/image" Target="media/image37.jpg"/><Relationship Id="rId114" Type="http://schemas.openxmlformats.org/officeDocument/2006/relationships/image" Target="media/image42.jpg"/><Relationship Id="rId119" Type="http://schemas.openxmlformats.org/officeDocument/2006/relationships/image" Target="media/image46.jpg"/><Relationship Id="rId127" Type="http://schemas.openxmlformats.org/officeDocument/2006/relationships/image" Target="media/image50.jpg"/><Relationship Id="rId10" Type="http://schemas.openxmlformats.org/officeDocument/2006/relationships/hyperlink" Target="http://uscode.house.gov/" TargetMode="External"/><Relationship Id="rId31" Type="http://schemas.openxmlformats.org/officeDocument/2006/relationships/image" Target="media/image11.jpg"/><Relationship Id="rId44" Type="http://schemas.openxmlformats.org/officeDocument/2006/relationships/hyperlink" Target="http://www.atra.org/" TargetMode="External"/><Relationship Id="rId52" Type="http://schemas.openxmlformats.org/officeDocument/2006/relationships/image" Target="media/image20.jpg"/><Relationship Id="rId60" Type="http://schemas.openxmlformats.org/officeDocument/2006/relationships/image" Target="media/image22.jpg"/><Relationship Id="rId65" Type="http://schemas.openxmlformats.org/officeDocument/2006/relationships/image" Target="media/image24.jpg"/><Relationship Id="rId73" Type="http://schemas.openxmlformats.org/officeDocument/2006/relationships/image" Target="media/image28.jpg"/><Relationship Id="rId78" Type="http://schemas.openxmlformats.org/officeDocument/2006/relationships/image" Target="media/image29.jpg"/><Relationship Id="rId81" Type="http://schemas.openxmlformats.org/officeDocument/2006/relationships/image" Target="media/image31.jpg"/><Relationship Id="rId86" Type="http://schemas.openxmlformats.org/officeDocument/2006/relationships/hyperlink" Target="http://www.sec.gov/answers/insider.htm" TargetMode="External"/><Relationship Id="rId94" Type="http://schemas.openxmlformats.org/officeDocument/2006/relationships/image" Target="media/image35.jpg"/><Relationship Id="rId99" Type="http://schemas.openxmlformats.org/officeDocument/2006/relationships/hyperlink" Target="http://www.indexcreditcards.com/creditcarddebt" TargetMode="External"/><Relationship Id="rId101" Type="http://schemas.openxmlformats.org/officeDocument/2006/relationships/hyperlink" Target="http://www.creditcardreform.org/pdf/dodd-summary-509.pdf" TargetMode="External"/><Relationship Id="rId122" Type="http://schemas.openxmlformats.org/officeDocument/2006/relationships/hyperlink" Target="http://www.cch.com/bankruptcy/bankruptcy_04-21.pdf" TargetMode="External"/><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news.findlaw.com/wsj/docs/enron/sicreport" TargetMode="External"/><Relationship Id="rId18" Type="http://schemas.openxmlformats.org/officeDocument/2006/relationships/hyperlink" Target="http://mayer_1.0-ch04_s06/" TargetMode="External"/><Relationship Id="rId39" Type="http://schemas.openxmlformats.org/officeDocument/2006/relationships/image" Target="media/image13.jpeg"/><Relationship Id="rId109" Type="http://schemas.openxmlformats.org/officeDocument/2006/relationships/image" Target="media/image40.jpg"/><Relationship Id="rId34" Type="http://schemas.openxmlformats.org/officeDocument/2006/relationships/hyperlink" Target="http://news.techworld.com/personal-tech/3200539/new-study-warns-of-cell-phone-dangers" TargetMode="External"/><Relationship Id="rId50" Type="http://schemas.openxmlformats.org/officeDocument/2006/relationships/hyperlink" Target="http://www.kslegislature.org/li/statute/044_000_0000_chapter/044_005_0000_article/044_005_0010d_section/044_005_0010d_k/" TargetMode="External"/><Relationship Id="rId55" Type="http://schemas.openxmlformats.org/officeDocument/2006/relationships/hyperlink" Target="http://law.justia.com/illinois/codes/2005/chapter57/2045.html" TargetMode="External"/><Relationship Id="rId76" Type="http://schemas.openxmlformats.org/officeDocument/2006/relationships/hyperlink" Target="http://www.businessweek.com/finance" TargetMode="External"/><Relationship Id="rId97" Type="http://schemas.openxmlformats.org/officeDocument/2006/relationships/hyperlink" Target="http://www.creditcards.com/credit-card-news/credit-card-industry-facts-personal-debt-statistics-1276.php" TargetMode="External"/><Relationship Id="rId104" Type="http://schemas.openxmlformats.org/officeDocument/2006/relationships/hyperlink" Target="http://www.acainternational.org/files.aspx?p=/images/12546/pwc2007-final.pdf" TargetMode="External"/><Relationship Id="rId120" Type="http://schemas.openxmlformats.org/officeDocument/2006/relationships/image" Target="media/image47.jpg"/><Relationship Id="rId125" Type="http://schemas.openxmlformats.org/officeDocument/2006/relationships/hyperlink" Target="http://www.buzzle.com/editorials/1-10-2006-85999.asp" TargetMode="External"/><Relationship Id="rId7" Type="http://schemas.openxmlformats.org/officeDocument/2006/relationships/footnotes" Target="footnotes.xml"/><Relationship Id="rId71" Type="http://schemas.openxmlformats.org/officeDocument/2006/relationships/hyperlink" Target="http://www.law.upenn.edu/bll/archives/ulc/ulpa/final2001.htm" TargetMode="External"/><Relationship Id="rId92" Type="http://schemas.openxmlformats.org/officeDocument/2006/relationships/hyperlink" Target="http://taft.law.uc.edu/CCL/34Act/" TargetMode="External"/><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image" Target="media/image6.jpg"/><Relationship Id="rId40" Type="http://schemas.openxmlformats.org/officeDocument/2006/relationships/image" Target="media/image14.jpg"/><Relationship Id="rId45" Type="http://schemas.openxmlformats.org/officeDocument/2006/relationships/hyperlink" Target="http://www.epi.org/publications/entry/bp157" TargetMode="External"/><Relationship Id="rId66" Type="http://schemas.openxmlformats.org/officeDocument/2006/relationships/image" Target="media/image25.jpg"/><Relationship Id="rId87" Type="http://schemas.openxmlformats.org/officeDocument/2006/relationships/image" Target="media/image32.jpg"/><Relationship Id="rId110" Type="http://schemas.openxmlformats.org/officeDocument/2006/relationships/hyperlink" Target="http://www.cbire.com/index.cfm/fuseaction/terms.list/letter/C/contentid/32302EC3-81D5-47DF-A9CBA32FAE38B22A" TargetMode="External"/><Relationship Id="rId115" Type="http://schemas.openxmlformats.org/officeDocument/2006/relationships/hyperlink" Target="http://www.ftc.gov/bcp/edu/pubs/consumer/credit/cre12.shtm" TargetMode="External"/><Relationship Id="rId131" Type="http://schemas.openxmlformats.org/officeDocument/2006/relationships/fontTable" Target="fontTable.xml"/><Relationship Id="rId61" Type="http://schemas.openxmlformats.org/officeDocument/2006/relationships/hyperlink" Target="http://entrepreneurs.about.com/od/beyondstartup/a/jointventures.htm" TargetMode="External"/><Relationship Id="rId82" Type="http://schemas.openxmlformats.org/officeDocument/2006/relationships/hyperlink" Target="http://www.americanbar.org/groups/business_law.html" TargetMode="External"/><Relationship Id="rId19" Type="http://schemas.openxmlformats.org/officeDocument/2006/relationships/hyperlink" Target="http://mayer_1.0-ch04_s06/"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65102533B0AC4F93AF2B5D49FB1DEA"/>
        <w:category>
          <w:name w:val="General"/>
          <w:gallery w:val="placeholder"/>
        </w:category>
        <w:types>
          <w:type w:val="bbPlcHdr"/>
        </w:types>
        <w:behaviors>
          <w:behavior w:val="content"/>
        </w:behaviors>
        <w:guid w:val="{625C9391-12AA-44FF-908C-374710A5C1DA}"/>
      </w:docPartPr>
      <w:docPartBody>
        <w:p w:rsidR="00EF373A" w:rsidRDefault="008211FF">
          <w:pPr>
            <w:pStyle w:val="6565102533B0AC4F93AF2B5D49FB1DEA"/>
          </w:pPr>
          <w:r>
            <w:rPr>
              <w:rFonts w:asciiTheme="minorHAnsi" w:eastAsia="MS Mincho" w:hAnsiTheme="minorHAnsi" w:cstheme="minorBidi"/>
              <w:lang w:eastAsia="ja-JP"/>
            </w:rPr>
            <w:t>[Type text]</w:t>
          </w:r>
        </w:p>
      </w:docPartBody>
    </w:docPart>
    <w:docPart>
      <w:docPartPr>
        <w:name w:val="8911D96D293762468D8C201CB30930C7"/>
        <w:category>
          <w:name w:val="General"/>
          <w:gallery w:val="placeholder"/>
        </w:category>
        <w:types>
          <w:type w:val="bbPlcHdr"/>
        </w:types>
        <w:behaviors>
          <w:behavior w:val="content"/>
        </w:behaviors>
        <w:guid w:val="{FFDCBD5C-90D9-4C6F-A345-9E4BEBC61D65}"/>
      </w:docPartPr>
      <w:docPartBody>
        <w:p w:rsidR="00EF373A" w:rsidRDefault="008211FF">
          <w:pPr>
            <w:pStyle w:val="8911D96D293762468D8C201CB30930C7"/>
          </w:pPr>
          <w:r>
            <w:rPr>
              <w:rFonts w:asciiTheme="minorHAnsi" w:eastAsia="MS Mincho" w:hAnsiTheme="minorHAnsi" w:cstheme="minorBidi"/>
              <w:lang w:eastAsia="ja-JP"/>
            </w:rPr>
            <w:t>[Type text]</w:t>
          </w:r>
        </w:p>
      </w:docPartBody>
    </w:docPart>
    <w:docPart>
      <w:docPartPr>
        <w:name w:val="8C50F384B192964D9DCFCD911EEB055A"/>
        <w:category>
          <w:name w:val="General"/>
          <w:gallery w:val="placeholder"/>
        </w:category>
        <w:types>
          <w:type w:val="bbPlcHdr"/>
        </w:types>
        <w:behaviors>
          <w:behavior w:val="content"/>
        </w:behaviors>
        <w:guid w:val="{E57441E3-A80A-4C07-BDF1-83012251F602}"/>
      </w:docPartPr>
      <w:docPartBody>
        <w:p w:rsidR="00EF373A" w:rsidRDefault="008211FF">
          <w:pPr>
            <w:pStyle w:val="8C50F384B192964D9DCFCD911EEB055A"/>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1FF"/>
    <w:rsid w:val="008211FF"/>
    <w:rsid w:val="0099685A"/>
    <w:rsid w:val="00EF3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65102533B0AC4F93AF2B5D49FB1DEA">
    <w:name w:val="6565102533B0AC4F93AF2B5D49FB1DEA"/>
    <w:pPr>
      <w:spacing w:after="0" w:line="240" w:lineRule="auto"/>
    </w:pPr>
    <w:rPr>
      <w:rFonts w:ascii="Times New Roman" w:hAnsi="Times New Roman" w:cs="Times New Roman"/>
      <w:sz w:val="24"/>
      <w:szCs w:val="24"/>
    </w:rPr>
  </w:style>
  <w:style w:type="paragraph" w:customStyle="1" w:styleId="8911D96D293762468D8C201CB30930C7">
    <w:name w:val="8911D96D293762468D8C201CB30930C7"/>
    <w:pPr>
      <w:spacing w:after="0" w:line="240" w:lineRule="auto"/>
    </w:pPr>
    <w:rPr>
      <w:rFonts w:ascii="Times New Roman" w:hAnsi="Times New Roman" w:cs="Times New Roman"/>
      <w:sz w:val="24"/>
      <w:szCs w:val="24"/>
    </w:rPr>
  </w:style>
  <w:style w:type="paragraph" w:customStyle="1" w:styleId="8C50F384B192964D9DCFCD911EEB055A">
    <w:name w:val="8C50F384B192964D9DCFCD911EEB055A"/>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65102533B0AC4F93AF2B5D49FB1DEA">
    <w:name w:val="6565102533B0AC4F93AF2B5D49FB1DEA"/>
    <w:pPr>
      <w:spacing w:after="0" w:line="240" w:lineRule="auto"/>
    </w:pPr>
    <w:rPr>
      <w:rFonts w:ascii="Times New Roman" w:hAnsi="Times New Roman" w:cs="Times New Roman"/>
      <w:sz w:val="24"/>
      <w:szCs w:val="24"/>
    </w:rPr>
  </w:style>
  <w:style w:type="paragraph" w:customStyle="1" w:styleId="8911D96D293762468D8C201CB30930C7">
    <w:name w:val="8911D96D293762468D8C201CB30930C7"/>
    <w:pPr>
      <w:spacing w:after="0" w:line="240" w:lineRule="auto"/>
    </w:pPr>
    <w:rPr>
      <w:rFonts w:ascii="Times New Roman" w:hAnsi="Times New Roman" w:cs="Times New Roman"/>
      <w:sz w:val="24"/>
      <w:szCs w:val="24"/>
    </w:rPr>
  </w:style>
  <w:style w:type="paragraph" w:customStyle="1" w:styleId="8C50F384B192964D9DCFCD911EEB055A">
    <w:name w:val="8C50F384B192964D9DCFCD911EEB055A"/>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D872-F8C0-407D-A939-B89D232F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440956</Words>
  <Characters>2513452</Characters>
  <Application>Microsoft Office Word</Application>
  <DocSecurity>0</DocSecurity>
  <Lines>20945</Lines>
  <Paragraphs>5897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2948511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Bryan</cp:lastModifiedBy>
  <cp:revision>3</cp:revision>
  <cp:lastPrinted>2012-11-14T09:16:00Z</cp:lastPrinted>
  <dcterms:created xsi:type="dcterms:W3CDTF">2013-04-09T18:43:00Z</dcterms:created>
  <dcterms:modified xsi:type="dcterms:W3CDTF">2014-02-12T18:07:00Z</dcterms:modified>
</cp:coreProperties>
</file>